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0" w:type="auto"/>
        <w:shd w:val="clear" w:color="auto" w:fill="235B4C"/>
        <w:tblCellMar>
          <w:top w:w="28" w:type="dxa"/>
          <w:left w:w="28" w:type="dxa"/>
          <w:bottom w:w="28" w:type="dxa"/>
          <w:right w:w="28" w:type="dxa"/>
        </w:tblCellMar>
        <w:tblLook w:val="04A0" w:firstRow="1" w:lastRow="0" w:firstColumn="1" w:lastColumn="0" w:noHBand="0" w:noVBand="1"/>
      </w:tblPr>
      <w:tblGrid>
        <w:gridCol w:w="4414"/>
        <w:gridCol w:w="4414"/>
      </w:tblGrid>
      <w:tr w:rsidR="00246E09" w:rsidRPr="00FB0CD8">
        <w:tc>
          <w:tcPr>
            <w:tcW w:w="8828" w:type="dxa"/>
            <w:gridSpan w:val="2"/>
            <w:tcBorders>
              <w:top w:val="nil"/>
              <w:left w:val="nil"/>
              <w:bottom w:val="nil"/>
              <w:right w:val="nil"/>
            </w:tcBorders>
            <w:shd w:val="clear" w:color="auto" w:fill="235B4C"/>
          </w:tcPr>
          <w:p w:rsidR="00246E09" w:rsidRPr="00FB0CD8" w:rsidRDefault="00465707">
            <w:pPr>
              <w:jc w:val="center"/>
              <w:rPr>
                <w:rFonts w:ascii="Noto Sans" w:hAnsi="Noto Sans" w:cs="Noto Sans"/>
                <w:sz w:val="22"/>
                <w:szCs w:val="22"/>
              </w:rPr>
            </w:pPr>
            <w:r>
              <w:rPr>
                <w:rFonts w:ascii="Noto Sans" w:hAnsi="Noto Sans" w:cs="Noto Sans"/>
                <w:color w:val="FFFFFF"/>
                <w:sz w:val="20"/>
              </w:rPr>
              <w:t>Indicador Oportuno de la Actividad Económica (IOAE)</w:t>
            </w:r>
          </w:p>
          <w:p w:rsidR="00246E09" w:rsidRPr="00FB0CD8" w:rsidRDefault="00465707">
            <w:pPr>
              <w:jc w:val="center"/>
              <w:rPr>
                <w:rFonts w:ascii="Noto Sans" w:hAnsi="Noto Sans" w:cs="Noto Sans"/>
                <w:sz w:val="22"/>
                <w:szCs w:val="22"/>
              </w:rPr>
            </w:pPr>
            <w:r>
              <w:rPr>
                <w:rFonts w:ascii="Noto Sans" w:hAnsi="Noto Sans" w:cs="Noto Sans"/>
                <w:b/>
                <w:color w:val="FFFFFF"/>
                <w:sz w:val="40"/>
              </w:rPr>
              <w:t>IOAE · Junio 2026</w:t>
            </w:r>
          </w:p>
          <w:p w:rsidR="00246E09" w:rsidRPr="00FB0CD8" w:rsidRDefault="00465707">
            <w:pPr>
              <w:jc w:val="center"/>
              <w:rPr>
                <w:rFonts w:ascii="Noto Sans" w:hAnsi="Noto Sans" w:cs="Noto Sans"/>
                <w:sz w:val="22"/>
                <w:szCs w:val="22"/>
              </w:rPr>
            </w:pPr>
            <w:r>
              <w:rPr>
                <w:rFonts w:ascii="Noto Sans" w:hAnsi="Noto Sans" w:cs="Noto Sans"/>
                <w:color w:val="FFFFFF"/>
                <w:sz w:val="20"/>
              </w:rPr>
              <w:t>Boletín de Indicador del 21 de julio de 2026 | INEGI</w:t>
            </w:r>
          </w:p>
        </w:tc>
      </w:tr>
      <w:tr w:rsidR="00246E09" w:rsidRPr="00FB0CD8">
        <w:tc>
          <w:tcPr>
            <w:tcW w:w="4414" w:type="dxa"/>
            <w:tcBorders>
              <w:top w:val="nil"/>
              <w:left w:val="nil"/>
              <w:bottom w:val="nil"/>
              <w:right w:val="nil"/>
            </w:tcBorders>
            <w:shd w:val="clear" w:color="auto" w:fill="F4F4F2"/>
          </w:tcPr>
          <w:p w:rsidR="00246E09" w:rsidRPr="00FB0CD8" w:rsidRDefault="00465707">
            <w:pPr>
              <w:jc w:val="center"/>
              <w:rPr>
                <w:rFonts w:ascii="Noto Sans" w:hAnsi="Noto Sans" w:cs="Noto Sans"/>
                <w:sz w:val="22"/>
                <w:szCs w:val="22"/>
              </w:rPr>
            </w:pPr>
            <w:r>
              <w:rPr>
                <w:rFonts w:ascii="Noto Sans" w:hAnsi="Noto Sans" w:cs="Noto Sans"/>
                <w:b/>
                <w:color w:val="006341"/>
                <w:sz w:val="17"/>
              </w:rPr>
              <w:t>VARIACIÓN MENSUAL</w:t>
            </w:r>
          </w:p>
          <w:p w:rsidR="00246E09" w:rsidRPr="00FB0CD8" w:rsidRDefault="00465707">
            <w:pPr>
              <w:jc w:val="center"/>
              <w:rPr>
                <w:rFonts w:ascii="Noto Sans" w:hAnsi="Noto Sans" w:cs="Noto Sans"/>
                <w:sz w:val="22"/>
                <w:szCs w:val="22"/>
              </w:rPr>
            </w:pPr>
            <w:r>
              <w:rPr>
                <w:rFonts w:ascii="Arial" w:hAnsi="Arial" w:cs="Arial"/>
                <w:b/>
                <w:color w:val="006341"/>
                <w:sz w:val="72"/>
              </w:rPr>
              <w:t>▲</w:t>
            </w:r>
            <w:r>
              <w:rPr>
                <w:rFonts w:ascii="Noto Sans" w:hAnsi="Noto Sans" w:cs="Noto Sans"/>
                <w:b/>
                <w:color w:val="006341"/>
                <w:sz w:val="72"/>
              </w:rPr>
              <w:t xml:space="preserve"> 0.2%</w:t>
            </w:r>
          </w:p>
          <w:p w:rsidR="00246E09" w:rsidRPr="00FB0CD8" w:rsidRDefault="00465707">
            <w:pPr>
              <w:jc w:val="center"/>
              <w:rPr>
                <w:rFonts w:ascii="Noto Sans" w:hAnsi="Noto Sans" w:cs="Noto Sans"/>
                <w:sz w:val="16"/>
                <w:szCs w:val="16"/>
              </w:rPr>
            </w:pPr>
            <w:r>
              <w:rPr>
                <w:rFonts w:ascii="Noto Sans" w:hAnsi="Noto Sans" w:cs="Noto Sans"/>
                <w:color w:val="4C545B"/>
                <w:sz w:val="16"/>
              </w:rPr>
              <w:t>IGAE (nowcast) · cifras desest. · junio 2026</w:t>
            </w:r>
          </w:p>
        </w:tc>
        <w:tc>
          <w:tcPr>
            <w:tcW w:w="4414" w:type="dxa"/>
            <w:tcBorders>
              <w:top w:val="nil"/>
              <w:left w:val="nil"/>
              <w:bottom w:val="nil"/>
              <w:right w:val="nil"/>
            </w:tcBorders>
            <w:shd w:val="clear" w:color="auto" w:fill="F4F4F2"/>
          </w:tcPr>
          <w:p w:rsidR="00246E09" w:rsidRPr="00FB0CD8" w:rsidRDefault="00465707">
            <w:pPr>
              <w:jc w:val="center"/>
              <w:rPr>
                <w:rFonts w:ascii="Noto Sans" w:hAnsi="Noto Sans" w:cs="Noto Sans"/>
                <w:sz w:val="22"/>
                <w:szCs w:val="22"/>
              </w:rPr>
            </w:pPr>
            <w:r>
              <w:rPr>
                <w:rFonts w:ascii="Noto Sans" w:hAnsi="Noto Sans" w:cs="Noto Sans"/>
                <w:b/>
                <w:color w:val="006341"/>
                <w:sz w:val="17"/>
              </w:rPr>
              <w:t>VARIACIÓN ANUAL</w:t>
            </w:r>
          </w:p>
          <w:p w:rsidR="00246E09" w:rsidRPr="00FB0CD8" w:rsidRDefault="00465707">
            <w:pPr>
              <w:jc w:val="center"/>
              <w:rPr>
                <w:rFonts w:ascii="Noto Sans" w:hAnsi="Noto Sans" w:cs="Noto Sans"/>
                <w:sz w:val="22"/>
                <w:szCs w:val="22"/>
              </w:rPr>
            </w:pPr>
            <w:r>
              <w:rPr>
                <w:rFonts w:ascii="Arial" w:hAnsi="Arial" w:cs="Arial"/>
                <w:b/>
                <w:color w:val="006341"/>
                <w:sz w:val="72"/>
              </w:rPr>
              <w:t>▲</w:t>
            </w:r>
            <w:r>
              <w:rPr>
                <w:rFonts w:ascii="Noto Sans" w:hAnsi="Noto Sans" w:cs="Noto Sans"/>
                <w:b/>
                <w:color w:val="006341"/>
                <w:sz w:val="72"/>
              </w:rPr>
              <w:t xml:space="preserve"> 1.7%</w:t>
            </w:r>
          </w:p>
          <w:p w:rsidR="00246E09" w:rsidRPr="00FB0CD8" w:rsidRDefault="00465707">
            <w:pPr>
              <w:jc w:val="center"/>
              <w:rPr>
                <w:rFonts w:ascii="Noto Sans" w:hAnsi="Noto Sans" w:cs="Noto Sans"/>
                <w:sz w:val="16"/>
                <w:szCs w:val="16"/>
              </w:rPr>
            </w:pPr>
            <w:r>
              <w:rPr>
                <w:rFonts w:ascii="Noto Sans" w:hAnsi="Noto Sans" w:cs="Noto Sans"/>
                <w:color w:val="4C545B"/>
                <w:sz w:val="16"/>
              </w:rPr>
              <w:t>vs. junio 2025 · IC 95%: 0.5%–2.8%</w:t>
            </w:r>
          </w:p>
        </w:tc>
      </w:tr>
    </w:tbl>
    <w:p w:rsidR="00246E09" w:rsidRPr="00FB0CD8" w:rsidRDefault="00246E09">
      <w:pPr>
        <w:rPr>
          <w:rFonts w:ascii="Noto Sans" w:hAnsi="Noto Sans" w:cs="Noto San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F4F2"/>
        <w:tblLook w:val="04A0" w:firstRow="1" w:lastRow="0" w:firstColumn="1" w:lastColumn="0" w:noHBand="0" w:noVBand="1"/>
      </w:tblPr>
      <w:tblGrid>
        <w:gridCol w:w="1472"/>
        <w:gridCol w:w="1472"/>
        <w:gridCol w:w="1472"/>
        <w:gridCol w:w="1472"/>
        <w:gridCol w:w="1472"/>
        <w:gridCol w:w="1472"/>
      </w:tblGrid>
      <w:tr w:rsidR="00DC152E" w:rsidRPr="00FB0CD8">
        <w:tc>
          <w:tcPr>
            <w:tcW w:w="2944" w:type="dxa"/>
            <w:gridSpan w:val="2"/>
            <w:shd w:val="clear" w:color="auto" w:fill="235B4C"/>
          </w:tcPr>
          <w:p w:rsidR="00246E09" w:rsidRPr="00FB0CD8" w:rsidRDefault="00465707">
            <w:pPr>
              <w:jc w:val="center"/>
              <w:rPr>
                <w:rFonts w:ascii="Noto Sans" w:hAnsi="Noto Sans" w:cs="Noto Sans"/>
                <w:sz w:val="22"/>
                <w:szCs w:val="22"/>
              </w:rPr>
            </w:pPr>
            <w:r>
              <w:rPr>
                <w:rFonts w:ascii="Noto Sans" w:hAnsi="Noto Sans" w:cs="Noto Sans"/>
                <w:b/>
                <w:color w:val="FFFFFF"/>
                <w:sz w:val="19"/>
              </w:rPr>
              <w:t>IGAE</w:t>
            </w:r>
          </w:p>
        </w:tc>
        <w:tc>
          <w:tcPr>
            <w:tcW w:w="2944" w:type="dxa"/>
            <w:gridSpan w:val="2"/>
            <w:shd w:val="clear" w:color="auto" w:fill="235B4C"/>
          </w:tcPr>
          <w:p w:rsidR="00246E09" w:rsidRPr="00FB0CD8" w:rsidRDefault="00465707">
            <w:pPr>
              <w:jc w:val="center"/>
              <w:rPr>
                <w:rFonts w:ascii="Noto Sans" w:hAnsi="Noto Sans" w:cs="Noto Sans"/>
                <w:sz w:val="22"/>
                <w:szCs w:val="22"/>
              </w:rPr>
            </w:pPr>
            <w:r>
              <w:rPr>
                <w:rFonts w:ascii="Noto Sans" w:hAnsi="Noto Sans" w:cs="Noto Sans"/>
                <w:b/>
                <w:color w:val="FFFFFF"/>
                <w:sz w:val="19"/>
              </w:rPr>
              <w:t>Actividades secundarias</w:t>
            </w:r>
          </w:p>
        </w:tc>
        <w:tc>
          <w:tcPr>
            <w:tcW w:w="2944" w:type="dxa"/>
            <w:gridSpan w:val="2"/>
            <w:shd w:val="clear" w:color="auto" w:fill="235B4C"/>
          </w:tcPr>
          <w:p w:rsidR="00246E09" w:rsidRPr="00FB0CD8" w:rsidRDefault="00465707">
            <w:pPr>
              <w:jc w:val="center"/>
              <w:rPr>
                <w:rFonts w:ascii="Noto Sans" w:hAnsi="Noto Sans" w:cs="Noto Sans"/>
                <w:sz w:val="22"/>
                <w:szCs w:val="22"/>
              </w:rPr>
            </w:pPr>
            <w:r>
              <w:rPr>
                <w:rFonts w:ascii="Noto Sans" w:hAnsi="Noto Sans" w:cs="Noto Sans"/>
                <w:b/>
                <w:color w:val="FFFFFF"/>
                <w:sz w:val="19"/>
              </w:rPr>
              <w:t>Actividades terciarias</w:t>
            </w:r>
          </w:p>
        </w:tc>
      </w:tr>
      <w:tr w:rsidR="00246E09" w:rsidRPr="00FB0CD8">
        <w:trPr>
          <w:trHeight w:val="150"/>
        </w:trPr>
        <w:tc>
          <w:tcPr>
            <w:tcW w:w="1472" w:type="dxa"/>
            <w:tcBorders>
              <w:bottom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sidRPr="00FB0CD8">
              <w:rPr>
                <w:rFonts w:ascii="Noto Sans" w:hAnsi="Noto Sans" w:cs="Noto Sans"/>
                <w:color w:val="000000"/>
                <w:sz w:val="22"/>
                <w:szCs w:val="22"/>
              </w:rPr>
              <w:t>Mensual</w:t>
            </w:r>
          </w:p>
        </w:tc>
        <w:tc>
          <w:tcPr>
            <w:tcW w:w="1472" w:type="dxa"/>
            <w:tcBorders>
              <w:left w:val="single" w:sz="4" w:space="0" w:color="auto"/>
              <w:bottom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sidRPr="00FB0CD8">
              <w:rPr>
                <w:rFonts w:ascii="Noto Sans" w:hAnsi="Noto Sans" w:cs="Noto Sans"/>
                <w:color w:val="000000"/>
                <w:sz w:val="22"/>
                <w:szCs w:val="22"/>
              </w:rPr>
              <w:t>Anual</w:t>
            </w:r>
          </w:p>
        </w:tc>
        <w:tc>
          <w:tcPr>
            <w:tcW w:w="1472" w:type="dxa"/>
            <w:tcBorders>
              <w:left w:val="single" w:sz="4" w:space="0" w:color="auto"/>
              <w:bottom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sidRPr="00FB0CD8">
              <w:rPr>
                <w:rFonts w:ascii="Noto Sans" w:hAnsi="Noto Sans" w:cs="Noto Sans"/>
                <w:color w:val="000000"/>
                <w:sz w:val="22"/>
                <w:szCs w:val="22"/>
              </w:rPr>
              <w:t>Mensual</w:t>
            </w:r>
          </w:p>
        </w:tc>
        <w:tc>
          <w:tcPr>
            <w:tcW w:w="1472" w:type="dxa"/>
            <w:tcBorders>
              <w:left w:val="single" w:sz="4" w:space="0" w:color="auto"/>
              <w:bottom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sidRPr="00FB0CD8">
              <w:rPr>
                <w:rFonts w:ascii="Noto Sans" w:hAnsi="Noto Sans" w:cs="Noto Sans"/>
                <w:color w:val="000000"/>
                <w:sz w:val="22"/>
                <w:szCs w:val="22"/>
              </w:rPr>
              <w:t>Anual</w:t>
            </w:r>
          </w:p>
        </w:tc>
        <w:tc>
          <w:tcPr>
            <w:tcW w:w="1472" w:type="dxa"/>
            <w:tcBorders>
              <w:left w:val="single" w:sz="4" w:space="0" w:color="auto"/>
              <w:bottom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sidRPr="00FB0CD8">
              <w:rPr>
                <w:rFonts w:ascii="Noto Sans" w:hAnsi="Noto Sans" w:cs="Noto Sans"/>
                <w:color w:val="000000"/>
                <w:sz w:val="22"/>
                <w:szCs w:val="22"/>
              </w:rPr>
              <w:t>Mensual</w:t>
            </w:r>
          </w:p>
        </w:tc>
        <w:tc>
          <w:tcPr>
            <w:tcW w:w="1472" w:type="dxa"/>
            <w:tcBorders>
              <w:left w:val="single" w:sz="4" w:space="0" w:color="auto"/>
              <w:bottom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sidRPr="00FB0CD8">
              <w:rPr>
                <w:rFonts w:ascii="Noto Sans" w:hAnsi="Noto Sans" w:cs="Noto Sans"/>
                <w:color w:val="000000"/>
                <w:sz w:val="22"/>
                <w:szCs w:val="22"/>
              </w:rPr>
              <w:t>Anual</w:t>
            </w:r>
          </w:p>
        </w:tc>
      </w:tr>
      <w:tr w:rsidR="00246E09" w:rsidRPr="00FB0CD8">
        <w:trPr>
          <w:trHeight w:val="170"/>
        </w:trPr>
        <w:tc>
          <w:tcPr>
            <w:tcW w:w="1472" w:type="dxa"/>
            <w:tcBorders>
              <w:top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Pr>
                <w:rFonts w:ascii="Arial" w:hAnsi="Arial" w:cs="Arial"/>
                <w:b/>
                <w:color w:val="000000"/>
                <w:sz w:val="18"/>
              </w:rPr>
              <w:t>▲</w:t>
            </w:r>
            <w:r>
              <w:rPr>
                <w:rFonts w:ascii="Noto Sans" w:hAnsi="Noto Sans" w:cs="Noto Sans"/>
                <w:b/>
                <w:color w:val="000000"/>
                <w:sz w:val="18"/>
              </w:rPr>
              <w:t xml:space="preserve"> 0.2 %</w:t>
            </w:r>
          </w:p>
        </w:tc>
        <w:tc>
          <w:tcPr>
            <w:tcW w:w="1472" w:type="dxa"/>
            <w:tcBorders>
              <w:top w:val="single" w:sz="4" w:space="0" w:color="auto"/>
              <w:left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Pr>
                <w:rFonts w:ascii="Arial" w:hAnsi="Arial" w:cs="Arial"/>
                <w:b/>
                <w:color w:val="000000"/>
                <w:sz w:val="18"/>
              </w:rPr>
              <w:t>▲</w:t>
            </w:r>
            <w:r>
              <w:rPr>
                <w:rFonts w:ascii="Noto Sans" w:hAnsi="Noto Sans" w:cs="Noto Sans"/>
                <w:b/>
                <w:color w:val="000000"/>
                <w:sz w:val="18"/>
              </w:rPr>
              <w:t xml:space="preserve"> 1.7 %</w:t>
            </w:r>
          </w:p>
        </w:tc>
        <w:tc>
          <w:tcPr>
            <w:tcW w:w="1472" w:type="dxa"/>
            <w:tcBorders>
              <w:top w:val="single" w:sz="4" w:space="0" w:color="auto"/>
              <w:left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Pr>
                <w:rFonts w:ascii="Arial" w:hAnsi="Arial" w:cs="Arial"/>
                <w:b/>
                <w:color w:val="000000"/>
                <w:sz w:val="18"/>
              </w:rPr>
              <w:t>▲</w:t>
            </w:r>
            <w:r>
              <w:rPr>
                <w:rFonts w:ascii="Noto Sans" w:hAnsi="Noto Sans" w:cs="Noto Sans"/>
                <w:b/>
                <w:color w:val="000000"/>
                <w:sz w:val="18"/>
              </w:rPr>
              <w:t xml:space="preserve"> 0.2 %</w:t>
            </w:r>
          </w:p>
        </w:tc>
        <w:tc>
          <w:tcPr>
            <w:tcW w:w="1472" w:type="dxa"/>
            <w:tcBorders>
              <w:top w:val="single" w:sz="4" w:space="0" w:color="auto"/>
              <w:left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Pr>
                <w:rFonts w:ascii="Arial" w:hAnsi="Arial" w:cs="Arial"/>
                <w:b/>
                <w:color w:val="000000"/>
                <w:sz w:val="18"/>
              </w:rPr>
              <w:t>▲</w:t>
            </w:r>
            <w:r>
              <w:rPr>
                <w:rFonts w:ascii="Noto Sans" w:hAnsi="Noto Sans" w:cs="Noto Sans"/>
                <w:b/>
                <w:color w:val="000000"/>
                <w:sz w:val="18"/>
              </w:rPr>
              <w:t xml:space="preserve"> 0.5 %</w:t>
            </w:r>
          </w:p>
        </w:tc>
        <w:tc>
          <w:tcPr>
            <w:tcW w:w="1472" w:type="dxa"/>
            <w:tcBorders>
              <w:top w:val="single" w:sz="4" w:space="0" w:color="auto"/>
              <w:left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Pr>
                <w:rFonts w:ascii="Arial" w:hAnsi="Arial" w:cs="Arial"/>
                <w:b/>
                <w:color w:val="000000"/>
                <w:sz w:val="18"/>
              </w:rPr>
              <w:t>▲</w:t>
            </w:r>
            <w:r>
              <w:rPr>
                <w:rFonts w:ascii="Noto Sans" w:hAnsi="Noto Sans" w:cs="Noto Sans"/>
                <w:b/>
                <w:color w:val="000000"/>
                <w:sz w:val="18"/>
              </w:rPr>
              <w:t xml:space="preserve"> 0.2 %</w:t>
            </w:r>
          </w:p>
        </w:tc>
        <w:tc>
          <w:tcPr>
            <w:tcW w:w="1472" w:type="dxa"/>
            <w:tcBorders>
              <w:top w:val="single" w:sz="4" w:space="0" w:color="auto"/>
              <w:left w:val="single" w:sz="4" w:space="0" w:color="auto"/>
              <w:right w:val="single" w:sz="4" w:space="0" w:color="auto"/>
            </w:tcBorders>
            <w:shd w:val="clear" w:color="auto" w:fill="F4F4F2"/>
          </w:tcPr>
          <w:p w:rsidR="00246E09" w:rsidRPr="00FB0CD8" w:rsidRDefault="00465707">
            <w:pPr>
              <w:jc w:val="center"/>
              <w:rPr>
                <w:rFonts w:ascii="Noto Sans" w:hAnsi="Noto Sans" w:cs="Noto Sans"/>
                <w:sz w:val="22"/>
                <w:szCs w:val="22"/>
              </w:rPr>
            </w:pPr>
            <w:r>
              <w:rPr>
                <w:rFonts w:ascii="Arial" w:hAnsi="Arial" w:cs="Arial"/>
                <w:b/>
                <w:color w:val="000000"/>
                <w:sz w:val="18"/>
              </w:rPr>
              <w:t>▲</w:t>
            </w:r>
            <w:r>
              <w:rPr>
                <w:rFonts w:ascii="Noto Sans" w:hAnsi="Noto Sans" w:cs="Noto Sans"/>
                <w:b/>
                <w:color w:val="000000"/>
                <w:sz w:val="18"/>
              </w:rPr>
              <w:t xml:space="preserve"> 2.2 %</w:t>
            </w:r>
          </w:p>
        </w:tc>
      </w:tr>
    </w:tbl>
    <w:p w:rsidR="00BC0BB8" w:rsidRPr="00DD3CD0" w:rsidRDefault="00465707">
      <w:pPr>
        <w:spacing w:before="40"/>
        <w:rPr>
          <w:rFonts w:ascii="Noto Sans" w:hAnsi="Noto Sans" w:cs="Noto Sans"/>
          <w:color w:val="4C545B"/>
          <w:sz w:val="18"/>
          <w:szCs w:val="22"/>
        </w:rPr>
      </w:pPr>
      <w:r w:rsidRPr="00DD3CD0">
        <w:rPr>
          <w:rFonts w:ascii="Noto Sans" w:hAnsi="Noto Sans" w:cs="Noto Sans"/>
          <w:color w:val="4C545B"/>
          <w:sz w:val="16"/>
        </w:rPr>
        <w:t>Nota: cifras de junio de 2026 (nowcast); el dato de mayo de actividades secundarias ya es observado, vía el Indicador Mensual de la Actividad Industrial (IMAI).</w:t>
      </w:r>
    </w:p>
    <w:p w:rsidR="00246E09" w:rsidRPr="00FB0CD8" w:rsidRDefault="00246E09">
      <w:pPr>
        <w:rPr>
          <w:rFonts w:ascii="Noto Sans" w:hAnsi="Noto Sans" w:cs="Noto Sans"/>
          <w:sz w:val="22"/>
          <w:szCs w:val="22"/>
        </w:rPr>
      </w:pPr>
    </w:p>
    <w:p w:rsidR="00BC0BB8" w:rsidRDefault="00CA49C6">
      <w:pPr>
        <w:jc w:val="both"/>
        <w:rPr>
          <w:rFonts w:ascii="Noto Sans" w:hAnsi="Noto Sans" w:cs="Noto Sans"/>
          <w:color w:val="000000"/>
          <w:sz w:val="22"/>
          <w:szCs w:val="22"/>
        </w:rPr>
      </w:pPr>
      <w:r w:rsidRPr="00DD3CD0">
        <w:rPr>
          <w:rFonts w:ascii="Noto Sans" w:hAnsi="Noto Sans" w:cs="Noto Sans"/>
          <w:b/>
          <w:color w:val="000000"/>
          <w:sz w:val="22"/>
          <w:szCs w:val="22"/>
        </w:rPr>
        <w:t>El IOAE anticipa para junio de 2026 una variación mensual de 0.2% y anual de 1.7% del IGAE.</w:t>
      </w:r>
      <w:r w:rsidRPr="00DD3CD0">
        <w:rPr>
          <w:rFonts w:ascii="Noto Sans" w:hAnsi="Noto Sans" w:cs="Noto Sans"/>
          <w:color w:val="000000"/>
          <w:sz w:val="22"/>
          <w:szCs w:val="22"/>
        </w:rPr>
        <w:t xml:space="preserve"> El índice desestacionalizado se ubicó en </w:t>
      </w:r>
      <w:r w:rsidRPr="00DD3CD0">
        <w:rPr>
          <w:rFonts w:ascii="Noto Sans" w:hAnsi="Noto Sans" w:cs="Noto Sans"/>
          <w:b/>
          <w:color w:val="000000"/>
          <w:sz w:val="22"/>
          <w:szCs w:val="22"/>
        </w:rPr>
        <w:t>106.8 puntos</w:t>
      </w:r>
      <w:r w:rsidRPr="00DD3CD0">
        <w:rPr>
          <w:rFonts w:ascii="Noto Sans" w:hAnsi="Noto Sans" w:cs="Noto Sans"/>
          <w:color w:val="000000"/>
          <w:sz w:val="22"/>
          <w:szCs w:val="22"/>
        </w:rPr>
        <w:t xml:space="preserve"> (base 2018=100). </w:t>
      </w:r>
      <w:r w:rsidR="00B775B3" w:rsidRPr="00B775B3">
        <w:rPr>
          <w:rFonts w:ascii="Noto Sans" w:hAnsi="Noto Sans" w:cs="Noto Sans"/>
          <w:color w:val="000000"/>
          <w:sz w:val="22"/>
          <w:szCs w:val="22"/>
        </w:rPr>
        <w:t xml:space="preserve">La lectura mejora frente al boletín anterior, ya que el intervalo de confianza anual se ubica entre 0.5% y 2.8%, </w:t>
      </w:r>
      <w:r w:rsidR="00612F23" w:rsidRPr="00612F23">
        <w:rPr>
          <w:rFonts w:ascii="Noto Sans" w:hAnsi="Noto Sans" w:cs="Noto Sans"/>
          <w:color w:val="000000"/>
          <w:sz w:val="22"/>
          <w:szCs w:val="22"/>
        </w:rPr>
        <w:t>a diferencia de mayo, cuando el rango tocaba el cero.</w:t>
      </w:r>
    </w:p>
    <w:p w:rsidR="00B775B3" w:rsidRPr="00DD3CD0" w:rsidRDefault="00B775B3">
      <w:pPr>
        <w:jc w:val="both"/>
        <w:rPr>
          <w:rFonts w:ascii="Noto Sans" w:hAnsi="Noto Sans" w:cs="Noto Sans"/>
          <w:sz w:val="22"/>
          <w:szCs w:val="22"/>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4F4F2"/>
        <w:tblLook w:val="04A0" w:firstRow="1" w:lastRow="0" w:firstColumn="1" w:lastColumn="0" w:noHBand="0" w:noVBand="1"/>
      </w:tblPr>
      <w:tblGrid>
        <w:gridCol w:w="8828"/>
      </w:tblGrid>
      <w:tr w:rsidR="00246E09" w:rsidRPr="00DD3CD0">
        <w:tc>
          <w:tcPr>
            <w:tcW w:w="8828" w:type="dxa"/>
            <w:shd w:val="clear" w:color="auto" w:fill="F4F4F2"/>
          </w:tcPr>
          <w:p w:rsidR="00246E09" w:rsidRPr="00DD3CD0" w:rsidRDefault="00465707">
            <w:pPr>
              <w:shd w:val="clear" w:color="auto" w:fill="F4F4F2"/>
              <w:rPr>
                <w:rFonts w:ascii="Noto Sans" w:hAnsi="Noto Sans" w:cs="Noto Sans"/>
                <w:sz w:val="22"/>
                <w:szCs w:val="22"/>
              </w:rPr>
            </w:pPr>
            <w:r w:rsidRPr="00DD3CD0">
              <w:rPr>
                <w:rFonts w:ascii="Noto Sans" w:hAnsi="Noto Sans" w:cs="Noto Sans"/>
                <w:b/>
                <w:color w:val="10312B"/>
                <w:sz w:val="22"/>
                <w:szCs w:val="22"/>
              </w:rPr>
              <w:t>Resumen ejecutivo</w:t>
            </w:r>
          </w:p>
          <w:p w:rsidR="00612102" w:rsidRPr="00DD3CD0" w:rsidRDefault="00612102">
            <w:pPr>
              <w:pStyle w:val="Prrafodelista"/>
              <w:numPr>
                <w:ilvl w:val="0"/>
                <w:numId w:val="32"/>
              </w:numPr>
              <w:shd w:val="clear" w:color="auto" w:fill="F4F4F2"/>
              <w:spacing w:before="30" w:after="30"/>
              <w:jc w:val="both"/>
              <w:rPr>
                <w:rFonts w:ascii="Noto Sans" w:hAnsi="Noto Sans" w:cs="Noto Sans"/>
                <w:sz w:val="22"/>
                <w:szCs w:val="22"/>
              </w:rPr>
            </w:pPr>
            <w:r w:rsidRPr="00DD3CD0">
              <w:rPr>
                <w:rFonts w:ascii="Noto Sans" w:hAnsi="Noto Sans" w:cs="Noto Sans"/>
                <w:color w:val="000000"/>
                <w:sz w:val="22"/>
                <w:szCs w:val="22"/>
              </w:rPr>
              <w:t xml:space="preserve">El IOAE anticipa para junio una variación de </w:t>
            </w:r>
            <w:r w:rsidRPr="00DD3CD0">
              <w:rPr>
                <w:rFonts w:ascii="Noto Sans" w:hAnsi="Noto Sans" w:cs="Noto Sans"/>
                <w:b/>
                <w:color w:val="000000"/>
                <w:sz w:val="22"/>
                <w:szCs w:val="22"/>
              </w:rPr>
              <w:t>0.2% mensual</w:t>
            </w:r>
            <w:r w:rsidRPr="00DD3CD0">
              <w:rPr>
                <w:rFonts w:ascii="Noto Sans" w:hAnsi="Noto Sans" w:cs="Noto Sans"/>
                <w:color w:val="000000"/>
                <w:sz w:val="22"/>
                <w:szCs w:val="22"/>
              </w:rPr>
              <w:t xml:space="preserve"> y </w:t>
            </w:r>
            <w:r w:rsidRPr="00DD3CD0">
              <w:rPr>
                <w:rFonts w:ascii="Noto Sans" w:hAnsi="Noto Sans" w:cs="Noto Sans"/>
                <w:b/>
                <w:color w:val="000000"/>
                <w:sz w:val="22"/>
                <w:szCs w:val="22"/>
              </w:rPr>
              <w:t>1.7% anual</w:t>
            </w:r>
            <w:r w:rsidRPr="00DD3CD0">
              <w:rPr>
                <w:rFonts w:ascii="Noto Sans" w:hAnsi="Noto Sans" w:cs="Noto Sans"/>
                <w:color w:val="000000"/>
                <w:sz w:val="22"/>
                <w:szCs w:val="22"/>
              </w:rPr>
              <w:t xml:space="preserve"> del IGAE, con un intervalo de confianza anual de </w:t>
            </w:r>
            <w:r w:rsidRPr="00DD3CD0">
              <w:rPr>
                <w:rFonts w:ascii="Noto Sans" w:hAnsi="Noto Sans" w:cs="Noto Sans"/>
                <w:b/>
                <w:color w:val="000000"/>
                <w:sz w:val="22"/>
                <w:szCs w:val="22"/>
              </w:rPr>
              <w:t>0.5% a 2.8%</w:t>
            </w:r>
            <w:r w:rsidRPr="00DD3CD0">
              <w:rPr>
                <w:rFonts w:ascii="Noto Sans" w:hAnsi="Noto Sans" w:cs="Noto Sans"/>
                <w:color w:val="000000"/>
                <w:sz w:val="22"/>
                <w:szCs w:val="22"/>
              </w:rPr>
              <w:t>, en terreno positivo incluso en el escenario más conservador.</w:t>
            </w:r>
          </w:p>
          <w:p w:rsidR="00B52545" w:rsidRPr="00B52545" w:rsidRDefault="00465707">
            <w:pPr>
              <w:pStyle w:val="Prrafodelista"/>
              <w:numPr>
                <w:ilvl w:val="0"/>
                <w:numId w:val="32"/>
              </w:numPr>
              <w:shd w:val="clear" w:color="auto" w:fill="F4F4F2"/>
              <w:spacing w:before="30" w:after="30"/>
              <w:jc w:val="both"/>
              <w:rPr>
                <w:rFonts w:ascii="Noto Sans" w:hAnsi="Noto Sans" w:cs="Noto Sans"/>
                <w:sz w:val="22"/>
                <w:szCs w:val="22"/>
              </w:rPr>
            </w:pPr>
            <w:r w:rsidRPr="00DD3CD0">
              <w:rPr>
                <w:rFonts w:ascii="Noto Sans" w:hAnsi="Noto Sans" w:cs="Noto Sans"/>
                <w:color w:val="000000"/>
                <w:sz w:val="22"/>
                <w:szCs w:val="22"/>
              </w:rPr>
              <w:t xml:space="preserve">Las </w:t>
            </w:r>
            <w:r w:rsidRPr="00DD3CD0">
              <w:rPr>
                <w:rFonts w:ascii="Noto Sans" w:hAnsi="Noto Sans" w:cs="Noto Sans"/>
                <w:b/>
                <w:color w:val="000000"/>
                <w:sz w:val="22"/>
                <w:szCs w:val="22"/>
              </w:rPr>
              <w:t>actividades secundarias</w:t>
            </w:r>
            <w:r w:rsidRPr="00DD3CD0">
              <w:rPr>
                <w:rFonts w:ascii="Noto Sans" w:hAnsi="Noto Sans" w:cs="Noto Sans"/>
                <w:color w:val="000000"/>
                <w:sz w:val="22"/>
                <w:szCs w:val="22"/>
              </w:rPr>
              <w:t xml:space="preserve"> anticipan </w:t>
            </w:r>
            <w:r w:rsidRPr="00DD3CD0">
              <w:rPr>
                <w:rFonts w:ascii="Noto Sans" w:hAnsi="Noto Sans" w:cs="Noto Sans"/>
                <w:b/>
                <w:color w:val="000000"/>
                <w:sz w:val="22"/>
                <w:szCs w:val="22"/>
              </w:rPr>
              <w:t>0.2% mensual</w:t>
            </w:r>
            <w:r w:rsidRPr="00DD3CD0">
              <w:rPr>
                <w:rFonts w:ascii="Noto Sans" w:hAnsi="Noto Sans" w:cs="Noto Sans"/>
                <w:color w:val="000000"/>
                <w:sz w:val="22"/>
                <w:szCs w:val="22"/>
              </w:rPr>
              <w:t xml:space="preserve"> y </w:t>
            </w:r>
            <w:r w:rsidRPr="00DD3CD0">
              <w:rPr>
                <w:rFonts w:ascii="Noto Sans" w:hAnsi="Noto Sans" w:cs="Noto Sans"/>
                <w:b/>
                <w:color w:val="000000"/>
                <w:sz w:val="22"/>
                <w:szCs w:val="22"/>
              </w:rPr>
              <w:t>0.5% anual</w:t>
            </w:r>
            <w:r w:rsidR="00B52545">
              <w:rPr>
                <w:rFonts w:ascii="Noto Sans" w:hAnsi="Noto Sans" w:cs="Noto Sans"/>
                <w:b/>
                <w:color w:val="000000"/>
                <w:sz w:val="22"/>
                <w:szCs w:val="22"/>
              </w:rPr>
              <w:t xml:space="preserve"> </w:t>
            </w:r>
            <w:r w:rsidR="00B52545" w:rsidRPr="00B52545">
              <w:rPr>
                <w:rFonts w:ascii="Noto Sans" w:hAnsi="Noto Sans" w:cs="Noto Sans"/>
                <w:color w:val="000000"/>
                <w:sz w:val="22"/>
                <w:szCs w:val="22"/>
              </w:rPr>
              <w:t>en junio. Para mayo, el dato de secundarias ya se considera observado vía IMAI y se ubicó en 0.0% anual, por debajo del nowcast publicado previamente.</w:t>
            </w:r>
          </w:p>
          <w:p w:rsidR="00246E09" w:rsidRPr="00DD3CD0" w:rsidRDefault="00465707">
            <w:pPr>
              <w:pStyle w:val="Prrafodelista"/>
              <w:numPr>
                <w:ilvl w:val="0"/>
                <w:numId w:val="32"/>
              </w:numPr>
              <w:shd w:val="clear" w:color="auto" w:fill="F4F4F2"/>
              <w:spacing w:before="30" w:after="30"/>
              <w:jc w:val="both"/>
              <w:rPr>
                <w:rFonts w:ascii="Noto Sans" w:hAnsi="Noto Sans" w:cs="Noto Sans"/>
                <w:sz w:val="22"/>
                <w:szCs w:val="22"/>
              </w:rPr>
            </w:pPr>
            <w:r w:rsidRPr="00DD3CD0">
              <w:rPr>
                <w:rFonts w:ascii="Noto Sans" w:hAnsi="Noto Sans" w:cs="Noto Sans"/>
                <w:color w:val="000000"/>
                <w:sz w:val="22"/>
                <w:szCs w:val="22"/>
              </w:rPr>
              <w:t xml:space="preserve">Las </w:t>
            </w:r>
            <w:r w:rsidRPr="00DD3CD0">
              <w:rPr>
                <w:rFonts w:ascii="Noto Sans" w:hAnsi="Noto Sans" w:cs="Noto Sans"/>
                <w:b/>
                <w:color w:val="000000"/>
                <w:sz w:val="22"/>
                <w:szCs w:val="22"/>
              </w:rPr>
              <w:t>actividades terciarias</w:t>
            </w:r>
            <w:r w:rsidRPr="00DD3CD0">
              <w:rPr>
                <w:rFonts w:ascii="Noto Sans" w:hAnsi="Noto Sans" w:cs="Noto Sans"/>
                <w:color w:val="000000"/>
                <w:sz w:val="22"/>
                <w:szCs w:val="22"/>
              </w:rPr>
              <w:t xml:space="preserve"> anticipan </w:t>
            </w:r>
            <w:r w:rsidRPr="00DD3CD0">
              <w:rPr>
                <w:rFonts w:ascii="Noto Sans" w:hAnsi="Noto Sans" w:cs="Noto Sans"/>
                <w:b/>
                <w:color w:val="000000"/>
                <w:sz w:val="22"/>
                <w:szCs w:val="22"/>
              </w:rPr>
              <w:t>0.2% mensual</w:t>
            </w:r>
            <w:r w:rsidRPr="00DD3CD0">
              <w:rPr>
                <w:rFonts w:ascii="Noto Sans" w:hAnsi="Noto Sans" w:cs="Noto Sans"/>
                <w:color w:val="000000"/>
                <w:sz w:val="22"/>
                <w:szCs w:val="22"/>
              </w:rPr>
              <w:t xml:space="preserve"> y </w:t>
            </w:r>
            <w:r w:rsidRPr="00DD3CD0">
              <w:rPr>
                <w:rFonts w:ascii="Noto Sans" w:hAnsi="Noto Sans" w:cs="Noto Sans"/>
                <w:b/>
                <w:color w:val="000000"/>
                <w:sz w:val="22"/>
                <w:szCs w:val="22"/>
              </w:rPr>
              <w:t>2.2% anual</w:t>
            </w:r>
            <w:r w:rsidRPr="00DD3CD0">
              <w:rPr>
                <w:rFonts w:ascii="Noto Sans" w:hAnsi="Noto Sans" w:cs="Noto Sans"/>
                <w:color w:val="000000"/>
                <w:sz w:val="22"/>
                <w:szCs w:val="22"/>
              </w:rPr>
              <w:t>, el mayor crecimiento entre los tres grupos.</w:t>
            </w:r>
          </w:p>
        </w:tc>
      </w:tr>
    </w:tbl>
    <w:p w:rsidR="00BC0BB8" w:rsidRPr="00DD3CD0" w:rsidRDefault="00BC0BB8">
      <w:pPr>
        <w:jc w:val="center"/>
        <w:rPr>
          <w:rFonts w:ascii="Noto Sans" w:hAnsi="Noto Sans" w:cs="Noto Sans"/>
          <w:b/>
          <w:color w:val="10312B"/>
          <w:sz w:val="22"/>
          <w:szCs w:val="22"/>
        </w:rPr>
      </w:pPr>
    </w:p>
    <w:p w:rsidR="00246E09" w:rsidRPr="00FB0CD8" w:rsidRDefault="00465707">
      <w:pPr>
        <w:jc w:val="center"/>
        <w:rPr>
          <w:rFonts w:ascii="Noto Sans" w:hAnsi="Noto Sans" w:cs="Noto Sans"/>
          <w:sz w:val="22"/>
          <w:szCs w:val="22"/>
        </w:rPr>
      </w:pPr>
      <w:r>
        <w:rPr>
          <w:rFonts w:ascii="Noto Sans" w:hAnsi="Noto Sans" w:cs="Noto Sans"/>
          <w:b/>
          <w:color w:val="10312B"/>
          <w:sz w:val="22"/>
        </w:rPr>
        <w:t>Nowcast del IGAE, variación anual, enero 2021–junio 2026</w:t>
      </w:r>
    </w:p>
    <w:p w:rsidR="00246E09" w:rsidRPr="00FB0CD8" w:rsidRDefault="00465707">
      <w:pPr>
        <w:jc w:val="center"/>
        <w:rPr>
          <w:rFonts w:ascii="Noto Sans" w:hAnsi="Noto Sans" w:cs="Noto Sans"/>
          <w:sz w:val="22"/>
          <w:szCs w:val="22"/>
        </w:rPr>
      </w:pPr>
      <w:r>
        <w:rPr>
          <w:noProof/>
        </w:rPr>
        <w:drawing>
          <wp:inline distT="0" distB="0" distL="0" distR="0">
            <wp:extent cx="5584773" cy="1662282"/>
            <wp:effectExtent l="0" t="0" r="381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1_junio_clean.png"/>
                    <pic:cNvPicPr/>
                  </pic:nvPicPr>
                  <pic:blipFill>
                    <a:blip r:embed="rId9"/>
                    <a:stretch>
                      <a:fillRect/>
                    </a:stretch>
                  </pic:blipFill>
                  <pic:spPr>
                    <a:xfrm>
                      <a:off x="0" y="0"/>
                      <a:ext cx="5638510" cy="1678277"/>
                    </a:xfrm>
                    <a:prstGeom prst="rect">
                      <a:avLst/>
                    </a:prstGeom>
                  </pic:spPr>
                </pic:pic>
              </a:graphicData>
            </a:graphic>
          </wp:inline>
        </w:drawing>
      </w:r>
    </w:p>
    <w:p w:rsidR="006B308C" w:rsidRPr="00CB6BF6" w:rsidRDefault="006B308C" w:rsidP="006B308C">
      <w:pPr>
        <w:rPr>
          <w:rFonts w:ascii="Noto Sans" w:hAnsi="Noto Sans" w:cs="Noto Sans"/>
          <w:color w:val="4C545B"/>
          <w:sz w:val="16"/>
          <w:szCs w:val="22"/>
        </w:rPr>
      </w:pPr>
      <w:r>
        <w:rPr>
          <w:rFonts w:ascii="Noto Sans" w:hAnsi="Noto Sans" w:cs="Noto Sans"/>
          <w:color w:val="4C545B"/>
          <w:sz w:val="15"/>
        </w:rPr>
        <w:t>Fuente: INEGI, IOAE, Boletín de Indicador, 21 de julio de 2026. Cifras desestacionalizadas.</w:t>
      </w:r>
    </w:p>
    <w:p w:rsidR="006B308C" w:rsidRPr="00FB0CD8" w:rsidRDefault="006B308C">
      <w:pPr>
        <w:jc w:val="both"/>
        <w:rPr>
          <w:rFonts w:ascii="Noto Sans" w:hAnsi="Noto Sans" w:cs="Noto Sans"/>
          <w:color w:val="4C545B"/>
          <w:sz w:val="22"/>
          <w:szCs w:val="22"/>
        </w:rPr>
      </w:pPr>
      <w:bookmarkStart w:id="0" w:name="_GoBack"/>
      <w:bookmarkEnd w:id="0"/>
    </w:p>
    <w:p w:rsidR="00246E09" w:rsidRDefault="00B52545">
      <w:pPr>
        <w:jc w:val="both"/>
        <w:rPr>
          <w:rFonts w:ascii="Noto Sans" w:hAnsi="Noto Sans" w:cs="Noto Sans"/>
          <w:color w:val="10312B"/>
          <w:sz w:val="22"/>
          <w:szCs w:val="22"/>
        </w:rPr>
      </w:pPr>
      <w:r w:rsidRPr="00B52545">
        <w:rPr>
          <w:rFonts w:ascii="Noto Sans" w:hAnsi="Noto Sans" w:cs="Noto Sans"/>
          <w:color w:val="10312B"/>
          <w:sz w:val="22"/>
          <w:szCs w:val="22"/>
        </w:rPr>
        <w:t>Desde 2023, el crecimiento anual estimado del IGAE se ha mantenido en un rango moderado; el nowcast de junio se ubica por encima de los registros más recientes, aunque todavía dentro de una trayectoria de crecimiento acotado.</w:t>
      </w:r>
    </w:p>
    <w:p w:rsidR="00B52545" w:rsidRPr="00DD3CD0" w:rsidRDefault="00B52545">
      <w:pPr>
        <w:jc w:val="both"/>
        <w:rPr>
          <w:rFonts w:ascii="Noto Sans" w:hAnsi="Noto Sans" w:cs="Noto Sans"/>
          <w:sz w:val="22"/>
          <w:szCs w:val="22"/>
        </w:rPr>
      </w:pPr>
    </w:p>
    <w:p w:rsidR="00246E09" w:rsidRPr="00DD3CD0" w:rsidRDefault="00465707">
      <w:pPr>
        <w:shd w:val="clear" w:color="auto" w:fill="005E4C"/>
        <w:jc w:val="both"/>
        <w:rPr>
          <w:rFonts w:ascii="Noto Sans" w:hAnsi="Noto Sans" w:cs="Noto Sans"/>
          <w:sz w:val="22"/>
          <w:szCs w:val="22"/>
        </w:rPr>
      </w:pPr>
      <w:r w:rsidRPr="00DD3CD0">
        <w:rPr>
          <w:rFonts w:ascii="Noto Sans" w:hAnsi="Noto Sans" w:cs="Noto Sans"/>
          <w:b/>
          <w:bCs/>
          <w:color w:val="FFFFFF" w:themeColor="background1"/>
          <w:sz w:val="22"/>
          <w:szCs w:val="22"/>
        </w:rPr>
        <w:t>Análisis</w:t>
      </w:r>
    </w:p>
    <w:p w:rsidR="00B52545" w:rsidRPr="00B52545" w:rsidRDefault="00B52545" w:rsidP="00367F36">
      <w:pPr>
        <w:pStyle w:val="Prrafodelista"/>
        <w:numPr>
          <w:ilvl w:val="0"/>
          <w:numId w:val="33"/>
        </w:numPr>
        <w:jc w:val="both"/>
        <w:rPr>
          <w:rFonts w:ascii="Noto Sans" w:hAnsi="Noto Sans" w:cs="Noto Sans"/>
          <w:sz w:val="22"/>
          <w:szCs w:val="22"/>
        </w:rPr>
      </w:pPr>
      <w:r w:rsidRPr="00B52545">
        <w:rPr>
          <w:rFonts w:ascii="Noto Sans" w:hAnsi="Noto Sans" w:cs="Noto Sans"/>
          <w:color w:val="000000"/>
          <w:sz w:val="22"/>
          <w:szCs w:val="22"/>
        </w:rPr>
        <w:t xml:space="preserve">El nowcast de mayo se ajustó respecto al boletín anterior: la variación anual del IGAE pasó de </w:t>
      </w:r>
      <w:r w:rsidRPr="00B52545">
        <w:rPr>
          <w:rFonts w:ascii="Noto Sans" w:hAnsi="Noto Sans" w:cs="Noto Sans"/>
          <w:b/>
          <w:color w:val="000000"/>
          <w:sz w:val="22"/>
          <w:szCs w:val="22"/>
        </w:rPr>
        <w:t>1.1% a 1.6%,</w:t>
      </w:r>
      <w:r w:rsidRPr="00B52545">
        <w:rPr>
          <w:rFonts w:ascii="Noto Sans" w:hAnsi="Noto Sans" w:cs="Noto Sans"/>
          <w:color w:val="000000"/>
          <w:sz w:val="22"/>
          <w:szCs w:val="22"/>
        </w:rPr>
        <w:t xml:space="preserve"> mientras que la mensual se revisó de </w:t>
      </w:r>
      <w:r w:rsidRPr="00B52545">
        <w:rPr>
          <w:rFonts w:ascii="Noto Sans" w:hAnsi="Noto Sans" w:cs="Noto Sans"/>
          <w:b/>
          <w:color w:val="000000"/>
          <w:sz w:val="22"/>
          <w:szCs w:val="22"/>
        </w:rPr>
        <w:t>0.0% a -0.3%</w:t>
      </w:r>
      <w:r w:rsidRPr="00B52545">
        <w:rPr>
          <w:rFonts w:ascii="Noto Sans" w:hAnsi="Noto Sans" w:cs="Noto Sans"/>
          <w:color w:val="000000"/>
          <w:sz w:val="22"/>
          <w:szCs w:val="22"/>
        </w:rPr>
        <w:t xml:space="preserve">. Para junio, el IOAE estima </w:t>
      </w:r>
      <w:r w:rsidRPr="004C0F95">
        <w:rPr>
          <w:rFonts w:ascii="Noto Sans" w:hAnsi="Noto Sans" w:cs="Noto Sans"/>
          <w:b/>
          <w:color w:val="000000"/>
          <w:sz w:val="22"/>
          <w:szCs w:val="22"/>
        </w:rPr>
        <w:t>1.7% anual y 0.2% mensual</w:t>
      </w:r>
      <w:r w:rsidRPr="00B52545">
        <w:rPr>
          <w:rFonts w:ascii="Noto Sans" w:hAnsi="Noto Sans" w:cs="Noto Sans"/>
          <w:color w:val="000000"/>
          <w:sz w:val="22"/>
          <w:szCs w:val="22"/>
        </w:rPr>
        <w:t>, lo que anticipa una mejora moderada frente al dato revisado de mayo.</w:t>
      </w:r>
    </w:p>
    <w:p w:rsidR="00B37FB0" w:rsidRPr="00B37FB0" w:rsidRDefault="00B37FB0" w:rsidP="00367F36">
      <w:pPr>
        <w:pStyle w:val="Prrafodelista"/>
        <w:numPr>
          <w:ilvl w:val="0"/>
          <w:numId w:val="33"/>
        </w:numPr>
        <w:jc w:val="both"/>
        <w:rPr>
          <w:rFonts w:ascii="Noto Sans" w:hAnsi="Noto Sans" w:cs="Noto Sans"/>
          <w:sz w:val="22"/>
          <w:szCs w:val="22"/>
        </w:rPr>
      </w:pPr>
      <w:r w:rsidRPr="00B37FB0">
        <w:rPr>
          <w:rFonts w:ascii="Noto Sans" w:hAnsi="Noto Sans" w:cs="Noto Sans"/>
          <w:color w:val="000000"/>
          <w:sz w:val="22"/>
          <w:szCs w:val="22"/>
        </w:rPr>
        <w:t xml:space="preserve">El dato observado de mayo en actividades secundarias </w:t>
      </w:r>
      <w:r w:rsidRPr="00B37FB0">
        <w:rPr>
          <w:rFonts w:ascii="Noto Sans" w:hAnsi="Noto Sans" w:cs="Noto Sans"/>
          <w:b/>
          <w:color w:val="000000"/>
          <w:sz w:val="22"/>
          <w:szCs w:val="22"/>
        </w:rPr>
        <w:t>(0.0% anual)</w:t>
      </w:r>
      <w:r w:rsidRPr="00B37FB0">
        <w:rPr>
          <w:rFonts w:ascii="Noto Sans" w:hAnsi="Noto Sans" w:cs="Noto Sans"/>
          <w:color w:val="000000"/>
          <w:sz w:val="22"/>
          <w:szCs w:val="22"/>
        </w:rPr>
        <w:t xml:space="preserve"> resultó menor al nowcast publicado el mes anterior </w:t>
      </w:r>
      <w:r w:rsidRPr="00B37FB0">
        <w:rPr>
          <w:rFonts w:ascii="Noto Sans" w:hAnsi="Noto Sans" w:cs="Noto Sans"/>
          <w:b/>
          <w:color w:val="000000"/>
          <w:sz w:val="22"/>
          <w:szCs w:val="22"/>
        </w:rPr>
        <w:t>(0.7% anual)</w:t>
      </w:r>
      <w:r w:rsidRPr="00B37FB0">
        <w:rPr>
          <w:rFonts w:ascii="Noto Sans" w:hAnsi="Noto Sans" w:cs="Noto Sans"/>
          <w:color w:val="000000"/>
          <w:sz w:val="22"/>
          <w:szCs w:val="22"/>
        </w:rPr>
        <w:t xml:space="preserve">, lo que ilustra el margen de ajuste de las estimaciones oportunas. Para junio, las secundarias anticipan un avance anual moderado de </w:t>
      </w:r>
      <w:r w:rsidRPr="00B37FB0">
        <w:rPr>
          <w:rFonts w:ascii="Noto Sans" w:hAnsi="Noto Sans" w:cs="Noto Sans"/>
          <w:b/>
          <w:color w:val="000000"/>
          <w:sz w:val="22"/>
          <w:szCs w:val="22"/>
        </w:rPr>
        <w:t>0.5%</w:t>
      </w:r>
      <w:r w:rsidRPr="00B37FB0">
        <w:rPr>
          <w:rFonts w:ascii="Noto Sans" w:hAnsi="Noto Sans" w:cs="Noto Sans"/>
          <w:color w:val="000000"/>
          <w:sz w:val="22"/>
          <w:szCs w:val="22"/>
        </w:rPr>
        <w:t xml:space="preserve">, con un intervalo amplio de </w:t>
      </w:r>
      <w:r w:rsidRPr="00B37FB0">
        <w:rPr>
          <w:rFonts w:ascii="Noto Sans" w:hAnsi="Noto Sans" w:cs="Noto Sans"/>
          <w:b/>
          <w:color w:val="000000"/>
          <w:sz w:val="22"/>
          <w:szCs w:val="22"/>
        </w:rPr>
        <w:t>-1.7% a 2.7%</w:t>
      </w:r>
      <w:r w:rsidRPr="00B37FB0">
        <w:rPr>
          <w:rFonts w:ascii="Noto Sans" w:hAnsi="Noto Sans" w:cs="Noto Sans"/>
          <w:color w:val="000000"/>
          <w:sz w:val="22"/>
          <w:szCs w:val="22"/>
        </w:rPr>
        <w:t>.</w:t>
      </w:r>
    </w:p>
    <w:p w:rsidR="00C42943" w:rsidRDefault="001334B6" w:rsidP="00C42943">
      <w:pPr>
        <w:pStyle w:val="Prrafodelista"/>
        <w:ind w:left="504"/>
        <w:jc w:val="both"/>
        <w:rPr>
          <w:rFonts w:ascii="Noto Sans" w:hAnsi="Noto Sans" w:cs="Noto Sans"/>
          <w:color w:val="000000"/>
          <w:sz w:val="22"/>
          <w:szCs w:val="22"/>
        </w:rPr>
      </w:pPr>
      <w:r w:rsidRPr="001334B6">
        <w:rPr>
          <w:rFonts w:ascii="Noto Sans" w:hAnsi="Noto Sans" w:cs="Noto Sans"/>
          <w:color w:val="000000"/>
          <w:sz w:val="22"/>
          <w:szCs w:val="22"/>
        </w:rPr>
        <w:t>Al ser un indicador oportuno, el IOAE permite anticipar la lectura de coyuntura antes de la publicación formal del IGAE. Sin embargo, las revisiones observadas en mayo muestran que debe leerse como señal preliminar y no como dato definitivo.</w:t>
      </w:r>
    </w:p>
    <w:p w:rsidR="001334B6" w:rsidRPr="00FB0CD8" w:rsidRDefault="001334B6" w:rsidP="00C42943">
      <w:pPr>
        <w:pStyle w:val="Prrafodelista"/>
        <w:ind w:left="504"/>
        <w:jc w:val="both"/>
        <w:rPr>
          <w:rFonts w:ascii="Noto Sans" w:hAnsi="Noto Sans" w:cs="Noto Sans"/>
          <w:sz w:val="22"/>
          <w:szCs w:val="22"/>
        </w:rPr>
      </w:pPr>
    </w:p>
    <w:p w:rsidR="00246E09" w:rsidRPr="00FB0CD8" w:rsidRDefault="00650C79">
      <w:pPr>
        <w:jc w:val="center"/>
        <w:rPr>
          <w:rFonts w:ascii="Noto Sans" w:hAnsi="Noto Sans" w:cs="Noto Sans"/>
          <w:sz w:val="22"/>
          <w:szCs w:val="22"/>
        </w:rPr>
      </w:pPr>
      <w:r>
        <w:rPr>
          <w:rFonts w:ascii="Noto Sans" w:hAnsi="Noto Sans" w:cs="Noto Sans"/>
          <w:b/>
          <w:color w:val="10312B"/>
          <w:sz w:val="22"/>
        </w:rPr>
        <w:t>IOAE: variación mensual estimada del IGAE, enero 2021–junio 2026</w:t>
      </w:r>
    </w:p>
    <w:p w:rsidR="00BC0BB8" w:rsidRPr="00FB0CD8" w:rsidRDefault="00465707" w:rsidP="001334B6">
      <w:pPr>
        <w:jc w:val="center"/>
        <w:rPr>
          <w:rFonts w:ascii="Noto Sans" w:hAnsi="Noto Sans" w:cs="Noto Sans"/>
          <w:sz w:val="22"/>
          <w:szCs w:val="22"/>
        </w:rPr>
      </w:pPr>
      <w:r>
        <w:rPr>
          <w:noProof/>
        </w:rPr>
        <w:drawing>
          <wp:inline distT="0" distB="0" distL="0" distR="0">
            <wp:extent cx="5464040" cy="1687032"/>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a4_junio_clean.png"/>
                    <pic:cNvPicPr/>
                  </pic:nvPicPr>
                  <pic:blipFill>
                    <a:blip r:embed="rId10"/>
                    <a:stretch>
                      <a:fillRect/>
                    </a:stretch>
                  </pic:blipFill>
                  <pic:spPr>
                    <a:xfrm>
                      <a:off x="0" y="0"/>
                      <a:ext cx="5495462" cy="1696734"/>
                    </a:xfrm>
                    <a:prstGeom prst="rect">
                      <a:avLst/>
                    </a:prstGeom>
                  </pic:spPr>
                </pic:pic>
              </a:graphicData>
            </a:graphic>
          </wp:inline>
        </w:drawing>
      </w:r>
    </w:p>
    <w:p w:rsidR="00246E09" w:rsidRPr="00FB0CD8" w:rsidRDefault="00246E09">
      <w:pPr>
        <w:jc w:val="both"/>
        <w:rPr>
          <w:rFonts w:ascii="Noto Sans" w:hAnsi="Noto Sans" w:cs="Noto Sans"/>
          <w:sz w:val="22"/>
          <w:szCs w:val="22"/>
        </w:rPr>
      </w:pPr>
    </w:p>
    <w:p w:rsidR="00246E09" w:rsidRPr="00DD3CD0" w:rsidRDefault="00465707">
      <w:pPr>
        <w:shd w:val="clear" w:color="auto" w:fill="005E4C"/>
        <w:jc w:val="both"/>
        <w:rPr>
          <w:rFonts w:ascii="Noto Sans" w:hAnsi="Noto Sans" w:cs="Noto Sans"/>
          <w:sz w:val="22"/>
          <w:szCs w:val="22"/>
        </w:rPr>
      </w:pPr>
      <w:r w:rsidRPr="00DD3CD0">
        <w:rPr>
          <w:rFonts w:ascii="Noto Sans" w:hAnsi="Noto Sans" w:cs="Noto Sans"/>
          <w:b/>
          <w:bCs/>
          <w:color w:val="FFFFFF" w:themeColor="background1"/>
          <w:sz w:val="22"/>
          <w:szCs w:val="22"/>
        </w:rPr>
        <w:t>Implicaciones</w:t>
      </w:r>
    </w:p>
    <w:p w:rsidR="00035532" w:rsidRPr="00035532" w:rsidRDefault="00035532">
      <w:pPr>
        <w:jc w:val="both"/>
        <w:rPr>
          <w:rFonts w:ascii="Noto Sans" w:hAnsi="Noto Sans" w:cs="Noto Sans"/>
          <w:b/>
          <w:color w:val="000000"/>
          <w:sz w:val="22"/>
          <w:szCs w:val="22"/>
        </w:rPr>
      </w:pPr>
      <w:r w:rsidRPr="00035532">
        <w:rPr>
          <w:rFonts w:ascii="Noto Sans" w:hAnsi="Noto Sans" w:cs="Noto Sans"/>
          <w:b/>
          <w:color w:val="000000"/>
          <w:sz w:val="22"/>
          <w:szCs w:val="22"/>
        </w:rPr>
        <w:t>El IOAE de junio anticipa una actividad económica en expansión moderada, con una señal estadística más favorable que en el boletín anterior.</w:t>
      </w:r>
      <w:r w:rsidRPr="00035532">
        <w:rPr>
          <w:rFonts w:ascii="Noto Sans" w:hAnsi="Noto Sans" w:cs="Noto Sans"/>
          <w:color w:val="000000"/>
          <w:sz w:val="22"/>
          <w:szCs w:val="22"/>
        </w:rPr>
        <w:t xml:space="preserve"> La lectura relevante está en la composición: las actividades terciarias mantienen el mayor dinamismo, mientras que las secundarias muestran una recuperación acotada y con amplio margen de incertidumbre. Hacia adelante, conviene esperar la publicación formal del IGAE para validar si junio consolida la mejora frente a mayo o si el nowcast vuelve a ajustarse. El siguiente boletín del IOAE se publicará el </w:t>
      </w:r>
      <w:r w:rsidRPr="00035532">
        <w:rPr>
          <w:rFonts w:ascii="Noto Sans" w:hAnsi="Noto Sans" w:cs="Noto Sans"/>
          <w:b/>
          <w:color w:val="000000"/>
          <w:sz w:val="22"/>
          <w:szCs w:val="22"/>
        </w:rPr>
        <w:t>20 de agosto de 2026.</w:t>
      </w:r>
    </w:p>
    <w:p w:rsidR="00035532" w:rsidRDefault="00035532">
      <w:pPr>
        <w:jc w:val="both"/>
        <w:rPr>
          <w:rFonts w:ascii="Noto Sans" w:hAnsi="Noto Sans" w:cs="Noto Sans"/>
          <w:color w:val="4C545B"/>
          <w:sz w:val="16"/>
          <w:szCs w:val="16"/>
        </w:rPr>
      </w:pPr>
    </w:p>
    <w:p w:rsidR="00246E09" w:rsidRPr="00DD3CD0" w:rsidRDefault="00465707">
      <w:pPr>
        <w:jc w:val="both"/>
        <w:rPr>
          <w:rFonts w:ascii="Noto Sans" w:hAnsi="Noto Sans" w:cs="Noto Sans"/>
          <w:sz w:val="16"/>
          <w:szCs w:val="16"/>
        </w:rPr>
      </w:pPr>
      <w:r w:rsidRPr="00DD3CD0">
        <w:rPr>
          <w:rFonts w:ascii="Noto Sans" w:hAnsi="Noto Sans" w:cs="Noto Sans"/>
          <w:color w:val="4C545B"/>
          <w:sz w:val="16"/>
          <w:szCs w:val="16"/>
        </w:rPr>
        <w:t>Fuente: INEGI, Indicador Oportuno de la Actividad Económica (IOAE), Boletín de Indicador, 21 de julio de 2026. Cifras de junio de 2026. Próxima publicación: 20 de agosto de 2026.</w:t>
      </w:r>
    </w:p>
    <w:sectPr w:rsidR="00246E09" w:rsidRPr="00DD3CD0">
      <w:headerReference w:type="default" r:id="rId11"/>
      <w:footerReference w:type="even" r:id="rId12"/>
      <w:footerReference w:type="default" r:id="rId13"/>
      <w:pgSz w:w="12240" w:h="15840"/>
      <w:pgMar w:top="1134" w:right="1701"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0B6B" w:rsidRDefault="00610B6B" w:rsidP="00E32E74">
      <w:r>
        <w:separator/>
      </w:r>
    </w:p>
  </w:endnote>
  <w:endnote w:type="continuationSeparator" w:id="0">
    <w:p w:rsidR="00610B6B" w:rsidRDefault="00610B6B" w:rsidP="00E32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Noto Sans">
    <w:altName w:val="Calibri"/>
    <w:panose1 w:val="020B0502040504020204"/>
    <w:charset w:val="00"/>
    <w:family w:val="swiss"/>
    <w:pitch w:val="variable"/>
    <w:sig w:usb0="E00882FF" w:usb1="400078FF" w:usb2="08000029" w:usb3="00000000" w:csb0="0000019F" w:csb1="00000000"/>
  </w:font>
  <w:font w:name="Montserrat Light">
    <w:altName w:val="Calibri"/>
    <w:panose1 w:val="020B0604020202020204"/>
    <w:charset w:val="4D"/>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Montserrat">
    <w:altName w:val="Calibri"/>
    <w:panose1 w:val="020B0604020202020204"/>
    <w:charset w:val="4D"/>
    <w:family w:val="auto"/>
    <w:pitch w:val="variable"/>
    <w:sig w:usb0="2000020F" w:usb1="00000003" w:usb2="00000000" w:usb3="00000000" w:csb0="00000197" w:csb1="00000000"/>
  </w:font>
  <w:font w:name="Univers (W1)">
    <w:altName w:val="Arial"/>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merodepgina"/>
      </w:rPr>
      <w:id w:val="1445275167"/>
      <w:docPartObj>
        <w:docPartGallery w:val="Page Numbers (Bottom of Page)"/>
        <w:docPartUnique/>
      </w:docPartObj>
    </w:sdtPr>
    <w:sdtEndPr>
      <w:rPr>
        <w:rStyle w:val="Nmerodepgina"/>
      </w:rPr>
    </w:sdtEndPr>
    <w:sdtContent>
      <w:p w:rsidR="008544E1" w:rsidRDefault="008544E1" w:rsidP="00DA379C">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E633D">
          <w:rPr>
            <w:rStyle w:val="Nmerodepgina"/>
            <w:noProof/>
          </w:rPr>
          <w:t>1</w:t>
        </w:r>
        <w:r>
          <w:rPr>
            <w:rStyle w:val="Nmerodepgina"/>
          </w:rPr>
          <w:fldChar w:fldCharType="end"/>
        </w:r>
      </w:p>
    </w:sdtContent>
  </w:sdt>
  <w:p w:rsidR="008544E1" w:rsidRDefault="008544E1" w:rsidP="008544E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54A2" w:rsidRDefault="00D60BF7" w:rsidP="008544E1">
    <w:pPr>
      <w:ind w:right="360"/>
    </w:pPr>
    <w:r>
      <w:rPr>
        <w:noProof/>
        <w:color w:val="000000"/>
      </w:rPr>
      <w:drawing>
        <wp:anchor distT="0" distB="0" distL="114300" distR="114300" simplePos="0" relativeHeight="251660288" behindDoc="1" locked="0" layoutInCell="1" allowOverlap="1" wp14:anchorId="093B9EEA" wp14:editId="414DD1FB">
          <wp:simplePos x="0" y="0"/>
          <wp:positionH relativeFrom="page">
            <wp:posOffset>-121920</wp:posOffset>
          </wp:positionH>
          <wp:positionV relativeFrom="paragraph">
            <wp:posOffset>-45085</wp:posOffset>
          </wp:positionV>
          <wp:extent cx="7894873" cy="1293628"/>
          <wp:effectExtent l="0" t="0" r="5080" b="1905"/>
          <wp:wrapNone/>
          <wp:docPr id="441815502" name="Imagen 1" descr="Imagen que contiene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35576" name="Imagen 1" descr="Imagen que contiene Aplicación  El contenido generado por IA puede ser incorrecto."/>
                  <pic:cNvPicPr/>
                </pic:nvPicPr>
                <pic:blipFill rotWithShape="1">
                  <a:blip r:embed="rId1">
                    <a:extLst>
                      <a:ext uri="{28A0092B-C50C-407E-A947-70E740481C1C}">
                        <a14:useLocalDpi xmlns:a14="http://schemas.microsoft.com/office/drawing/2010/main" val="0"/>
                      </a:ext>
                    </a:extLst>
                  </a:blip>
                  <a:srcRect t="88139"/>
                  <a:stretch>
                    <a:fillRect/>
                  </a:stretch>
                </pic:blipFill>
                <pic:spPr bwMode="auto">
                  <a:xfrm>
                    <a:off x="0" y="0"/>
                    <a:ext cx="7894873" cy="129362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DB54A2" w:rsidRPr="00E7262E" w:rsidRDefault="00DB54A2" w:rsidP="00A27EAB">
    <w:pPr>
      <w:jc w:val="right"/>
    </w:pPr>
  </w:p>
  <w:p w:rsidR="00B62B90" w:rsidRDefault="00B62B90" w:rsidP="00E32E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0B6B" w:rsidRDefault="00610B6B" w:rsidP="00E32E74">
      <w:r>
        <w:separator/>
      </w:r>
    </w:p>
  </w:footnote>
  <w:footnote w:type="continuationSeparator" w:id="0">
    <w:p w:rsidR="00610B6B" w:rsidRDefault="00610B6B" w:rsidP="00E32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54A2" w:rsidRDefault="00EA49C5" w:rsidP="00E32E74">
    <w:r>
      <w:rPr>
        <w:noProof/>
      </w:rPr>
      <w:drawing>
        <wp:anchor distT="0" distB="0" distL="0" distR="0" simplePos="0" relativeHeight="251658240" behindDoc="1" locked="0" layoutInCell="1" hidden="0" allowOverlap="1" wp14:anchorId="3C194DD2" wp14:editId="09349DB6">
          <wp:simplePos x="0" y="0"/>
          <wp:positionH relativeFrom="page">
            <wp:posOffset>-12700</wp:posOffset>
          </wp:positionH>
          <wp:positionV relativeFrom="paragraph">
            <wp:posOffset>-436626</wp:posOffset>
          </wp:positionV>
          <wp:extent cx="7753939" cy="1257300"/>
          <wp:effectExtent l="0" t="0" r="6350" b="0"/>
          <wp:wrapNone/>
          <wp:docPr id="949743675"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b="16596"/>
                  <a:stretch>
                    <a:fillRect/>
                  </a:stretch>
                </pic:blipFill>
                <pic:spPr>
                  <a:xfrm>
                    <a:off x="0" y="0"/>
                    <a:ext cx="7753939" cy="1257300"/>
                  </a:xfrm>
                  <a:prstGeom prst="rect">
                    <a:avLst/>
                  </a:prstGeom>
                  <a:ln/>
                </pic:spPr>
              </pic:pic>
            </a:graphicData>
          </a:graphic>
          <wp14:sizeRelH relativeFrom="margin">
            <wp14:pctWidth>0</wp14:pctWidth>
          </wp14:sizeRelH>
          <wp14:sizeRelV relativeFrom="margin">
            <wp14:pctHeight>0</wp14:pctHeight>
          </wp14:sizeRelV>
        </wp:anchor>
      </w:drawing>
    </w:r>
  </w:p>
  <w:p w:rsidR="00DB54A2" w:rsidRDefault="00DB54A2" w:rsidP="00E32E74"/>
  <w:p w:rsidR="00F859CD" w:rsidRDefault="00F859CD" w:rsidP="00E32E74"/>
  <w:p w:rsidR="00E84F6B" w:rsidRDefault="00FE6B8B" w:rsidP="00FE6B8B">
    <w:pPr>
      <w:ind w:left="-426"/>
      <w:rPr>
        <w:rFonts w:ascii="Calibri" w:hAnsi="Calibri" w:cs="Calibri"/>
        <w:b/>
        <w:bCs/>
        <w:sz w:val="22"/>
        <w:szCs w:val="22"/>
      </w:rPr>
    </w:pPr>
    <w:r>
      <w:rPr>
        <w:rFonts w:ascii="Calibri" w:hAnsi="Calibri" w:cs="Calibri"/>
        <w:b/>
        <w:bCs/>
        <w:sz w:val="22"/>
        <w:szCs w:val="22"/>
      </w:rPr>
      <w:t>Subsecretaría de Industria y Comercio</w:t>
    </w:r>
  </w:p>
  <w:p w:rsidR="00EA51AD" w:rsidRPr="00FE6B8B" w:rsidRDefault="00EA51AD" w:rsidP="00FE6B8B">
    <w:pPr>
      <w:ind w:left="-426"/>
      <w:rPr>
        <w:rFonts w:ascii="Calibri" w:hAnsi="Calibri" w:cs="Calibri"/>
        <w:b/>
        <w:bCs/>
        <w:sz w:val="22"/>
        <w:szCs w:val="22"/>
      </w:rPr>
    </w:pPr>
    <w:r>
      <w:rPr>
        <w:rFonts w:ascii="Noto Sans" w:hAnsi="Noto Sans" w:cs="Noto Sans"/>
        <w:b/>
        <w:bCs/>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66058"/>
    <w:multiLevelType w:val="multilevel"/>
    <w:tmpl w:val="CF0EF5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600E73"/>
    <w:multiLevelType w:val="multilevel"/>
    <w:tmpl w:val="F8E64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74F6"/>
    <w:multiLevelType w:val="hybridMultilevel"/>
    <w:tmpl w:val="BD24C636"/>
    <w:lvl w:ilvl="0" w:tplc="040A0001">
      <w:start w:val="1"/>
      <w:numFmt w:val="bullet"/>
      <w:lvlText w:val=""/>
      <w:lvlJc w:val="left"/>
      <w:pPr>
        <w:ind w:left="864" w:hanging="360"/>
      </w:pPr>
      <w:rPr>
        <w:rFonts w:ascii="Symbol" w:hAnsi="Symbol" w:hint="default"/>
      </w:rPr>
    </w:lvl>
    <w:lvl w:ilvl="1" w:tplc="040A0003" w:tentative="1">
      <w:start w:val="1"/>
      <w:numFmt w:val="bullet"/>
      <w:lvlText w:val="o"/>
      <w:lvlJc w:val="left"/>
      <w:pPr>
        <w:ind w:left="1584" w:hanging="360"/>
      </w:pPr>
      <w:rPr>
        <w:rFonts w:ascii="Courier New" w:hAnsi="Courier New" w:cs="Courier New" w:hint="default"/>
      </w:rPr>
    </w:lvl>
    <w:lvl w:ilvl="2" w:tplc="040A0005" w:tentative="1">
      <w:start w:val="1"/>
      <w:numFmt w:val="bullet"/>
      <w:lvlText w:val=""/>
      <w:lvlJc w:val="left"/>
      <w:pPr>
        <w:ind w:left="2304" w:hanging="360"/>
      </w:pPr>
      <w:rPr>
        <w:rFonts w:ascii="Wingdings" w:hAnsi="Wingdings" w:hint="default"/>
      </w:rPr>
    </w:lvl>
    <w:lvl w:ilvl="3" w:tplc="040A0001" w:tentative="1">
      <w:start w:val="1"/>
      <w:numFmt w:val="bullet"/>
      <w:lvlText w:val=""/>
      <w:lvlJc w:val="left"/>
      <w:pPr>
        <w:ind w:left="3024" w:hanging="360"/>
      </w:pPr>
      <w:rPr>
        <w:rFonts w:ascii="Symbol" w:hAnsi="Symbol" w:hint="default"/>
      </w:rPr>
    </w:lvl>
    <w:lvl w:ilvl="4" w:tplc="040A0003" w:tentative="1">
      <w:start w:val="1"/>
      <w:numFmt w:val="bullet"/>
      <w:lvlText w:val="o"/>
      <w:lvlJc w:val="left"/>
      <w:pPr>
        <w:ind w:left="3744" w:hanging="360"/>
      </w:pPr>
      <w:rPr>
        <w:rFonts w:ascii="Courier New" w:hAnsi="Courier New" w:cs="Courier New" w:hint="default"/>
      </w:rPr>
    </w:lvl>
    <w:lvl w:ilvl="5" w:tplc="040A0005" w:tentative="1">
      <w:start w:val="1"/>
      <w:numFmt w:val="bullet"/>
      <w:lvlText w:val=""/>
      <w:lvlJc w:val="left"/>
      <w:pPr>
        <w:ind w:left="4464" w:hanging="360"/>
      </w:pPr>
      <w:rPr>
        <w:rFonts w:ascii="Wingdings" w:hAnsi="Wingdings" w:hint="default"/>
      </w:rPr>
    </w:lvl>
    <w:lvl w:ilvl="6" w:tplc="040A0001" w:tentative="1">
      <w:start w:val="1"/>
      <w:numFmt w:val="bullet"/>
      <w:lvlText w:val=""/>
      <w:lvlJc w:val="left"/>
      <w:pPr>
        <w:ind w:left="5184" w:hanging="360"/>
      </w:pPr>
      <w:rPr>
        <w:rFonts w:ascii="Symbol" w:hAnsi="Symbol" w:hint="default"/>
      </w:rPr>
    </w:lvl>
    <w:lvl w:ilvl="7" w:tplc="040A0003" w:tentative="1">
      <w:start w:val="1"/>
      <w:numFmt w:val="bullet"/>
      <w:lvlText w:val="o"/>
      <w:lvlJc w:val="left"/>
      <w:pPr>
        <w:ind w:left="5904" w:hanging="360"/>
      </w:pPr>
      <w:rPr>
        <w:rFonts w:ascii="Courier New" w:hAnsi="Courier New" w:cs="Courier New" w:hint="default"/>
      </w:rPr>
    </w:lvl>
    <w:lvl w:ilvl="8" w:tplc="040A0005" w:tentative="1">
      <w:start w:val="1"/>
      <w:numFmt w:val="bullet"/>
      <w:lvlText w:val=""/>
      <w:lvlJc w:val="left"/>
      <w:pPr>
        <w:ind w:left="6624" w:hanging="360"/>
      </w:pPr>
      <w:rPr>
        <w:rFonts w:ascii="Wingdings" w:hAnsi="Wingdings" w:hint="default"/>
      </w:rPr>
    </w:lvl>
  </w:abstractNum>
  <w:abstractNum w:abstractNumId="3" w15:restartNumberingAfterBreak="0">
    <w:nsid w:val="09B5062C"/>
    <w:multiLevelType w:val="multilevel"/>
    <w:tmpl w:val="E0D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B75AF"/>
    <w:multiLevelType w:val="multilevel"/>
    <w:tmpl w:val="F990A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A051B"/>
    <w:multiLevelType w:val="multilevel"/>
    <w:tmpl w:val="F70C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26045"/>
    <w:multiLevelType w:val="hybridMultilevel"/>
    <w:tmpl w:val="2886F9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4B1544"/>
    <w:multiLevelType w:val="multilevel"/>
    <w:tmpl w:val="1DC4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E7BD5"/>
    <w:multiLevelType w:val="multilevel"/>
    <w:tmpl w:val="E21E2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70303"/>
    <w:multiLevelType w:val="hybridMultilevel"/>
    <w:tmpl w:val="77764E7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5613076"/>
    <w:multiLevelType w:val="multilevel"/>
    <w:tmpl w:val="DC60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72D51"/>
    <w:multiLevelType w:val="hybridMultilevel"/>
    <w:tmpl w:val="B27E3374"/>
    <w:lvl w:ilvl="0" w:tplc="3A18FCBA">
      <w:start w:val="1"/>
      <w:numFmt w:val="decimal"/>
      <w:lvlText w:val="%1."/>
      <w:lvlJc w:val="left"/>
      <w:pPr>
        <w:ind w:left="720" w:hanging="360"/>
      </w:pPr>
      <w:rPr>
        <w:rFonts w:hint="default"/>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7E7B97"/>
    <w:multiLevelType w:val="hybridMultilevel"/>
    <w:tmpl w:val="2A4A9C34"/>
    <w:lvl w:ilvl="0" w:tplc="BE928576">
      <w:numFmt w:val="bullet"/>
      <w:lvlText w:val="•"/>
      <w:lvlJc w:val="left"/>
      <w:pPr>
        <w:ind w:left="504" w:hanging="360"/>
      </w:pPr>
      <w:rPr>
        <w:rFonts w:ascii="Arial" w:eastAsia="Times New Roman"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2B0F28E7"/>
    <w:multiLevelType w:val="multilevel"/>
    <w:tmpl w:val="B01CB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0E56A7"/>
    <w:multiLevelType w:val="multilevel"/>
    <w:tmpl w:val="2B92D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F13CCD"/>
    <w:multiLevelType w:val="multilevel"/>
    <w:tmpl w:val="AEEE5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7731D8"/>
    <w:multiLevelType w:val="hybridMultilevel"/>
    <w:tmpl w:val="E58CE21C"/>
    <w:lvl w:ilvl="0" w:tplc="0C348DAA">
      <w:start w:val="1"/>
      <w:numFmt w:val="upperRoman"/>
      <w:pStyle w:val="Ttulo4"/>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D270ACC"/>
    <w:multiLevelType w:val="multilevel"/>
    <w:tmpl w:val="DDDE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6F1DE7"/>
    <w:multiLevelType w:val="multilevel"/>
    <w:tmpl w:val="AF8E5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45AEF"/>
    <w:multiLevelType w:val="multilevel"/>
    <w:tmpl w:val="77708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90047D"/>
    <w:multiLevelType w:val="hybridMultilevel"/>
    <w:tmpl w:val="A822CF98"/>
    <w:lvl w:ilvl="0" w:tplc="BE928576">
      <w:numFmt w:val="bullet"/>
      <w:lvlText w:val="•"/>
      <w:lvlJc w:val="left"/>
      <w:pPr>
        <w:ind w:left="504" w:hanging="360"/>
      </w:pPr>
      <w:rPr>
        <w:rFonts w:ascii="Arial" w:eastAsia="Times New Roman" w:hAnsi="Arial" w:cs="Arial" w:hint="default"/>
      </w:rPr>
    </w:lvl>
    <w:lvl w:ilvl="1" w:tplc="040A0003" w:tentative="1">
      <w:start w:val="1"/>
      <w:numFmt w:val="bullet"/>
      <w:lvlText w:val="o"/>
      <w:lvlJc w:val="left"/>
      <w:pPr>
        <w:ind w:left="1224" w:hanging="360"/>
      </w:pPr>
      <w:rPr>
        <w:rFonts w:ascii="Courier New" w:hAnsi="Courier New" w:cs="Courier New" w:hint="default"/>
      </w:rPr>
    </w:lvl>
    <w:lvl w:ilvl="2" w:tplc="040A0005" w:tentative="1">
      <w:start w:val="1"/>
      <w:numFmt w:val="bullet"/>
      <w:lvlText w:val=""/>
      <w:lvlJc w:val="left"/>
      <w:pPr>
        <w:ind w:left="1944" w:hanging="360"/>
      </w:pPr>
      <w:rPr>
        <w:rFonts w:ascii="Wingdings" w:hAnsi="Wingdings" w:hint="default"/>
      </w:rPr>
    </w:lvl>
    <w:lvl w:ilvl="3" w:tplc="040A0001" w:tentative="1">
      <w:start w:val="1"/>
      <w:numFmt w:val="bullet"/>
      <w:lvlText w:val=""/>
      <w:lvlJc w:val="left"/>
      <w:pPr>
        <w:ind w:left="2664" w:hanging="360"/>
      </w:pPr>
      <w:rPr>
        <w:rFonts w:ascii="Symbol" w:hAnsi="Symbol" w:hint="default"/>
      </w:rPr>
    </w:lvl>
    <w:lvl w:ilvl="4" w:tplc="040A0003" w:tentative="1">
      <w:start w:val="1"/>
      <w:numFmt w:val="bullet"/>
      <w:lvlText w:val="o"/>
      <w:lvlJc w:val="left"/>
      <w:pPr>
        <w:ind w:left="3384" w:hanging="360"/>
      </w:pPr>
      <w:rPr>
        <w:rFonts w:ascii="Courier New" w:hAnsi="Courier New" w:cs="Courier New" w:hint="default"/>
      </w:rPr>
    </w:lvl>
    <w:lvl w:ilvl="5" w:tplc="040A0005" w:tentative="1">
      <w:start w:val="1"/>
      <w:numFmt w:val="bullet"/>
      <w:lvlText w:val=""/>
      <w:lvlJc w:val="left"/>
      <w:pPr>
        <w:ind w:left="4104" w:hanging="360"/>
      </w:pPr>
      <w:rPr>
        <w:rFonts w:ascii="Wingdings" w:hAnsi="Wingdings" w:hint="default"/>
      </w:rPr>
    </w:lvl>
    <w:lvl w:ilvl="6" w:tplc="040A0001" w:tentative="1">
      <w:start w:val="1"/>
      <w:numFmt w:val="bullet"/>
      <w:lvlText w:val=""/>
      <w:lvlJc w:val="left"/>
      <w:pPr>
        <w:ind w:left="4824" w:hanging="360"/>
      </w:pPr>
      <w:rPr>
        <w:rFonts w:ascii="Symbol" w:hAnsi="Symbol" w:hint="default"/>
      </w:rPr>
    </w:lvl>
    <w:lvl w:ilvl="7" w:tplc="040A0003" w:tentative="1">
      <w:start w:val="1"/>
      <w:numFmt w:val="bullet"/>
      <w:lvlText w:val="o"/>
      <w:lvlJc w:val="left"/>
      <w:pPr>
        <w:ind w:left="5544" w:hanging="360"/>
      </w:pPr>
      <w:rPr>
        <w:rFonts w:ascii="Courier New" w:hAnsi="Courier New" w:cs="Courier New" w:hint="default"/>
      </w:rPr>
    </w:lvl>
    <w:lvl w:ilvl="8" w:tplc="040A0005" w:tentative="1">
      <w:start w:val="1"/>
      <w:numFmt w:val="bullet"/>
      <w:lvlText w:val=""/>
      <w:lvlJc w:val="left"/>
      <w:pPr>
        <w:ind w:left="6264" w:hanging="360"/>
      </w:pPr>
      <w:rPr>
        <w:rFonts w:ascii="Wingdings" w:hAnsi="Wingdings" w:hint="default"/>
      </w:rPr>
    </w:lvl>
  </w:abstractNum>
  <w:abstractNum w:abstractNumId="21" w15:restartNumberingAfterBreak="0">
    <w:nsid w:val="62203C88"/>
    <w:multiLevelType w:val="multilevel"/>
    <w:tmpl w:val="CC1C0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68072D"/>
    <w:multiLevelType w:val="hybridMultilevel"/>
    <w:tmpl w:val="050879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3157499"/>
    <w:multiLevelType w:val="multilevel"/>
    <w:tmpl w:val="C5827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6C00BF"/>
    <w:multiLevelType w:val="multilevel"/>
    <w:tmpl w:val="98102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7327C8"/>
    <w:multiLevelType w:val="hybridMultilevel"/>
    <w:tmpl w:val="4BBA90A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AA16731"/>
    <w:multiLevelType w:val="multilevel"/>
    <w:tmpl w:val="0A6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55585F"/>
    <w:multiLevelType w:val="multilevel"/>
    <w:tmpl w:val="EE74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F537A"/>
    <w:multiLevelType w:val="multilevel"/>
    <w:tmpl w:val="4F3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36124"/>
    <w:multiLevelType w:val="multilevel"/>
    <w:tmpl w:val="F65C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1B2C3D"/>
    <w:multiLevelType w:val="hybridMultilevel"/>
    <w:tmpl w:val="7A1B2C3E"/>
    <w:lvl w:ilvl="0" w:tplc="F266E762">
      <w:start w:val="1"/>
      <w:numFmt w:val="bullet"/>
      <w:lvlText w:val=""/>
      <w:lvlJc w:val="left"/>
      <w:pPr>
        <w:ind w:left="432" w:hanging="288"/>
      </w:pPr>
      <w:rPr>
        <w:rFonts w:ascii="Symbol" w:hAnsi="Symbol" w:hint="default"/>
      </w:rPr>
    </w:lvl>
    <w:lvl w:ilvl="1" w:tplc="1A44F988">
      <w:numFmt w:val="decimal"/>
      <w:lvlText w:val=""/>
      <w:lvlJc w:val="left"/>
    </w:lvl>
    <w:lvl w:ilvl="2" w:tplc="784A313A">
      <w:numFmt w:val="decimal"/>
      <w:lvlText w:val=""/>
      <w:lvlJc w:val="left"/>
    </w:lvl>
    <w:lvl w:ilvl="3" w:tplc="E940B9BA">
      <w:numFmt w:val="decimal"/>
      <w:lvlText w:val=""/>
      <w:lvlJc w:val="left"/>
    </w:lvl>
    <w:lvl w:ilvl="4" w:tplc="CE9E15B0">
      <w:numFmt w:val="decimal"/>
      <w:lvlText w:val=""/>
      <w:lvlJc w:val="left"/>
    </w:lvl>
    <w:lvl w:ilvl="5" w:tplc="803CE1A8">
      <w:numFmt w:val="decimal"/>
      <w:lvlText w:val=""/>
      <w:lvlJc w:val="left"/>
    </w:lvl>
    <w:lvl w:ilvl="6" w:tplc="7EBEE4BC">
      <w:numFmt w:val="decimal"/>
      <w:lvlText w:val=""/>
      <w:lvlJc w:val="left"/>
    </w:lvl>
    <w:lvl w:ilvl="7" w:tplc="AD3C62DA">
      <w:numFmt w:val="decimal"/>
      <w:lvlText w:val=""/>
      <w:lvlJc w:val="left"/>
    </w:lvl>
    <w:lvl w:ilvl="8" w:tplc="C35E76F4">
      <w:numFmt w:val="decimal"/>
      <w:lvlText w:val=""/>
      <w:lvlJc w:val="left"/>
    </w:lvl>
  </w:abstractNum>
  <w:abstractNum w:abstractNumId="31" w15:restartNumberingAfterBreak="0">
    <w:nsid w:val="7B7C15D2"/>
    <w:multiLevelType w:val="hybridMultilevel"/>
    <w:tmpl w:val="9E94116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7B7C1AA1"/>
    <w:multiLevelType w:val="multilevel"/>
    <w:tmpl w:val="749C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19"/>
  </w:num>
  <w:num w:numId="4">
    <w:abstractNumId w:val="32"/>
  </w:num>
  <w:num w:numId="5">
    <w:abstractNumId w:val="26"/>
  </w:num>
  <w:num w:numId="6">
    <w:abstractNumId w:val="10"/>
  </w:num>
  <w:num w:numId="7">
    <w:abstractNumId w:val="28"/>
  </w:num>
  <w:num w:numId="8">
    <w:abstractNumId w:val="8"/>
  </w:num>
  <w:num w:numId="9">
    <w:abstractNumId w:val="5"/>
  </w:num>
  <w:num w:numId="10">
    <w:abstractNumId w:val="15"/>
  </w:num>
  <w:num w:numId="11">
    <w:abstractNumId w:val="18"/>
  </w:num>
  <w:num w:numId="12">
    <w:abstractNumId w:val="17"/>
  </w:num>
  <w:num w:numId="13">
    <w:abstractNumId w:val="7"/>
  </w:num>
  <w:num w:numId="14">
    <w:abstractNumId w:val="13"/>
  </w:num>
  <w:num w:numId="15">
    <w:abstractNumId w:val="29"/>
  </w:num>
  <w:num w:numId="16">
    <w:abstractNumId w:val="0"/>
  </w:num>
  <w:num w:numId="17">
    <w:abstractNumId w:val="23"/>
  </w:num>
  <w:num w:numId="18">
    <w:abstractNumId w:val="14"/>
  </w:num>
  <w:num w:numId="19">
    <w:abstractNumId w:val="22"/>
  </w:num>
  <w:num w:numId="20">
    <w:abstractNumId w:val="25"/>
  </w:num>
  <w:num w:numId="21">
    <w:abstractNumId w:val="11"/>
  </w:num>
  <w:num w:numId="22">
    <w:abstractNumId w:val="1"/>
  </w:num>
  <w:num w:numId="23">
    <w:abstractNumId w:val="21"/>
  </w:num>
  <w:num w:numId="24">
    <w:abstractNumId w:val="24"/>
  </w:num>
  <w:num w:numId="25">
    <w:abstractNumId w:val="3"/>
  </w:num>
  <w:num w:numId="26">
    <w:abstractNumId w:val="4"/>
  </w:num>
  <w:num w:numId="27">
    <w:abstractNumId w:val="27"/>
  </w:num>
  <w:num w:numId="28">
    <w:abstractNumId w:val="9"/>
  </w:num>
  <w:num w:numId="29">
    <w:abstractNumId w:val="31"/>
  </w:num>
  <w:num w:numId="30">
    <w:abstractNumId w:val="30"/>
  </w:num>
  <w:num w:numId="31">
    <w:abstractNumId w:val="2"/>
  </w:num>
  <w:num w:numId="32">
    <w:abstractNumId w:val="20"/>
  </w:num>
  <w:num w:numId="33">
    <w:abstractNumId w:val="1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94C"/>
    <w:rsid w:val="00002027"/>
    <w:rsid w:val="00003EA0"/>
    <w:rsid w:val="0000545B"/>
    <w:rsid w:val="000258F9"/>
    <w:rsid w:val="00025A89"/>
    <w:rsid w:val="00030E8C"/>
    <w:rsid w:val="0003237D"/>
    <w:rsid w:val="00035532"/>
    <w:rsid w:val="000377A6"/>
    <w:rsid w:val="00041BD6"/>
    <w:rsid w:val="000438FF"/>
    <w:rsid w:val="00043F02"/>
    <w:rsid w:val="00046781"/>
    <w:rsid w:val="00050586"/>
    <w:rsid w:val="00054FB9"/>
    <w:rsid w:val="000571C6"/>
    <w:rsid w:val="000A3591"/>
    <w:rsid w:val="000A46AA"/>
    <w:rsid w:val="000A71DD"/>
    <w:rsid w:val="000D126D"/>
    <w:rsid w:val="000D5B48"/>
    <w:rsid w:val="000E1551"/>
    <w:rsid w:val="000E263D"/>
    <w:rsid w:val="001106F9"/>
    <w:rsid w:val="00113971"/>
    <w:rsid w:val="00113ADD"/>
    <w:rsid w:val="001334B6"/>
    <w:rsid w:val="00136317"/>
    <w:rsid w:val="0013733B"/>
    <w:rsid w:val="00153B11"/>
    <w:rsid w:val="001544FC"/>
    <w:rsid w:val="00155DFB"/>
    <w:rsid w:val="0018050E"/>
    <w:rsid w:val="00193DC0"/>
    <w:rsid w:val="00197050"/>
    <w:rsid w:val="00197ADD"/>
    <w:rsid w:val="001A6402"/>
    <w:rsid w:val="001B2972"/>
    <w:rsid w:val="001B64D3"/>
    <w:rsid w:val="001C1EBA"/>
    <w:rsid w:val="001C2D90"/>
    <w:rsid w:val="001C5436"/>
    <w:rsid w:val="001D27D6"/>
    <w:rsid w:val="001D4DE9"/>
    <w:rsid w:val="001D7690"/>
    <w:rsid w:val="001E072F"/>
    <w:rsid w:val="001F561B"/>
    <w:rsid w:val="00204B82"/>
    <w:rsid w:val="00220619"/>
    <w:rsid w:val="002360E8"/>
    <w:rsid w:val="00246E09"/>
    <w:rsid w:val="00254C67"/>
    <w:rsid w:val="00290C17"/>
    <w:rsid w:val="00294C95"/>
    <w:rsid w:val="002C459E"/>
    <w:rsid w:val="002D44A8"/>
    <w:rsid w:val="002E0889"/>
    <w:rsid w:val="002E131D"/>
    <w:rsid w:val="002E3C28"/>
    <w:rsid w:val="002F4E7A"/>
    <w:rsid w:val="00320CA1"/>
    <w:rsid w:val="00341FF9"/>
    <w:rsid w:val="00344789"/>
    <w:rsid w:val="00360F50"/>
    <w:rsid w:val="0036312B"/>
    <w:rsid w:val="003919F7"/>
    <w:rsid w:val="003B7AF4"/>
    <w:rsid w:val="003E7119"/>
    <w:rsid w:val="00405D69"/>
    <w:rsid w:val="004135C9"/>
    <w:rsid w:val="00424E7E"/>
    <w:rsid w:val="0042728A"/>
    <w:rsid w:val="00431758"/>
    <w:rsid w:val="004362C5"/>
    <w:rsid w:val="00437209"/>
    <w:rsid w:val="00465707"/>
    <w:rsid w:val="004676E4"/>
    <w:rsid w:val="00470257"/>
    <w:rsid w:val="0047264F"/>
    <w:rsid w:val="004773F7"/>
    <w:rsid w:val="004869A7"/>
    <w:rsid w:val="00486FFD"/>
    <w:rsid w:val="00491EE7"/>
    <w:rsid w:val="0049299F"/>
    <w:rsid w:val="00495548"/>
    <w:rsid w:val="004A74A4"/>
    <w:rsid w:val="004A78F6"/>
    <w:rsid w:val="004B221D"/>
    <w:rsid w:val="004C0F95"/>
    <w:rsid w:val="004C2B18"/>
    <w:rsid w:val="004D104B"/>
    <w:rsid w:val="004D2236"/>
    <w:rsid w:val="004E388B"/>
    <w:rsid w:val="004E776E"/>
    <w:rsid w:val="004F3817"/>
    <w:rsid w:val="004F590A"/>
    <w:rsid w:val="0050130F"/>
    <w:rsid w:val="00502F3D"/>
    <w:rsid w:val="005267AC"/>
    <w:rsid w:val="00527411"/>
    <w:rsid w:val="005279B6"/>
    <w:rsid w:val="00550647"/>
    <w:rsid w:val="00580B12"/>
    <w:rsid w:val="00587300"/>
    <w:rsid w:val="00591B3A"/>
    <w:rsid w:val="00593514"/>
    <w:rsid w:val="005A57CC"/>
    <w:rsid w:val="005D105A"/>
    <w:rsid w:val="005D4B50"/>
    <w:rsid w:val="00610B6B"/>
    <w:rsid w:val="00612102"/>
    <w:rsid w:val="00612F23"/>
    <w:rsid w:val="00624CF1"/>
    <w:rsid w:val="00625F36"/>
    <w:rsid w:val="00646C52"/>
    <w:rsid w:val="00650C79"/>
    <w:rsid w:val="00661ED1"/>
    <w:rsid w:val="006626AF"/>
    <w:rsid w:val="00662863"/>
    <w:rsid w:val="00667278"/>
    <w:rsid w:val="00671DD9"/>
    <w:rsid w:val="0068031A"/>
    <w:rsid w:val="00697E37"/>
    <w:rsid w:val="006A1F60"/>
    <w:rsid w:val="006B308C"/>
    <w:rsid w:val="006D3942"/>
    <w:rsid w:val="006F4646"/>
    <w:rsid w:val="00705DC8"/>
    <w:rsid w:val="007471F1"/>
    <w:rsid w:val="007759A6"/>
    <w:rsid w:val="007816C7"/>
    <w:rsid w:val="0078392B"/>
    <w:rsid w:val="0079704D"/>
    <w:rsid w:val="007B7560"/>
    <w:rsid w:val="007D06F1"/>
    <w:rsid w:val="007D3385"/>
    <w:rsid w:val="007F60B5"/>
    <w:rsid w:val="00810EC6"/>
    <w:rsid w:val="0082026B"/>
    <w:rsid w:val="00830352"/>
    <w:rsid w:val="00832176"/>
    <w:rsid w:val="00833995"/>
    <w:rsid w:val="0083711C"/>
    <w:rsid w:val="008544E1"/>
    <w:rsid w:val="0086418A"/>
    <w:rsid w:val="00864D64"/>
    <w:rsid w:val="00864E21"/>
    <w:rsid w:val="00887FBD"/>
    <w:rsid w:val="00897B8A"/>
    <w:rsid w:val="008A56B9"/>
    <w:rsid w:val="008B36BF"/>
    <w:rsid w:val="008B4362"/>
    <w:rsid w:val="008B5764"/>
    <w:rsid w:val="008D09CA"/>
    <w:rsid w:val="008E781D"/>
    <w:rsid w:val="008F0109"/>
    <w:rsid w:val="008F2DC2"/>
    <w:rsid w:val="008F54BD"/>
    <w:rsid w:val="00927F12"/>
    <w:rsid w:val="00930605"/>
    <w:rsid w:val="0096516F"/>
    <w:rsid w:val="009667A4"/>
    <w:rsid w:val="00981CAC"/>
    <w:rsid w:val="00994331"/>
    <w:rsid w:val="00995175"/>
    <w:rsid w:val="00997820"/>
    <w:rsid w:val="009B2B04"/>
    <w:rsid w:val="009D1660"/>
    <w:rsid w:val="009D513B"/>
    <w:rsid w:val="009D662C"/>
    <w:rsid w:val="009E6351"/>
    <w:rsid w:val="00A25E9B"/>
    <w:rsid w:val="00A27EAB"/>
    <w:rsid w:val="00A34818"/>
    <w:rsid w:val="00A503BD"/>
    <w:rsid w:val="00A73CF4"/>
    <w:rsid w:val="00A84A08"/>
    <w:rsid w:val="00A8694C"/>
    <w:rsid w:val="00A87331"/>
    <w:rsid w:val="00A91676"/>
    <w:rsid w:val="00AA572B"/>
    <w:rsid w:val="00AA5821"/>
    <w:rsid w:val="00AE45C4"/>
    <w:rsid w:val="00B00ACC"/>
    <w:rsid w:val="00B109F8"/>
    <w:rsid w:val="00B273F4"/>
    <w:rsid w:val="00B37FB0"/>
    <w:rsid w:val="00B52545"/>
    <w:rsid w:val="00B62B90"/>
    <w:rsid w:val="00B64AE2"/>
    <w:rsid w:val="00B72087"/>
    <w:rsid w:val="00B775B3"/>
    <w:rsid w:val="00B93C35"/>
    <w:rsid w:val="00B94BFE"/>
    <w:rsid w:val="00BA7AF6"/>
    <w:rsid w:val="00BB1DC9"/>
    <w:rsid w:val="00BB4307"/>
    <w:rsid w:val="00BC0BB8"/>
    <w:rsid w:val="00BC0F57"/>
    <w:rsid w:val="00BD38B1"/>
    <w:rsid w:val="00BE2C85"/>
    <w:rsid w:val="00BF5F01"/>
    <w:rsid w:val="00C0087D"/>
    <w:rsid w:val="00C122A4"/>
    <w:rsid w:val="00C176D8"/>
    <w:rsid w:val="00C2645D"/>
    <w:rsid w:val="00C2663E"/>
    <w:rsid w:val="00C33446"/>
    <w:rsid w:val="00C42943"/>
    <w:rsid w:val="00C43081"/>
    <w:rsid w:val="00C619F7"/>
    <w:rsid w:val="00C62995"/>
    <w:rsid w:val="00C639EA"/>
    <w:rsid w:val="00C65A1B"/>
    <w:rsid w:val="00C66897"/>
    <w:rsid w:val="00C821D5"/>
    <w:rsid w:val="00C9207B"/>
    <w:rsid w:val="00CA49C6"/>
    <w:rsid w:val="00CA567C"/>
    <w:rsid w:val="00CB38B3"/>
    <w:rsid w:val="00CB6BF6"/>
    <w:rsid w:val="00CB70C5"/>
    <w:rsid w:val="00CC7915"/>
    <w:rsid w:val="00CD4A23"/>
    <w:rsid w:val="00CD7369"/>
    <w:rsid w:val="00CE633D"/>
    <w:rsid w:val="00D10BEE"/>
    <w:rsid w:val="00D2057E"/>
    <w:rsid w:val="00D2376F"/>
    <w:rsid w:val="00D23B89"/>
    <w:rsid w:val="00D263C6"/>
    <w:rsid w:val="00D60BF7"/>
    <w:rsid w:val="00D70252"/>
    <w:rsid w:val="00D70D18"/>
    <w:rsid w:val="00D83A01"/>
    <w:rsid w:val="00D90AAA"/>
    <w:rsid w:val="00D92277"/>
    <w:rsid w:val="00D974FD"/>
    <w:rsid w:val="00DA0A95"/>
    <w:rsid w:val="00DA0C65"/>
    <w:rsid w:val="00DB54A2"/>
    <w:rsid w:val="00DC152E"/>
    <w:rsid w:val="00DC5509"/>
    <w:rsid w:val="00DD2599"/>
    <w:rsid w:val="00DD3CD0"/>
    <w:rsid w:val="00DD4B7F"/>
    <w:rsid w:val="00DD6CF3"/>
    <w:rsid w:val="00DE76A7"/>
    <w:rsid w:val="00E0538C"/>
    <w:rsid w:val="00E066F2"/>
    <w:rsid w:val="00E1407E"/>
    <w:rsid w:val="00E32E74"/>
    <w:rsid w:val="00E56F00"/>
    <w:rsid w:val="00E61388"/>
    <w:rsid w:val="00E7262E"/>
    <w:rsid w:val="00E76409"/>
    <w:rsid w:val="00E84F6B"/>
    <w:rsid w:val="00E94CD4"/>
    <w:rsid w:val="00EA2751"/>
    <w:rsid w:val="00EA49C5"/>
    <w:rsid w:val="00EA51AD"/>
    <w:rsid w:val="00EB1C36"/>
    <w:rsid w:val="00EB1FB8"/>
    <w:rsid w:val="00EC4BC7"/>
    <w:rsid w:val="00ED0B2E"/>
    <w:rsid w:val="00F0340D"/>
    <w:rsid w:val="00F05F40"/>
    <w:rsid w:val="00F06026"/>
    <w:rsid w:val="00F16AAF"/>
    <w:rsid w:val="00F231FC"/>
    <w:rsid w:val="00F367B6"/>
    <w:rsid w:val="00F37BF3"/>
    <w:rsid w:val="00F43BA1"/>
    <w:rsid w:val="00F45090"/>
    <w:rsid w:val="00F53CD8"/>
    <w:rsid w:val="00F715E8"/>
    <w:rsid w:val="00F73ED8"/>
    <w:rsid w:val="00F83769"/>
    <w:rsid w:val="00F859CD"/>
    <w:rsid w:val="00F95ABF"/>
    <w:rsid w:val="00FA1EE3"/>
    <w:rsid w:val="00FA6B54"/>
    <w:rsid w:val="00FB0CD8"/>
    <w:rsid w:val="00FB178F"/>
    <w:rsid w:val="00FD0DC2"/>
    <w:rsid w:val="00FE2C1E"/>
    <w:rsid w:val="00FE6B8B"/>
    <w:rsid w:val="00FF063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64A6C1"/>
  <w15:docId w15:val="{788DCC13-AF70-4DF6-8663-0D0C6439A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4CD4"/>
    <w:rPr>
      <w:rFonts w:ascii="Times New Roman" w:eastAsia="Times New Roman" w:hAnsi="Times New Roman" w:cs="Times New Roman"/>
    </w:rPr>
  </w:style>
  <w:style w:type="paragraph" w:styleId="Ttulo1">
    <w:name w:val="heading 1"/>
    <w:basedOn w:val="Normal"/>
    <w:next w:val="Normal"/>
    <w:uiPriority w:val="9"/>
    <w:qFormat/>
    <w:rsid w:val="00CD7369"/>
    <w:pPr>
      <w:jc w:val="center"/>
      <w:outlineLvl w:val="0"/>
    </w:pPr>
    <w:rPr>
      <w:rFonts w:eastAsia="Noto Sans" w:cs="Noto Sans"/>
      <w:b/>
      <w:color w:val="670E35"/>
    </w:rPr>
  </w:style>
  <w:style w:type="paragraph" w:styleId="Ttulo2">
    <w:name w:val="heading 2"/>
    <w:basedOn w:val="Normal"/>
    <w:next w:val="Normal"/>
    <w:uiPriority w:val="9"/>
    <w:unhideWhenUsed/>
    <w:qFormat/>
    <w:rsid w:val="00D70252"/>
    <w:pPr>
      <w:jc w:val="center"/>
      <w:outlineLvl w:val="1"/>
    </w:pPr>
    <w:rPr>
      <w:rFonts w:eastAsia="Montserrat Light" w:cs="Montserrat Light"/>
      <w:b/>
      <w:color w:val="666666"/>
    </w:rPr>
  </w:style>
  <w:style w:type="paragraph" w:styleId="Ttulo3">
    <w:name w:val="heading 3"/>
    <w:basedOn w:val="Normal"/>
    <w:next w:val="Normal"/>
    <w:uiPriority w:val="9"/>
    <w:unhideWhenUsed/>
    <w:qFormat/>
    <w:rsid w:val="00CD7369"/>
    <w:pPr>
      <w:shd w:val="clear" w:color="auto" w:fill="670E35"/>
      <w:outlineLvl w:val="2"/>
    </w:pPr>
    <w:rPr>
      <w:b/>
      <w:color w:val="FFFFFF"/>
    </w:rPr>
  </w:style>
  <w:style w:type="paragraph" w:styleId="Ttulo4">
    <w:name w:val="heading 4"/>
    <w:basedOn w:val="Normal"/>
    <w:next w:val="Normal"/>
    <w:uiPriority w:val="9"/>
    <w:unhideWhenUsed/>
    <w:qFormat/>
    <w:rsid w:val="00D70252"/>
    <w:pPr>
      <w:keepNext/>
      <w:keepLines/>
      <w:numPr>
        <w:numId w:val="1"/>
      </w:numPr>
      <w:spacing w:before="240" w:after="40"/>
      <w:ind w:left="709" w:hanging="709"/>
      <w:outlineLvl w:val="3"/>
    </w:pPr>
    <w:rPr>
      <w:b/>
    </w:rPr>
  </w:style>
  <w:style w:type="paragraph" w:styleId="Ttulo5">
    <w:name w:val="heading 5"/>
    <w:basedOn w:val="Ttulo2"/>
    <w:next w:val="Normal"/>
    <w:uiPriority w:val="9"/>
    <w:unhideWhenUsed/>
    <w:qFormat/>
    <w:rsid w:val="00D70252"/>
    <w:pPr>
      <w:jc w:val="right"/>
      <w:outlineLvl w:val="4"/>
    </w:pPr>
    <w:rPr>
      <w:b w:val="0"/>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paragraph" w:styleId="Encabezado">
    <w:name w:val="header"/>
    <w:basedOn w:val="Normal"/>
    <w:link w:val="EncabezadoCar"/>
    <w:uiPriority w:val="99"/>
    <w:unhideWhenUsed/>
    <w:rsid w:val="00A73D65"/>
    <w:pPr>
      <w:tabs>
        <w:tab w:val="center" w:pos="4419"/>
        <w:tab w:val="right" w:pos="8838"/>
      </w:tabs>
    </w:pPr>
  </w:style>
  <w:style w:type="character" w:customStyle="1" w:styleId="EncabezadoCar">
    <w:name w:val="Encabezado Car"/>
    <w:basedOn w:val="Fuentedeprrafopredeter"/>
    <w:link w:val="Encabezado"/>
    <w:uiPriority w:val="99"/>
    <w:rsid w:val="00A73D65"/>
    <w:rPr>
      <w:rFonts w:eastAsiaTheme="minorEastAsia"/>
      <w:lang w:val="es-ES"/>
    </w:rPr>
  </w:style>
  <w:style w:type="paragraph" w:styleId="Piedepgina">
    <w:name w:val="footer"/>
    <w:basedOn w:val="Normal"/>
    <w:link w:val="PiedepginaCar"/>
    <w:uiPriority w:val="99"/>
    <w:unhideWhenUsed/>
    <w:rsid w:val="00A73D65"/>
    <w:pPr>
      <w:tabs>
        <w:tab w:val="center" w:pos="4419"/>
        <w:tab w:val="right" w:pos="8838"/>
      </w:tabs>
    </w:pPr>
  </w:style>
  <w:style w:type="character" w:customStyle="1" w:styleId="PiedepginaCar">
    <w:name w:val="Pie de página Car"/>
    <w:basedOn w:val="Fuentedeprrafopredeter"/>
    <w:link w:val="Piedepgina"/>
    <w:uiPriority w:val="99"/>
    <w:rsid w:val="00A73D65"/>
    <w:rPr>
      <w:rFonts w:eastAsiaTheme="minorEastAsia"/>
      <w:lang w:val="es-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unhideWhenUsed/>
    <w:rsid w:val="00C84662"/>
    <w:pPr>
      <w:spacing w:before="100" w:beforeAutospacing="1" w:after="100" w:afterAutospacing="1"/>
    </w:pPr>
  </w:style>
  <w:style w:type="paragraph" w:styleId="Prrafodelista">
    <w:name w:val="List Paragraph"/>
    <w:basedOn w:val="Normal"/>
    <w:uiPriority w:val="34"/>
    <w:qFormat/>
    <w:rsid w:val="001E119D"/>
    <w:pPr>
      <w:ind w:left="720"/>
      <w:contextualSpacing/>
    </w:pPr>
  </w:style>
  <w:style w:type="paragraph" w:styleId="Textodeglobo">
    <w:name w:val="Balloon Text"/>
    <w:basedOn w:val="Normal"/>
    <w:link w:val="TextodegloboCar"/>
    <w:uiPriority w:val="99"/>
    <w:semiHidden/>
    <w:unhideWhenUsed/>
    <w:rsid w:val="001E119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E119D"/>
    <w:rPr>
      <w:rFonts w:ascii="Segoe UI" w:eastAsiaTheme="minorEastAsia" w:hAnsi="Segoe UI" w:cs="Segoe UI"/>
      <w:sz w:val="18"/>
      <w:szCs w:val="18"/>
      <w:lang w:val="es-ES"/>
    </w:rPr>
  </w:style>
  <w:style w:type="character" w:styleId="Hipervnculo">
    <w:name w:val="Hyperlink"/>
    <w:basedOn w:val="Fuentedeprrafopredeter"/>
    <w:uiPriority w:val="99"/>
    <w:unhideWhenUsed/>
    <w:rsid w:val="00021984"/>
    <w:rPr>
      <w:color w:val="0000FF"/>
      <w:u w:val="single"/>
    </w:rPr>
  </w:style>
  <w:style w:type="character" w:styleId="Textoennegrita">
    <w:name w:val="Strong"/>
    <w:basedOn w:val="Fuentedeprrafopredeter"/>
    <w:uiPriority w:val="22"/>
    <w:qFormat/>
    <w:rsid w:val="008D09CA"/>
    <w:rPr>
      <w:b/>
      <w:bCs/>
    </w:rPr>
  </w:style>
  <w:style w:type="paragraph" w:styleId="Textonotapie">
    <w:name w:val="footnote text"/>
    <w:basedOn w:val="Normal"/>
    <w:link w:val="TextonotapieCar"/>
    <w:uiPriority w:val="99"/>
    <w:semiHidden/>
    <w:unhideWhenUsed/>
    <w:rsid w:val="008D09CA"/>
    <w:rPr>
      <w:sz w:val="20"/>
      <w:szCs w:val="20"/>
    </w:rPr>
  </w:style>
  <w:style w:type="character" w:customStyle="1" w:styleId="TextonotapieCar">
    <w:name w:val="Texto nota pie Car"/>
    <w:basedOn w:val="Fuentedeprrafopredeter"/>
    <w:link w:val="Textonotapie"/>
    <w:uiPriority w:val="99"/>
    <w:semiHidden/>
    <w:rsid w:val="008D09CA"/>
    <w:rPr>
      <w:rFonts w:ascii="Montserrat" w:eastAsia="Montserrat" w:hAnsi="Montserrat" w:cs="Montserrat"/>
      <w:sz w:val="20"/>
      <w:szCs w:val="20"/>
      <w:lang w:val="es-ES"/>
    </w:rPr>
  </w:style>
  <w:style w:type="character" w:styleId="Refdenotaalpie">
    <w:name w:val="footnote reference"/>
    <w:basedOn w:val="Fuentedeprrafopredeter"/>
    <w:uiPriority w:val="99"/>
    <w:semiHidden/>
    <w:unhideWhenUsed/>
    <w:rsid w:val="008D09CA"/>
    <w:rPr>
      <w:vertAlign w:val="superscript"/>
    </w:rPr>
  </w:style>
  <w:style w:type="table" w:styleId="Tablaconcuadrcula">
    <w:name w:val="Table Grid"/>
    <w:basedOn w:val="Tablanormal"/>
    <w:uiPriority w:val="39"/>
    <w:rsid w:val="00E76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3">
    <w:name w:val="Grid Table 4 Accent 3"/>
    <w:basedOn w:val="Tablanormal"/>
    <w:uiPriority w:val="49"/>
    <w:rsid w:val="00C176D8"/>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Textodelmarcadordeposicin">
    <w:name w:val="Placeholder Text"/>
    <w:basedOn w:val="Fuentedeprrafopredeter"/>
    <w:uiPriority w:val="99"/>
    <w:semiHidden/>
    <w:rsid w:val="00810EC6"/>
    <w:rPr>
      <w:color w:val="666666"/>
    </w:rPr>
  </w:style>
  <w:style w:type="character" w:styleId="Mencinsinresolver">
    <w:name w:val="Unresolved Mention"/>
    <w:basedOn w:val="Fuentedeprrafopredeter"/>
    <w:uiPriority w:val="99"/>
    <w:semiHidden/>
    <w:unhideWhenUsed/>
    <w:rsid w:val="0013733B"/>
    <w:rPr>
      <w:color w:val="605E5C"/>
      <w:shd w:val="clear" w:color="auto" w:fill="E1DFDD"/>
    </w:rPr>
  </w:style>
  <w:style w:type="paragraph" w:customStyle="1" w:styleId="n01">
    <w:name w:val="n01"/>
    <w:basedOn w:val="Normal"/>
    <w:rsid w:val="00431758"/>
    <w:pPr>
      <w:keepLines/>
      <w:spacing w:before="240"/>
      <w:ind w:left="720" w:hanging="720"/>
    </w:pPr>
    <w:rPr>
      <w:rFonts w:ascii="Univers (W1)" w:hAnsi="Univers (W1)" w:cs="Arial"/>
      <w:color w:val="800080"/>
      <w:lang w:val="es-ES_tradnl" w:eastAsia="es-ES"/>
    </w:rPr>
  </w:style>
  <w:style w:type="table" w:styleId="Tablaconcuadrcula1clara-nfasis6">
    <w:name w:val="Grid Table 1 Light Accent 6"/>
    <w:basedOn w:val="Tablanormal"/>
    <w:uiPriority w:val="46"/>
    <w:rsid w:val="00054FB9"/>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Tablaconcuadrcula2-nfasis6">
    <w:name w:val="Grid Table 2 Accent 6"/>
    <w:basedOn w:val="Tablanormal"/>
    <w:uiPriority w:val="47"/>
    <w:rsid w:val="00054FB9"/>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Nmerodepgina">
    <w:name w:val="page number"/>
    <w:basedOn w:val="Fuentedeprrafopredeter"/>
    <w:uiPriority w:val="99"/>
    <w:semiHidden/>
    <w:unhideWhenUsed/>
    <w:rsid w:val="008544E1"/>
  </w:style>
  <w:style w:type="character" w:styleId="Hipervnculovisitado">
    <w:name w:val="FollowedHyperlink"/>
    <w:basedOn w:val="Fuentedeprrafopredeter"/>
    <w:uiPriority w:val="99"/>
    <w:semiHidden/>
    <w:unhideWhenUsed/>
    <w:rsid w:val="00502F3D"/>
    <w:rPr>
      <w:color w:val="96607D"/>
      <w:u w:val="single"/>
    </w:rPr>
  </w:style>
  <w:style w:type="paragraph" w:customStyle="1" w:styleId="msonormal0">
    <w:name w:val="msonormal"/>
    <w:basedOn w:val="Normal"/>
    <w:rsid w:val="00502F3D"/>
    <w:pPr>
      <w:spacing w:before="100" w:beforeAutospacing="1" w:after="100" w:afterAutospacing="1"/>
    </w:pPr>
  </w:style>
  <w:style w:type="paragraph" w:customStyle="1" w:styleId="xl65">
    <w:name w:val="xl65"/>
    <w:basedOn w:val="Normal"/>
    <w:rsid w:val="00502F3D"/>
    <w:pPr>
      <w:spacing w:before="100" w:beforeAutospacing="1" w:after="100" w:afterAutospacing="1"/>
    </w:pPr>
  </w:style>
  <w:style w:type="paragraph" w:customStyle="1" w:styleId="xl66">
    <w:name w:val="xl66"/>
    <w:basedOn w:val="Normal"/>
    <w:rsid w:val="00502F3D"/>
    <w:pPr>
      <w:spacing w:before="100" w:beforeAutospacing="1" w:after="100" w:afterAutospacing="1"/>
    </w:pPr>
    <w:rPr>
      <w:rFonts w:ascii="Calibri" w:hAnsi="Calibri" w:cs="Calibri"/>
      <w:color w:val="000000"/>
    </w:rPr>
  </w:style>
  <w:style w:type="table" w:styleId="Tablaconcuadrcula4-nfasis6">
    <w:name w:val="Grid Table 4 Accent 6"/>
    <w:basedOn w:val="Tablanormal"/>
    <w:uiPriority w:val="49"/>
    <w:rsid w:val="00502F3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xl67">
    <w:name w:val="xl67"/>
    <w:basedOn w:val="Normal"/>
    <w:rsid w:val="00E94CD4"/>
    <w:pPr>
      <w:spacing w:before="100" w:beforeAutospacing="1" w:after="100" w:afterAutospacing="1"/>
    </w:pPr>
  </w:style>
  <w:style w:type="paragraph" w:customStyle="1" w:styleId="xl68">
    <w:name w:val="xl68"/>
    <w:basedOn w:val="Normal"/>
    <w:rsid w:val="00E94CD4"/>
    <w:pPr>
      <w:spacing w:before="100" w:beforeAutospacing="1" w:after="100" w:afterAutospacing="1"/>
    </w:pPr>
    <w:rPr>
      <w:rFonts w:ascii="Calibri" w:hAnsi="Calibri" w:cs="Calibri"/>
      <w:color w:val="000000"/>
    </w:rPr>
  </w:style>
  <w:style w:type="paragraph" w:customStyle="1" w:styleId="pdq2pgselectionanchorcontainer">
    <w:name w:val="pdq2pg_selectionanchorcontainer"/>
    <w:basedOn w:val="Normal"/>
    <w:rsid w:val="00360F50"/>
    <w:pPr>
      <w:spacing w:before="100" w:beforeAutospacing="1" w:after="100" w:afterAutospacing="1"/>
    </w:pPr>
    <w:rPr>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8942">
      <w:bodyDiv w:val="1"/>
      <w:marLeft w:val="0"/>
      <w:marRight w:val="0"/>
      <w:marTop w:val="0"/>
      <w:marBottom w:val="0"/>
      <w:divBdr>
        <w:top w:val="none" w:sz="0" w:space="0" w:color="auto"/>
        <w:left w:val="none" w:sz="0" w:space="0" w:color="auto"/>
        <w:bottom w:val="none" w:sz="0" w:space="0" w:color="auto"/>
        <w:right w:val="none" w:sz="0" w:space="0" w:color="auto"/>
      </w:divBdr>
    </w:div>
    <w:div w:id="15810080">
      <w:bodyDiv w:val="1"/>
      <w:marLeft w:val="0"/>
      <w:marRight w:val="0"/>
      <w:marTop w:val="0"/>
      <w:marBottom w:val="0"/>
      <w:divBdr>
        <w:top w:val="none" w:sz="0" w:space="0" w:color="auto"/>
        <w:left w:val="none" w:sz="0" w:space="0" w:color="auto"/>
        <w:bottom w:val="none" w:sz="0" w:space="0" w:color="auto"/>
        <w:right w:val="none" w:sz="0" w:space="0" w:color="auto"/>
      </w:divBdr>
    </w:div>
    <w:div w:id="55663023">
      <w:bodyDiv w:val="1"/>
      <w:marLeft w:val="0"/>
      <w:marRight w:val="0"/>
      <w:marTop w:val="0"/>
      <w:marBottom w:val="0"/>
      <w:divBdr>
        <w:top w:val="none" w:sz="0" w:space="0" w:color="auto"/>
        <w:left w:val="none" w:sz="0" w:space="0" w:color="auto"/>
        <w:bottom w:val="none" w:sz="0" w:space="0" w:color="auto"/>
        <w:right w:val="none" w:sz="0" w:space="0" w:color="auto"/>
      </w:divBdr>
    </w:div>
    <w:div w:id="65422157">
      <w:bodyDiv w:val="1"/>
      <w:marLeft w:val="0"/>
      <w:marRight w:val="0"/>
      <w:marTop w:val="0"/>
      <w:marBottom w:val="0"/>
      <w:divBdr>
        <w:top w:val="none" w:sz="0" w:space="0" w:color="auto"/>
        <w:left w:val="none" w:sz="0" w:space="0" w:color="auto"/>
        <w:bottom w:val="none" w:sz="0" w:space="0" w:color="auto"/>
        <w:right w:val="none" w:sz="0" w:space="0" w:color="auto"/>
      </w:divBdr>
    </w:div>
    <w:div w:id="96798362">
      <w:bodyDiv w:val="1"/>
      <w:marLeft w:val="0"/>
      <w:marRight w:val="0"/>
      <w:marTop w:val="0"/>
      <w:marBottom w:val="0"/>
      <w:divBdr>
        <w:top w:val="none" w:sz="0" w:space="0" w:color="auto"/>
        <w:left w:val="none" w:sz="0" w:space="0" w:color="auto"/>
        <w:bottom w:val="none" w:sz="0" w:space="0" w:color="auto"/>
        <w:right w:val="none" w:sz="0" w:space="0" w:color="auto"/>
      </w:divBdr>
    </w:div>
    <w:div w:id="173880736">
      <w:bodyDiv w:val="1"/>
      <w:marLeft w:val="0"/>
      <w:marRight w:val="0"/>
      <w:marTop w:val="0"/>
      <w:marBottom w:val="0"/>
      <w:divBdr>
        <w:top w:val="none" w:sz="0" w:space="0" w:color="auto"/>
        <w:left w:val="none" w:sz="0" w:space="0" w:color="auto"/>
        <w:bottom w:val="none" w:sz="0" w:space="0" w:color="auto"/>
        <w:right w:val="none" w:sz="0" w:space="0" w:color="auto"/>
      </w:divBdr>
    </w:div>
    <w:div w:id="183180050">
      <w:bodyDiv w:val="1"/>
      <w:marLeft w:val="0"/>
      <w:marRight w:val="0"/>
      <w:marTop w:val="0"/>
      <w:marBottom w:val="0"/>
      <w:divBdr>
        <w:top w:val="none" w:sz="0" w:space="0" w:color="auto"/>
        <w:left w:val="none" w:sz="0" w:space="0" w:color="auto"/>
        <w:bottom w:val="none" w:sz="0" w:space="0" w:color="auto"/>
        <w:right w:val="none" w:sz="0" w:space="0" w:color="auto"/>
      </w:divBdr>
    </w:div>
    <w:div w:id="257836087">
      <w:bodyDiv w:val="1"/>
      <w:marLeft w:val="0"/>
      <w:marRight w:val="0"/>
      <w:marTop w:val="0"/>
      <w:marBottom w:val="0"/>
      <w:divBdr>
        <w:top w:val="none" w:sz="0" w:space="0" w:color="auto"/>
        <w:left w:val="none" w:sz="0" w:space="0" w:color="auto"/>
        <w:bottom w:val="none" w:sz="0" w:space="0" w:color="auto"/>
        <w:right w:val="none" w:sz="0" w:space="0" w:color="auto"/>
      </w:divBdr>
    </w:div>
    <w:div w:id="291257348">
      <w:bodyDiv w:val="1"/>
      <w:marLeft w:val="0"/>
      <w:marRight w:val="0"/>
      <w:marTop w:val="0"/>
      <w:marBottom w:val="0"/>
      <w:divBdr>
        <w:top w:val="none" w:sz="0" w:space="0" w:color="auto"/>
        <w:left w:val="none" w:sz="0" w:space="0" w:color="auto"/>
        <w:bottom w:val="none" w:sz="0" w:space="0" w:color="auto"/>
        <w:right w:val="none" w:sz="0" w:space="0" w:color="auto"/>
      </w:divBdr>
      <w:divsChild>
        <w:div w:id="1573585854">
          <w:marLeft w:val="0"/>
          <w:marRight w:val="0"/>
          <w:marTop w:val="0"/>
          <w:marBottom w:val="0"/>
          <w:divBdr>
            <w:top w:val="none" w:sz="0" w:space="0" w:color="auto"/>
            <w:left w:val="none" w:sz="0" w:space="0" w:color="auto"/>
            <w:bottom w:val="none" w:sz="0" w:space="0" w:color="auto"/>
            <w:right w:val="none" w:sz="0" w:space="0" w:color="auto"/>
          </w:divBdr>
          <w:divsChild>
            <w:div w:id="646397101">
              <w:marLeft w:val="0"/>
              <w:marRight w:val="0"/>
              <w:marTop w:val="0"/>
              <w:marBottom w:val="0"/>
              <w:divBdr>
                <w:top w:val="none" w:sz="0" w:space="0" w:color="auto"/>
                <w:left w:val="none" w:sz="0" w:space="0" w:color="auto"/>
                <w:bottom w:val="none" w:sz="0" w:space="0" w:color="auto"/>
                <w:right w:val="none" w:sz="0" w:space="0" w:color="auto"/>
              </w:divBdr>
              <w:divsChild>
                <w:div w:id="1852524984">
                  <w:marLeft w:val="0"/>
                  <w:marRight w:val="0"/>
                  <w:marTop w:val="0"/>
                  <w:marBottom w:val="0"/>
                  <w:divBdr>
                    <w:top w:val="none" w:sz="0" w:space="0" w:color="auto"/>
                    <w:left w:val="none" w:sz="0" w:space="0" w:color="auto"/>
                    <w:bottom w:val="none" w:sz="0" w:space="0" w:color="auto"/>
                    <w:right w:val="none" w:sz="0" w:space="0" w:color="auto"/>
                  </w:divBdr>
                  <w:divsChild>
                    <w:div w:id="199579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90243">
      <w:bodyDiv w:val="1"/>
      <w:marLeft w:val="0"/>
      <w:marRight w:val="0"/>
      <w:marTop w:val="0"/>
      <w:marBottom w:val="0"/>
      <w:divBdr>
        <w:top w:val="none" w:sz="0" w:space="0" w:color="auto"/>
        <w:left w:val="none" w:sz="0" w:space="0" w:color="auto"/>
        <w:bottom w:val="none" w:sz="0" w:space="0" w:color="auto"/>
        <w:right w:val="none" w:sz="0" w:space="0" w:color="auto"/>
      </w:divBdr>
    </w:div>
    <w:div w:id="411396881">
      <w:bodyDiv w:val="1"/>
      <w:marLeft w:val="0"/>
      <w:marRight w:val="0"/>
      <w:marTop w:val="0"/>
      <w:marBottom w:val="0"/>
      <w:divBdr>
        <w:top w:val="none" w:sz="0" w:space="0" w:color="auto"/>
        <w:left w:val="none" w:sz="0" w:space="0" w:color="auto"/>
        <w:bottom w:val="none" w:sz="0" w:space="0" w:color="auto"/>
        <w:right w:val="none" w:sz="0" w:space="0" w:color="auto"/>
      </w:divBdr>
    </w:div>
    <w:div w:id="440488921">
      <w:bodyDiv w:val="1"/>
      <w:marLeft w:val="0"/>
      <w:marRight w:val="0"/>
      <w:marTop w:val="0"/>
      <w:marBottom w:val="0"/>
      <w:divBdr>
        <w:top w:val="none" w:sz="0" w:space="0" w:color="auto"/>
        <w:left w:val="none" w:sz="0" w:space="0" w:color="auto"/>
        <w:bottom w:val="none" w:sz="0" w:space="0" w:color="auto"/>
        <w:right w:val="none" w:sz="0" w:space="0" w:color="auto"/>
      </w:divBdr>
    </w:div>
    <w:div w:id="473763447">
      <w:bodyDiv w:val="1"/>
      <w:marLeft w:val="0"/>
      <w:marRight w:val="0"/>
      <w:marTop w:val="0"/>
      <w:marBottom w:val="0"/>
      <w:divBdr>
        <w:top w:val="none" w:sz="0" w:space="0" w:color="auto"/>
        <w:left w:val="none" w:sz="0" w:space="0" w:color="auto"/>
        <w:bottom w:val="none" w:sz="0" w:space="0" w:color="auto"/>
        <w:right w:val="none" w:sz="0" w:space="0" w:color="auto"/>
      </w:divBdr>
    </w:div>
    <w:div w:id="493571862">
      <w:bodyDiv w:val="1"/>
      <w:marLeft w:val="0"/>
      <w:marRight w:val="0"/>
      <w:marTop w:val="0"/>
      <w:marBottom w:val="0"/>
      <w:divBdr>
        <w:top w:val="none" w:sz="0" w:space="0" w:color="auto"/>
        <w:left w:val="none" w:sz="0" w:space="0" w:color="auto"/>
        <w:bottom w:val="none" w:sz="0" w:space="0" w:color="auto"/>
        <w:right w:val="none" w:sz="0" w:space="0" w:color="auto"/>
      </w:divBdr>
      <w:divsChild>
        <w:div w:id="1841002512">
          <w:marLeft w:val="0"/>
          <w:marRight w:val="0"/>
          <w:marTop w:val="0"/>
          <w:marBottom w:val="0"/>
          <w:divBdr>
            <w:top w:val="none" w:sz="0" w:space="0" w:color="auto"/>
            <w:left w:val="none" w:sz="0" w:space="0" w:color="auto"/>
            <w:bottom w:val="none" w:sz="0" w:space="0" w:color="auto"/>
            <w:right w:val="none" w:sz="0" w:space="0" w:color="auto"/>
          </w:divBdr>
          <w:divsChild>
            <w:div w:id="384911074">
              <w:marLeft w:val="0"/>
              <w:marRight w:val="0"/>
              <w:marTop w:val="0"/>
              <w:marBottom w:val="0"/>
              <w:divBdr>
                <w:top w:val="none" w:sz="0" w:space="0" w:color="auto"/>
                <w:left w:val="none" w:sz="0" w:space="0" w:color="auto"/>
                <w:bottom w:val="none" w:sz="0" w:space="0" w:color="auto"/>
                <w:right w:val="none" w:sz="0" w:space="0" w:color="auto"/>
              </w:divBdr>
              <w:divsChild>
                <w:div w:id="202974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014997">
      <w:bodyDiv w:val="1"/>
      <w:marLeft w:val="0"/>
      <w:marRight w:val="0"/>
      <w:marTop w:val="0"/>
      <w:marBottom w:val="0"/>
      <w:divBdr>
        <w:top w:val="none" w:sz="0" w:space="0" w:color="auto"/>
        <w:left w:val="none" w:sz="0" w:space="0" w:color="auto"/>
        <w:bottom w:val="none" w:sz="0" w:space="0" w:color="auto"/>
        <w:right w:val="none" w:sz="0" w:space="0" w:color="auto"/>
      </w:divBdr>
      <w:divsChild>
        <w:div w:id="2087914074">
          <w:marLeft w:val="0"/>
          <w:marRight w:val="0"/>
          <w:marTop w:val="0"/>
          <w:marBottom w:val="0"/>
          <w:divBdr>
            <w:top w:val="none" w:sz="0" w:space="0" w:color="auto"/>
            <w:left w:val="none" w:sz="0" w:space="0" w:color="auto"/>
            <w:bottom w:val="none" w:sz="0" w:space="0" w:color="auto"/>
            <w:right w:val="none" w:sz="0" w:space="0" w:color="auto"/>
          </w:divBdr>
          <w:divsChild>
            <w:div w:id="241259099">
              <w:marLeft w:val="0"/>
              <w:marRight w:val="0"/>
              <w:marTop w:val="0"/>
              <w:marBottom w:val="0"/>
              <w:divBdr>
                <w:top w:val="none" w:sz="0" w:space="0" w:color="auto"/>
                <w:left w:val="none" w:sz="0" w:space="0" w:color="auto"/>
                <w:bottom w:val="none" w:sz="0" w:space="0" w:color="auto"/>
                <w:right w:val="none" w:sz="0" w:space="0" w:color="auto"/>
              </w:divBdr>
              <w:divsChild>
                <w:div w:id="95329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220463">
      <w:bodyDiv w:val="1"/>
      <w:marLeft w:val="0"/>
      <w:marRight w:val="0"/>
      <w:marTop w:val="0"/>
      <w:marBottom w:val="0"/>
      <w:divBdr>
        <w:top w:val="none" w:sz="0" w:space="0" w:color="auto"/>
        <w:left w:val="none" w:sz="0" w:space="0" w:color="auto"/>
        <w:bottom w:val="none" w:sz="0" w:space="0" w:color="auto"/>
        <w:right w:val="none" w:sz="0" w:space="0" w:color="auto"/>
      </w:divBdr>
    </w:div>
    <w:div w:id="567768720">
      <w:bodyDiv w:val="1"/>
      <w:marLeft w:val="0"/>
      <w:marRight w:val="0"/>
      <w:marTop w:val="0"/>
      <w:marBottom w:val="0"/>
      <w:divBdr>
        <w:top w:val="none" w:sz="0" w:space="0" w:color="auto"/>
        <w:left w:val="none" w:sz="0" w:space="0" w:color="auto"/>
        <w:bottom w:val="none" w:sz="0" w:space="0" w:color="auto"/>
        <w:right w:val="none" w:sz="0" w:space="0" w:color="auto"/>
      </w:divBdr>
    </w:div>
    <w:div w:id="586961220">
      <w:bodyDiv w:val="1"/>
      <w:marLeft w:val="0"/>
      <w:marRight w:val="0"/>
      <w:marTop w:val="0"/>
      <w:marBottom w:val="0"/>
      <w:divBdr>
        <w:top w:val="none" w:sz="0" w:space="0" w:color="auto"/>
        <w:left w:val="none" w:sz="0" w:space="0" w:color="auto"/>
        <w:bottom w:val="none" w:sz="0" w:space="0" w:color="auto"/>
        <w:right w:val="none" w:sz="0" w:space="0" w:color="auto"/>
      </w:divBdr>
    </w:div>
    <w:div w:id="613437882">
      <w:bodyDiv w:val="1"/>
      <w:marLeft w:val="0"/>
      <w:marRight w:val="0"/>
      <w:marTop w:val="0"/>
      <w:marBottom w:val="0"/>
      <w:divBdr>
        <w:top w:val="none" w:sz="0" w:space="0" w:color="auto"/>
        <w:left w:val="none" w:sz="0" w:space="0" w:color="auto"/>
        <w:bottom w:val="none" w:sz="0" w:space="0" w:color="auto"/>
        <w:right w:val="none" w:sz="0" w:space="0" w:color="auto"/>
      </w:divBdr>
    </w:div>
    <w:div w:id="615212400">
      <w:bodyDiv w:val="1"/>
      <w:marLeft w:val="0"/>
      <w:marRight w:val="0"/>
      <w:marTop w:val="0"/>
      <w:marBottom w:val="0"/>
      <w:divBdr>
        <w:top w:val="none" w:sz="0" w:space="0" w:color="auto"/>
        <w:left w:val="none" w:sz="0" w:space="0" w:color="auto"/>
        <w:bottom w:val="none" w:sz="0" w:space="0" w:color="auto"/>
        <w:right w:val="none" w:sz="0" w:space="0" w:color="auto"/>
      </w:divBdr>
    </w:div>
    <w:div w:id="629743817">
      <w:bodyDiv w:val="1"/>
      <w:marLeft w:val="0"/>
      <w:marRight w:val="0"/>
      <w:marTop w:val="0"/>
      <w:marBottom w:val="0"/>
      <w:divBdr>
        <w:top w:val="none" w:sz="0" w:space="0" w:color="auto"/>
        <w:left w:val="none" w:sz="0" w:space="0" w:color="auto"/>
        <w:bottom w:val="none" w:sz="0" w:space="0" w:color="auto"/>
        <w:right w:val="none" w:sz="0" w:space="0" w:color="auto"/>
      </w:divBdr>
    </w:div>
    <w:div w:id="652681413">
      <w:bodyDiv w:val="1"/>
      <w:marLeft w:val="0"/>
      <w:marRight w:val="0"/>
      <w:marTop w:val="0"/>
      <w:marBottom w:val="0"/>
      <w:divBdr>
        <w:top w:val="none" w:sz="0" w:space="0" w:color="auto"/>
        <w:left w:val="none" w:sz="0" w:space="0" w:color="auto"/>
        <w:bottom w:val="none" w:sz="0" w:space="0" w:color="auto"/>
        <w:right w:val="none" w:sz="0" w:space="0" w:color="auto"/>
      </w:divBdr>
    </w:div>
    <w:div w:id="747534116">
      <w:bodyDiv w:val="1"/>
      <w:marLeft w:val="0"/>
      <w:marRight w:val="0"/>
      <w:marTop w:val="0"/>
      <w:marBottom w:val="0"/>
      <w:divBdr>
        <w:top w:val="none" w:sz="0" w:space="0" w:color="auto"/>
        <w:left w:val="none" w:sz="0" w:space="0" w:color="auto"/>
        <w:bottom w:val="none" w:sz="0" w:space="0" w:color="auto"/>
        <w:right w:val="none" w:sz="0" w:space="0" w:color="auto"/>
      </w:divBdr>
      <w:divsChild>
        <w:div w:id="2094620396">
          <w:marLeft w:val="0"/>
          <w:marRight w:val="0"/>
          <w:marTop w:val="0"/>
          <w:marBottom w:val="0"/>
          <w:divBdr>
            <w:top w:val="none" w:sz="0" w:space="0" w:color="auto"/>
            <w:left w:val="none" w:sz="0" w:space="0" w:color="auto"/>
            <w:bottom w:val="none" w:sz="0" w:space="0" w:color="auto"/>
            <w:right w:val="none" w:sz="0" w:space="0" w:color="auto"/>
          </w:divBdr>
          <w:divsChild>
            <w:div w:id="393705480">
              <w:marLeft w:val="0"/>
              <w:marRight w:val="0"/>
              <w:marTop w:val="0"/>
              <w:marBottom w:val="0"/>
              <w:divBdr>
                <w:top w:val="none" w:sz="0" w:space="0" w:color="auto"/>
                <w:left w:val="none" w:sz="0" w:space="0" w:color="auto"/>
                <w:bottom w:val="none" w:sz="0" w:space="0" w:color="auto"/>
                <w:right w:val="none" w:sz="0" w:space="0" w:color="auto"/>
              </w:divBdr>
              <w:divsChild>
                <w:div w:id="1015230468">
                  <w:marLeft w:val="0"/>
                  <w:marRight w:val="0"/>
                  <w:marTop w:val="0"/>
                  <w:marBottom w:val="0"/>
                  <w:divBdr>
                    <w:top w:val="none" w:sz="0" w:space="0" w:color="auto"/>
                    <w:left w:val="none" w:sz="0" w:space="0" w:color="auto"/>
                    <w:bottom w:val="none" w:sz="0" w:space="0" w:color="auto"/>
                    <w:right w:val="none" w:sz="0" w:space="0" w:color="auto"/>
                  </w:divBdr>
                  <w:divsChild>
                    <w:div w:id="344677764">
                      <w:marLeft w:val="0"/>
                      <w:marRight w:val="0"/>
                      <w:marTop w:val="0"/>
                      <w:marBottom w:val="0"/>
                      <w:divBdr>
                        <w:top w:val="none" w:sz="0" w:space="0" w:color="auto"/>
                        <w:left w:val="none" w:sz="0" w:space="0" w:color="auto"/>
                        <w:bottom w:val="none" w:sz="0" w:space="0" w:color="auto"/>
                        <w:right w:val="none" w:sz="0" w:space="0" w:color="auto"/>
                      </w:divBdr>
                      <w:divsChild>
                        <w:div w:id="1198198946">
                          <w:marLeft w:val="0"/>
                          <w:marRight w:val="0"/>
                          <w:marTop w:val="0"/>
                          <w:marBottom w:val="0"/>
                          <w:divBdr>
                            <w:top w:val="none" w:sz="0" w:space="0" w:color="auto"/>
                            <w:left w:val="none" w:sz="0" w:space="0" w:color="auto"/>
                            <w:bottom w:val="none" w:sz="0" w:space="0" w:color="auto"/>
                            <w:right w:val="none" w:sz="0" w:space="0" w:color="auto"/>
                          </w:divBdr>
                          <w:divsChild>
                            <w:div w:id="15893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028814">
      <w:bodyDiv w:val="1"/>
      <w:marLeft w:val="0"/>
      <w:marRight w:val="0"/>
      <w:marTop w:val="0"/>
      <w:marBottom w:val="0"/>
      <w:divBdr>
        <w:top w:val="none" w:sz="0" w:space="0" w:color="auto"/>
        <w:left w:val="none" w:sz="0" w:space="0" w:color="auto"/>
        <w:bottom w:val="none" w:sz="0" w:space="0" w:color="auto"/>
        <w:right w:val="none" w:sz="0" w:space="0" w:color="auto"/>
      </w:divBdr>
      <w:divsChild>
        <w:div w:id="39400596">
          <w:marLeft w:val="0"/>
          <w:marRight w:val="0"/>
          <w:marTop w:val="0"/>
          <w:marBottom w:val="0"/>
          <w:divBdr>
            <w:top w:val="none" w:sz="0" w:space="0" w:color="auto"/>
            <w:left w:val="none" w:sz="0" w:space="0" w:color="auto"/>
            <w:bottom w:val="none" w:sz="0" w:space="0" w:color="auto"/>
            <w:right w:val="none" w:sz="0" w:space="0" w:color="auto"/>
          </w:divBdr>
          <w:divsChild>
            <w:div w:id="1605840903">
              <w:marLeft w:val="0"/>
              <w:marRight w:val="0"/>
              <w:marTop w:val="0"/>
              <w:marBottom w:val="0"/>
              <w:divBdr>
                <w:top w:val="none" w:sz="0" w:space="0" w:color="auto"/>
                <w:left w:val="none" w:sz="0" w:space="0" w:color="auto"/>
                <w:bottom w:val="none" w:sz="0" w:space="0" w:color="auto"/>
                <w:right w:val="none" w:sz="0" w:space="0" w:color="auto"/>
              </w:divBdr>
              <w:divsChild>
                <w:div w:id="122062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011221">
      <w:bodyDiv w:val="1"/>
      <w:marLeft w:val="0"/>
      <w:marRight w:val="0"/>
      <w:marTop w:val="0"/>
      <w:marBottom w:val="0"/>
      <w:divBdr>
        <w:top w:val="none" w:sz="0" w:space="0" w:color="auto"/>
        <w:left w:val="none" w:sz="0" w:space="0" w:color="auto"/>
        <w:bottom w:val="none" w:sz="0" w:space="0" w:color="auto"/>
        <w:right w:val="none" w:sz="0" w:space="0" w:color="auto"/>
      </w:divBdr>
    </w:div>
    <w:div w:id="845632249">
      <w:bodyDiv w:val="1"/>
      <w:marLeft w:val="0"/>
      <w:marRight w:val="0"/>
      <w:marTop w:val="0"/>
      <w:marBottom w:val="0"/>
      <w:divBdr>
        <w:top w:val="none" w:sz="0" w:space="0" w:color="auto"/>
        <w:left w:val="none" w:sz="0" w:space="0" w:color="auto"/>
        <w:bottom w:val="none" w:sz="0" w:space="0" w:color="auto"/>
        <w:right w:val="none" w:sz="0" w:space="0" w:color="auto"/>
      </w:divBdr>
    </w:div>
    <w:div w:id="876621203">
      <w:bodyDiv w:val="1"/>
      <w:marLeft w:val="0"/>
      <w:marRight w:val="0"/>
      <w:marTop w:val="0"/>
      <w:marBottom w:val="0"/>
      <w:divBdr>
        <w:top w:val="none" w:sz="0" w:space="0" w:color="auto"/>
        <w:left w:val="none" w:sz="0" w:space="0" w:color="auto"/>
        <w:bottom w:val="none" w:sz="0" w:space="0" w:color="auto"/>
        <w:right w:val="none" w:sz="0" w:space="0" w:color="auto"/>
      </w:divBdr>
    </w:div>
    <w:div w:id="942608765">
      <w:bodyDiv w:val="1"/>
      <w:marLeft w:val="0"/>
      <w:marRight w:val="0"/>
      <w:marTop w:val="0"/>
      <w:marBottom w:val="0"/>
      <w:divBdr>
        <w:top w:val="none" w:sz="0" w:space="0" w:color="auto"/>
        <w:left w:val="none" w:sz="0" w:space="0" w:color="auto"/>
        <w:bottom w:val="none" w:sz="0" w:space="0" w:color="auto"/>
        <w:right w:val="none" w:sz="0" w:space="0" w:color="auto"/>
      </w:divBdr>
    </w:div>
    <w:div w:id="955063243">
      <w:bodyDiv w:val="1"/>
      <w:marLeft w:val="0"/>
      <w:marRight w:val="0"/>
      <w:marTop w:val="0"/>
      <w:marBottom w:val="0"/>
      <w:divBdr>
        <w:top w:val="none" w:sz="0" w:space="0" w:color="auto"/>
        <w:left w:val="none" w:sz="0" w:space="0" w:color="auto"/>
        <w:bottom w:val="none" w:sz="0" w:space="0" w:color="auto"/>
        <w:right w:val="none" w:sz="0" w:space="0" w:color="auto"/>
      </w:divBdr>
    </w:div>
    <w:div w:id="975569483">
      <w:bodyDiv w:val="1"/>
      <w:marLeft w:val="0"/>
      <w:marRight w:val="0"/>
      <w:marTop w:val="0"/>
      <w:marBottom w:val="0"/>
      <w:divBdr>
        <w:top w:val="none" w:sz="0" w:space="0" w:color="auto"/>
        <w:left w:val="none" w:sz="0" w:space="0" w:color="auto"/>
        <w:bottom w:val="none" w:sz="0" w:space="0" w:color="auto"/>
        <w:right w:val="none" w:sz="0" w:space="0" w:color="auto"/>
      </w:divBdr>
    </w:div>
    <w:div w:id="976760688">
      <w:bodyDiv w:val="1"/>
      <w:marLeft w:val="0"/>
      <w:marRight w:val="0"/>
      <w:marTop w:val="0"/>
      <w:marBottom w:val="0"/>
      <w:divBdr>
        <w:top w:val="none" w:sz="0" w:space="0" w:color="auto"/>
        <w:left w:val="none" w:sz="0" w:space="0" w:color="auto"/>
        <w:bottom w:val="none" w:sz="0" w:space="0" w:color="auto"/>
        <w:right w:val="none" w:sz="0" w:space="0" w:color="auto"/>
      </w:divBdr>
    </w:div>
    <w:div w:id="994605343">
      <w:bodyDiv w:val="1"/>
      <w:marLeft w:val="0"/>
      <w:marRight w:val="0"/>
      <w:marTop w:val="0"/>
      <w:marBottom w:val="0"/>
      <w:divBdr>
        <w:top w:val="none" w:sz="0" w:space="0" w:color="auto"/>
        <w:left w:val="none" w:sz="0" w:space="0" w:color="auto"/>
        <w:bottom w:val="none" w:sz="0" w:space="0" w:color="auto"/>
        <w:right w:val="none" w:sz="0" w:space="0" w:color="auto"/>
      </w:divBdr>
    </w:div>
    <w:div w:id="994645087">
      <w:bodyDiv w:val="1"/>
      <w:marLeft w:val="0"/>
      <w:marRight w:val="0"/>
      <w:marTop w:val="0"/>
      <w:marBottom w:val="0"/>
      <w:divBdr>
        <w:top w:val="none" w:sz="0" w:space="0" w:color="auto"/>
        <w:left w:val="none" w:sz="0" w:space="0" w:color="auto"/>
        <w:bottom w:val="none" w:sz="0" w:space="0" w:color="auto"/>
        <w:right w:val="none" w:sz="0" w:space="0" w:color="auto"/>
      </w:divBdr>
    </w:div>
    <w:div w:id="1012799610">
      <w:bodyDiv w:val="1"/>
      <w:marLeft w:val="0"/>
      <w:marRight w:val="0"/>
      <w:marTop w:val="0"/>
      <w:marBottom w:val="0"/>
      <w:divBdr>
        <w:top w:val="none" w:sz="0" w:space="0" w:color="auto"/>
        <w:left w:val="none" w:sz="0" w:space="0" w:color="auto"/>
        <w:bottom w:val="none" w:sz="0" w:space="0" w:color="auto"/>
        <w:right w:val="none" w:sz="0" w:space="0" w:color="auto"/>
      </w:divBdr>
    </w:div>
    <w:div w:id="1032920242">
      <w:bodyDiv w:val="1"/>
      <w:marLeft w:val="0"/>
      <w:marRight w:val="0"/>
      <w:marTop w:val="0"/>
      <w:marBottom w:val="0"/>
      <w:divBdr>
        <w:top w:val="none" w:sz="0" w:space="0" w:color="auto"/>
        <w:left w:val="none" w:sz="0" w:space="0" w:color="auto"/>
        <w:bottom w:val="none" w:sz="0" w:space="0" w:color="auto"/>
        <w:right w:val="none" w:sz="0" w:space="0" w:color="auto"/>
      </w:divBdr>
    </w:div>
    <w:div w:id="1075936584">
      <w:bodyDiv w:val="1"/>
      <w:marLeft w:val="0"/>
      <w:marRight w:val="0"/>
      <w:marTop w:val="0"/>
      <w:marBottom w:val="0"/>
      <w:divBdr>
        <w:top w:val="none" w:sz="0" w:space="0" w:color="auto"/>
        <w:left w:val="none" w:sz="0" w:space="0" w:color="auto"/>
        <w:bottom w:val="none" w:sz="0" w:space="0" w:color="auto"/>
        <w:right w:val="none" w:sz="0" w:space="0" w:color="auto"/>
      </w:divBdr>
    </w:div>
    <w:div w:id="1080100041">
      <w:bodyDiv w:val="1"/>
      <w:marLeft w:val="0"/>
      <w:marRight w:val="0"/>
      <w:marTop w:val="0"/>
      <w:marBottom w:val="0"/>
      <w:divBdr>
        <w:top w:val="none" w:sz="0" w:space="0" w:color="auto"/>
        <w:left w:val="none" w:sz="0" w:space="0" w:color="auto"/>
        <w:bottom w:val="none" w:sz="0" w:space="0" w:color="auto"/>
        <w:right w:val="none" w:sz="0" w:space="0" w:color="auto"/>
      </w:divBdr>
    </w:div>
    <w:div w:id="1116680095">
      <w:bodyDiv w:val="1"/>
      <w:marLeft w:val="0"/>
      <w:marRight w:val="0"/>
      <w:marTop w:val="0"/>
      <w:marBottom w:val="0"/>
      <w:divBdr>
        <w:top w:val="none" w:sz="0" w:space="0" w:color="auto"/>
        <w:left w:val="none" w:sz="0" w:space="0" w:color="auto"/>
        <w:bottom w:val="none" w:sz="0" w:space="0" w:color="auto"/>
        <w:right w:val="none" w:sz="0" w:space="0" w:color="auto"/>
      </w:divBdr>
    </w:div>
    <w:div w:id="1151097354">
      <w:bodyDiv w:val="1"/>
      <w:marLeft w:val="0"/>
      <w:marRight w:val="0"/>
      <w:marTop w:val="0"/>
      <w:marBottom w:val="0"/>
      <w:divBdr>
        <w:top w:val="none" w:sz="0" w:space="0" w:color="auto"/>
        <w:left w:val="none" w:sz="0" w:space="0" w:color="auto"/>
        <w:bottom w:val="none" w:sz="0" w:space="0" w:color="auto"/>
        <w:right w:val="none" w:sz="0" w:space="0" w:color="auto"/>
      </w:divBdr>
    </w:div>
    <w:div w:id="1205604638">
      <w:bodyDiv w:val="1"/>
      <w:marLeft w:val="0"/>
      <w:marRight w:val="0"/>
      <w:marTop w:val="0"/>
      <w:marBottom w:val="0"/>
      <w:divBdr>
        <w:top w:val="none" w:sz="0" w:space="0" w:color="auto"/>
        <w:left w:val="none" w:sz="0" w:space="0" w:color="auto"/>
        <w:bottom w:val="none" w:sz="0" w:space="0" w:color="auto"/>
        <w:right w:val="none" w:sz="0" w:space="0" w:color="auto"/>
      </w:divBdr>
    </w:div>
    <w:div w:id="1218709677">
      <w:bodyDiv w:val="1"/>
      <w:marLeft w:val="0"/>
      <w:marRight w:val="0"/>
      <w:marTop w:val="0"/>
      <w:marBottom w:val="0"/>
      <w:divBdr>
        <w:top w:val="none" w:sz="0" w:space="0" w:color="auto"/>
        <w:left w:val="none" w:sz="0" w:space="0" w:color="auto"/>
        <w:bottom w:val="none" w:sz="0" w:space="0" w:color="auto"/>
        <w:right w:val="none" w:sz="0" w:space="0" w:color="auto"/>
      </w:divBdr>
      <w:divsChild>
        <w:div w:id="1930918575">
          <w:marLeft w:val="0"/>
          <w:marRight w:val="0"/>
          <w:marTop w:val="0"/>
          <w:marBottom w:val="0"/>
          <w:divBdr>
            <w:top w:val="none" w:sz="0" w:space="0" w:color="auto"/>
            <w:left w:val="none" w:sz="0" w:space="0" w:color="auto"/>
            <w:bottom w:val="none" w:sz="0" w:space="0" w:color="auto"/>
            <w:right w:val="none" w:sz="0" w:space="0" w:color="auto"/>
          </w:divBdr>
          <w:divsChild>
            <w:div w:id="110587043">
              <w:marLeft w:val="0"/>
              <w:marRight w:val="0"/>
              <w:marTop w:val="0"/>
              <w:marBottom w:val="0"/>
              <w:divBdr>
                <w:top w:val="none" w:sz="0" w:space="0" w:color="auto"/>
                <w:left w:val="none" w:sz="0" w:space="0" w:color="auto"/>
                <w:bottom w:val="none" w:sz="0" w:space="0" w:color="auto"/>
                <w:right w:val="none" w:sz="0" w:space="0" w:color="auto"/>
              </w:divBdr>
              <w:divsChild>
                <w:div w:id="407968353">
                  <w:marLeft w:val="0"/>
                  <w:marRight w:val="0"/>
                  <w:marTop w:val="0"/>
                  <w:marBottom w:val="0"/>
                  <w:divBdr>
                    <w:top w:val="none" w:sz="0" w:space="0" w:color="auto"/>
                    <w:left w:val="none" w:sz="0" w:space="0" w:color="auto"/>
                    <w:bottom w:val="none" w:sz="0" w:space="0" w:color="auto"/>
                    <w:right w:val="none" w:sz="0" w:space="0" w:color="auto"/>
                  </w:divBdr>
                </w:div>
              </w:divsChild>
            </w:div>
            <w:div w:id="449788885">
              <w:marLeft w:val="0"/>
              <w:marRight w:val="0"/>
              <w:marTop w:val="0"/>
              <w:marBottom w:val="0"/>
              <w:divBdr>
                <w:top w:val="none" w:sz="0" w:space="0" w:color="auto"/>
                <w:left w:val="none" w:sz="0" w:space="0" w:color="auto"/>
                <w:bottom w:val="none" w:sz="0" w:space="0" w:color="auto"/>
                <w:right w:val="none" w:sz="0" w:space="0" w:color="auto"/>
              </w:divBdr>
              <w:divsChild>
                <w:div w:id="163767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769321">
      <w:bodyDiv w:val="1"/>
      <w:marLeft w:val="0"/>
      <w:marRight w:val="0"/>
      <w:marTop w:val="0"/>
      <w:marBottom w:val="0"/>
      <w:divBdr>
        <w:top w:val="none" w:sz="0" w:space="0" w:color="auto"/>
        <w:left w:val="none" w:sz="0" w:space="0" w:color="auto"/>
        <w:bottom w:val="none" w:sz="0" w:space="0" w:color="auto"/>
        <w:right w:val="none" w:sz="0" w:space="0" w:color="auto"/>
      </w:divBdr>
    </w:div>
    <w:div w:id="1272710479">
      <w:bodyDiv w:val="1"/>
      <w:marLeft w:val="0"/>
      <w:marRight w:val="0"/>
      <w:marTop w:val="0"/>
      <w:marBottom w:val="0"/>
      <w:divBdr>
        <w:top w:val="none" w:sz="0" w:space="0" w:color="auto"/>
        <w:left w:val="none" w:sz="0" w:space="0" w:color="auto"/>
        <w:bottom w:val="none" w:sz="0" w:space="0" w:color="auto"/>
        <w:right w:val="none" w:sz="0" w:space="0" w:color="auto"/>
      </w:divBdr>
    </w:div>
    <w:div w:id="1326133059">
      <w:bodyDiv w:val="1"/>
      <w:marLeft w:val="0"/>
      <w:marRight w:val="0"/>
      <w:marTop w:val="0"/>
      <w:marBottom w:val="0"/>
      <w:divBdr>
        <w:top w:val="none" w:sz="0" w:space="0" w:color="auto"/>
        <w:left w:val="none" w:sz="0" w:space="0" w:color="auto"/>
        <w:bottom w:val="none" w:sz="0" w:space="0" w:color="auto"/>
        <w:right w:val="none" w:sz="0" w:space="0" w:color="auto"/>
      </w:divBdr>
    </w:div>
    <w:div w:id="1354769096">
      <w:bodyDiv w:val="1"/>
      <w:marLeft w:val="0"/>
      <w:marRight w:val="0"/>
      <w:marTop w:val="0"/>
      <w:marBottom w:val="0"/>
      <w:divBdr>
        <w:top w:val="none" w:sz="0" w:space="0" w:color="auto"/>
        <w:left w:val="none" w:sz="0" w:space="0" w:color="auto"/>
        <w:bottom w:val="none" w:sz="0" w:space="0" w:color="auto"/>
        <w:right w:val="none" w:sz="0" w:space="0" w:color="auto"/>
      </w:divBdr>
    </w:div>
    <w:div w:id="1372651986">
      <w:bodyDiv w:val="1"/>
      <w:marLeft w:val="0"/>
      <w:marRight w:val="0"/>
      <w:marTop w:val="0"/>
      <w:marBottom w:val="0"/>
      <w:divBdr>
        <w:top w:val="none" w:sz="0" w:space="0" w:color="auto"/>
        <w:left w:val="none" w:sz="0" w:space="0" w:color="auto"/>
        <w:bottom w:val="none" w:sz="0" w:space="0" w:color="auto"/>
        <w:right w:val="none" w:sz="0" w:space="0" w:color="auto"/>
      </w:divBdr>
    </w:div>
    <w:div w:id="1379548938">
      <w:bodyDiv w:val="1"/>
      <w:marLeft w:val="0"/>
      <w:marRight w:val="0"/>
      <w:marTop w:val="0"/>
      <w:marBottom w:val="0"/>
      <w:divBdr>
        <w:top w:val="none" w:sz="0" w:space="0" w:color="auto"/>
        <w:left w:val="none" w:sz="0" w:space="0" w:color="auto"/>
        <w:bottom w:val="none" w:sz="0" w:space="0" w:color="auto"/>
        <w:right w:val="none" w:sz="0" w:space="0" w:color="auto"/>
      </w:divBdr>
    </w:div>
    <w:div w:id="1435981506">
      <w:bodyDiv w:val="1"/>
      <w:marLeft w:val="0"/>
      <w:marRight w:val="0"/>
      <w:marTop w:val="0"/>
      <w:marBottom w:val="0"/>
      <w:divBdr>
        <w:top w:val="none" w:sz="0" w:space="0" w:color="auto"/>
        <w:left w:val="none" w:sz="0" w:space="0" w:color="auto"/>
        <w:bottom w:val="none" w:sz="0" w:space="0" w:color="auto"/>
        <w:right w:val="none" w:sz="0" w:space="0" w:color="auto"/>
      </w:divBdr>
    </w:div>
    <w:div w:id="1442383527">
      <w:bodyDiv w:val="1"/>
      <w:marLeft w:val="0"/>
      <w:marRight w:val="0"/>
      <w:marTop w:val="0"/>
      <w:marBottom w:val="0"/>
      <w:divBdr>
        <w:top w:val="none" w:sz="0" w:space="0" w:color="auto"/>
        <w:left w:val="none" w:sz="0" w:space="0" w:color="auto"/>
        <w:bottom w:val="none" w:sz="0" w:space="0" w:color="auto"/>
        <w:right w:val="none" w:sz="0" w:space="0" w:color="auto"/>
      </w:divBdr>
    </w:div>
    <w:div w:id="1454250616">
      <w:bodyDiv w:val="1"/>
      <w:marLeft w:val="0"/>
      <w:marRight w:val="0"/>
      <w:marTop w:val="0"/>
      <w:marBottom w:val="0"/>
      <w:divBdr>
        <w:top w:val="none" w:sz="0" w:space="0" w:color="auto"/>
        <w:left w:val="none" w:sz="0" w:space="0" w:color="auto"/>
        <w:bottom w:val="none" w:sz="0" w:space="0" w:color="auto"/>
        <w:right w:val="none" w:sz="0" w:space="0" w:color="auto"/>
      </w:divBdr>
      <w:divsChild>
        <w:div w:id="2061663873">
          <w:marLeft w:val="0"/>
          <w:marRight w:val="0"/>
          <w:marTop w:val="0"/>
          <w:marBottom w:val="0"/>
          <w:divBdr>
            <w:top w:val="none" w:sz="0" w:space="0" w:color="auto"/>
            <w:left w:val="none" w:sz="0" w:space="0" w:color="auto"/>
            <w:bottom w:val="none" w:sz="0" w:space="0" w:color="auto"/>
            <w:right w:val="none" w:sz="0" w:space="0" w:color="auto"/>
          </w:divBdr>
          <w:divsChild>
            <w:div w:id="1522548964">
              <w:marLeft w:val="0"/>
              <w:marRight w:val="0"/>
              <w:marTop w:val="0"/>
              <w:marBottom w:val="0"/>
              <w:divBdr>
                <w:top w:val="none" w:sz="0" w:space="0" w:color="auto"/>
                <w:left w:val="none" w:sz="0" w:space="0" w:color="auto"/>
                <w:bottom w:val="none" w:sz="0" w:space="0" w:color="auto"/>
                <w:right w:val="none" w:sz="0" w:space="0" w:color="auto"/>
              </w:divBdr>
              <w:divsChild>
                <w:div w:id="190343648">
                  <w:marLeft w:val="0"/>
                  <w:marRight w:val="0"/>
                  <w:marTop w:val="0"/>
                  <w:marBottom w:val="0"/>
                  <w:divBdr>
                    <w:top w:val="none" w:sz="0" w:space="0" w:color="auto"/>
                    <w:left w:val="none" w:sz="0" w:space="0" w:color="auto"/>
                    <w:bottom w:val="none" w:sz="0" w:space="0" w:color="auto"/>
                    <w:right w:val="none" w:sz="0" w:space="0" w:color="auto"/>
                  </w:divBdr>
                  <w:divsChild>
                    <w:div w:id="487525093">
                      <w:marLeft w:val="0"/>
                      <w:marRight w:val="0"/>
                      <w:marTop w:val="0"/>
                      <w:marBottom w:val="0"/>
                      <w:divBdr>
                        <w:top w:val="none" w:sz="0" w:space="0" w:color="auto"/>
                        <w:left w:val="none" w:sz="0" w:space="0" w:color="auto"/>
                        <w:bottom w:val="none" w:sz="0" w:space="0" w:color="auto"/>
                        <w:right w:val="none" w:sz="0" w:space="0" w:color="auto"/>
                      </w:divBdr>
                      <w:divsChild>
                        <w:div w:id="1225795634">
                          <w:marLeft w:val="0"/>
                          <w:marRight w:val="0"/>
                          <w:marTop w:val="0"/>
                          <w:marBottom w:val="0"/>
                          <w:divBdr>
                            <w:top w:val="none" w:sz="0" w:space="0" w:color="auto"/>
                            <w:left w:val="none" w:sz="0" w:space="0" w:color="auto"/>
                            <w:bottom w:val="none" w:sz="0" w:space="0" w:color="auto"/>
                            <w:right w:val="none" w:sz="0" w:space="0" w:color="auto"/>
                          </w:divBdr>
                          <w:divsChild>
                            <w:div w:id="7180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7840801">
      <w:bodyDiv w:val="1"/>
      <w:marLeft w:val="0"/>
      <w:marRight w:val="0"/>
      <w:marTop w:val="0"/>
      <w:marBottom w:val="0"/>
      <w:divBdr>
        <w:top w:val="none" w:sz="0" w:space="0" w:color="auto"/>
        <w:left w:val="none" w:sz="0" w:space="0" w:color="auto"/>
        <w:bottom w:val="none" w:sz="0" w:space="0" w:color="auto"/>
        <w:right w:val="none" w:sz="0" w:space="0" w:color="auto"/>
      </w:divBdr>
    </w:div>
    <w:div w:id="1497457679">
      <w:bodyDiv w:val="1"/>
      <w:marLeft w:val="0"/>
      <w:marRight w:val="0"/>
      <w:marTop w:val="0"/>
      <w:marBottom w:val="0"/>
      <w:divBdr>
        <w:top w:val="none" w:sz="0" w:space="0" w:color="auto"/>
        <w:left w:val="none" w:sz="0" w:space="0" w:color="auto"/>
        <w:bottom w:val="none" w:sz="0" w:space="0" w:color="auto"/>
        <w:right w:val="none" w:sz="0" w:space="0" w:color="auto"/>
      </w:divBdr>
    </w:div>
    <w:div w:id="1505588299">
      <w:bodyDiv w:val="1"/>
      <w:marLeft w:val="0"/>
      <w:marRight w:val="0"/>
      <w:marTop w:val="0"/>
      <w:marBottom w:val="0"/>
      <w:divBdr>
        <w:top w:val="none" w:sz="0" w:space="0" w:color="auto"/>
        <w:left w:val="none" w:sz="0" w:space="0" w:color="auto"/>
        <w:bottom w:val="none" w:sz="0" w:space="0" w:color="auto"/>
        <w:right w:val="none" w:sz="0" w:space="0" w:color="auto"/>
      </w:divBdr>
    </w:div>
    <w:div w:id="1510220572">
      <w:bodyDiv w:val="1"/>
      <w:marLeft w:val="0"/>
      <w:marRight w:val="0"/>
      <w:marTop w:val="0"/>
      <w:marBottom w:val="0"/>
      <w:divBdr>
        <w:top w:val="none" w:sz="0" w:space="0" w:color="auto"/>
        <w:left w:val="none" w:sz="0" w:space="0" w:color="auto"/>
        <w:bottom w:val="none" w:sz="0" w:space="0" w:color="auto"/>
        <w:right w:val="none" w:sz="0" w:space="0" w:color="auto"/>
      </w:divBdr>
    </w:div>
    <w:div w:id="1547792422">
      <w:bodyDiv w:val="1"/>
      <w:marLeft w:val="0"/>
      <w:marRight w:val="0"/>
      <w:marTop w:val="0"/>
      <w:marBottom w:val="0"/>
      <w:divBdr>
        <w:top w:val="none" w:sz="0" w:space="0" w:color="auto"/>
        <w:left w:val="none" w:sz="0" w:space="0" w:color="auto"/>
        <w:bottom w:val="none" w:sz="0" w:space="0" w:color="auto"/>
        <w:right w:val="none" w:sz="0" w:space="0" w:color="auto"/>
      </w:divBdr>
    </w:div>
    <w:div w:id="1562398507">
      <w:bodyDiv w:val="1"/>
      <w:marLeft w:val="0"/>
      <w:marRight w:val="0"/>
      <w:marTop w:val="0"/>
      <w:marBottom w:val="0"/>
      <w:divBdr>
        <w:top w:val="none" w:sz="0" w:space="0" w:color="auto"/>
        <w:left w:val="none" w:sz="0" w:space="0" w:color="auto"/>
        <w:bottom w:val="none" w:sz="0" w:space="0" w:color="auto"/>
        <w:right w:val="none" w:sz="0" w:space="0" w:color="auto"/>
      </w:divBdr>
    </w:div>
    <w:div w:id="1579246904">
      <w:bodyDiv w:val="1"/>
      <w:marLeft w:val="0"/>
      <w:marRight w:val="0"/>
      <w:marTop w:val="0"/>
      <w:marBottom w:val="0"/>
      <w:divBdr>
        <w:top w:val="none" w:sz="0" w:space="0" w:color="auto"/>
        <w:left w:val="none" w:sz="0" w:space="0" w:color="auto"/>
        <w:bottom w:val="none" w:sz="0" w:space="0" w:color="auto"/>
        <w:right w:val="none" w:sz="0" w:space="0" w:color="auto"/>
      </w:divBdr>
      <w:divsChild>
        <w:div w:id="1609853995">
          <w:marLeft w:val="0"/>
          <w:marRight w:val="0"/>
          <w:marTop w:val="0"/>
          <w:marBottom w:val="0"/>
          <w:divBdr>
            <w:top w:val="none" w:sz="0" w:space="0" w:color="auto"/>
            <w:left w:val="none" w:sz="0" w:space="0" w:color="auto"/>
            <w:bottom w:val="none" w:sz="0" w:space="0" w:color="auto"/>
            <w:right w:val="none" w:sz="0" w:space="0" w:color="auto"/>
          </w:divBdr>
          <w:divsChild>
            <w:div w:id="520513662">
              <w:marLeft w:val="0"/>
              <w:marRight w:val="0"/>
              <w:marTop w:val="0"/>
              <w:marBottom w:val="0"/>
              <w:divBdr>
                <w:top w:val="none" w:sz="0" w:space="0" w:color="auto"/>
                <w:left w:val="none" w:sz="0" w:space="0" w:color="auto"/>
                <w:bottom w:val="none" w:sz="0" w:space="0" w:color="auto"/>
                <w:right w:val="none" w:sz="0" w:space="0" w:color="auto"/>
              </w:divBdr>
              <w:divsChild>
                <w:div w:id="1905214865">
                  <w:marLeft w:val="0"/>
                  <w:marRight w:val="0"/>
                  <w:marTop w:val="0"/>
                  <w:marBottom w:val="0"/>
                  <w:divBdr>
                    <w:top w:val="none" w:sz="0" w:space="0" w:color="auto"/>
                    <w:left w:val="none" w:sz="0" w:space="0" w:color="auto"/>
                    <w:bottom w:val="none" w:sz="0" w:space="0" w:color="auto"/>
                    <w:right w:val="none" w:sz="0" w:space="0" w:color="auto"/>
                  </w:divBdr>
                  <w:divsChild>
                    <w:div w:id="1078554892">
                      <w:marLeft w:val="0"/>
                      <w:marRight w:val="0"/>
                      <w:marTop w:val="0"/>
                      <w:marBottom w:val="0"/>
                      <w:divBdr>
                        <w:top w:val="none" w:sz="0" w:space="0" w:color="auto"/>
                        <w:left w:val="none" w:sz="0" w:space="0" w:color="auto"/>
                        <w:bottom w:val="none" w:sz="0" w:space="0" w:color="auto"/>
                        <w:right w:val="none" w:sz="0" w:space="0" w:color="auto"/>
                      </w:divBdr>
                    </w:div>
                    <w:div w:id="2053728319">
                      <w:marLeft w:val="0"/>
                      <w:marRight w:val="0"/>
                      <w:marTop w:val="0"/>
                      <w:marBottom w:val="0"/>
                      <w:divBdr>
                        <w:top w:val="none" w:sz="0" w:space="0" w:color="auto"/>
                        <w:left w:val="none" w:sz="0" w:space="0" w:color="auto"/>
                        <w:bottom w:val="none" w:sz="0" w:space="0" w:color="auto"/>
                        <w:right w:val="none" w:sz="0" w:space="0" w:color="auto"/>
                      </w:divBdr>
                    </w:div>
                  </w:divsChild>
                </w:div>
                <w:div w:id="854926803">
                  <w:marLeft w:val="0"/>
                  <w:marRight w:val="0"/>
                  <w:marTop w:val="0"/>
                  <w:marBottom w:val="0"/>
                  <w:divBdr>
                    <w:top w:val="none" w:sz="0" w:space="0" w:color="auto"/>
                    <w:left w:val="none" w:sz="0" w:space="0" w:color="auto"/>
                    <w:bottom w:val="none" w:sz="0" w:space="0" w:color="auto"/>
                    <w:right w:val="none" w:sz="0" w:space="0" w:color="auto"/>
                  </w:divBdr>
                  <w:divsChild>
                    <w:div w:id="172360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903831">
      <w:bodyDiv w:val="1"/>
      <w:marLeft w:val="0"/>
      <w:marRight w:val="0"/>
      <w:marTop w:val="0"/>
      <w:marBottom w:val="0"/>
      <w:divBdr>
        <w:top w:val="none" w:sz="0" w:space="0" w:color="auto"/>
        <w:left w:val="none" w:sz="0" w:space="0" w:color="auto"/>
        <w:bottom w:val="none" w:sz="0" w:space="0" w:color="auto"/>
        <w:right w:val="none" w:sz="0" w:space="0" w:color="auto"/>
      </w:divBdr>
    </w:div>
    <w:div w:id="1643268843">
      <w:bodyDiv w:val="1"/>
      <w:marLeft w:val="0"/>
      <w:marRight w:val="0"/>
      <w:marTop w:val="0"/>
      <w:marBottom w:val="0"/>
      <w:divBdr>
        <w:top w:val="none" w:sz="0" w:space="0" w:color="auto"/>
        <w:left w:val="none" w:sz="0" w:space="0" w:color="auto"/>
        <w:bottom w:val="none" w:sz="0" w:space="0" w:color="auto"/>
        <w:right w:val="none" w:sz="0" w:space="0" w:color="auto"/>
      </w:divBdr>
    </w:div>
    <w:div w:id="1650093106">
      <w:bodyDiv w:val="1"/>
      <w:marLeft w:val="0"/>
      <w:marRight w:val="0"/>
      <w:marTop w:val="0"/>
      <w:marBottom w:val="0"/>
      <w:divBdr>
        <w:top w:val="none" w:sz="0" w:space="0" w:color="auto"/>
        <w:left w:val="none" w:sz="0" w:space="0" w:color="auto"/>
        <w:bottom w:val="none" w:sz="0" w:space="0" w:color="auto"/>
        <w:right w:val="none" w:sz="0" w:space="0" w:color="auto"/>
      </w:divBdr>
    </w:div>
    <w:div w:id="1706171806">
      <w:bodyDiv w:val="1"/>
      <w:marLeft w:val="0"/>
      <w:marRight w:val="0"/>
      <w:marTop w:val="0"/>
      <w:marBottom w:val="0"/>
      <w:divBdr>
        <w:top w:val="none" w:sz="0" w:space="0" w:color="auto"/>
        <w:left w:val="none" w:sz="0" w:space="0" w:color="auto"/>
        <w:bottom w:val="none" w:sz="0" w:space="0" w:color="auto"/>
        <w:right w:val="none" w:sz="0" w:space="0" w:color="auto"/>
      </w:divBdr>
    </w:div>
    <w:div w:id="1713654392">
      <w:bodyDiv w:val="1"/>
      <w:marLeft w:val="0"/>
      <w:marRight w:val="0"/>
      <w:marTop w:val="0"/>
      <w:marBottom w:val="0"/>
      <w:divBdr>
        <w:top w:val="none" w:sz="0" w:space="0" w:color="auto"/>
        <w:left w:val="none" w:sz="0" w:space="0" w:color="auto"/>
        <w:bottom w:val="none" w:sz="0" w:space="0" w:color="auto"/>
        <w:right w:val="none" w:sz="0" w:space="0" w:color="auto"/>
      </w:divBdr>
    </w:div>
    <w:div w:id="1723750023">
      <w:bodyDiv w:val="1"/>
      <w:marLeft w:val="0"/>
      <w:marRight w:val="0"/>
      <w:marTop w:val="0"/>
      <w:marBottom w:val="0"/>
      <w:divBdr>
        <w:top w:val="none" w:sz="0" w:space="0" w:color="auto"/>
        <w:left w:val="none" w:sz="0" w:space="0" w:color="auto"/>
        <w:bottom w:val="none" w:sz="0" w:space="0" w:color="auto"/>
        <w:right w:val="none" w:sz="0" w:space="0" w:color="auto"/>
      </w:divBdr>
      <w:divsChild>
        <w:div w:id="1057822297">
          <w:marLeft w:val="0"/>
          <w:marRight w:val="0"/>
          <w:marTop w:val="0"/>
          <w:marBottom w:val="0"/>
          <w:divBdr>
            <w:top w:val="none" w:sz="0" w:space="0" w:color="auto"/>
            <w:left w:val="none" w:sz="0" w:space="0" w:color="auto"/>
            <w:bottom w:val="none" w:sz="0" w:space="0" w:color="auto"/>
            <w:right w:val="none" w:sz="0" w:space="0" w:color="auto"/>
          </w:divBdr>
          <w:divsChild>
            <w:div w:id="165675463">
              <w:marLeft w:val="0"/>
              <w:marRight w:val="0"/>
              <w:marTop w:val="0"/>
              <w:marBottom w:val="0"/>
              <w:divBdr>
                <w:top w:val="none" w:sz="0" w:space="0" w:color="auto"/>
                <w:left w:val="none" w:sz="0" w:space="0" w:color="auto"/>
                <w:bottom w:val="none" w:sz="0" w:space="0" w:color="auto"/>
                <w:right w:val="none" w:sz="0" w:space="0" w:color="auto"/>
              </w:divBdr>
              <w:divsChild>
                <w:div w:id="209277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7934">
      <w:bodyDiv w:val="1"/>
      <w:marLeft w:val="0"/>
      <w:marRight w:val="0"/>
      <w:marTop w:val="0"/>
      <w:marBottom w:val="0"/>
      <w:divBdr>
        <w:top w:val="none" w:sz="0" w:space="0" w:color="auto"/>
        <w:left w:val="none" w:sz="0" w:space="0" w:color="auto"/>
        <w:bottom w:val="none" w:sz="0" w:space="0" w:color="auto"/>
        <w:right w:val="none" w:sz="0" w:space="0" w:color="auto"/>
      </w:divBdr>
    </w:div>
    <w:div w:id="1756123865">
      <w:bodyDiv w:val="1"/>
      <w:marLeft w:val="0"/>
      <w:marRight w:val="0"/>
      <w:marTop w:val="0"/>
      <w:marBottom w:val="0"/>
      <w:divBdr>
        <w:top w:val="none" w:sz="0" w:space="0" w:color="auto"/>
        <w:left w:val="none" w:sz="0" w:space="0" w:color="auto"/>
        <w:bottom w:val="none" w:sz="0" w:space="0" w:color="auto"/>
        <w:right w:val="none" w:sz="0" w:space="0" w:color="auto"/>
      </w:divBdr>
    </w:div>
    <w:div w:id="1762337972">
      <w:bodyDiv w:val="1"/>
      <w:marLeft w:val="0"/>
      <w:marRight w:val="0"/>
      <w:marTop w:val="0"/>
      <w:marBottom w:val="0"/>
      <w:divBdr>
        <w:top w:val="none" w:sz="0" w:space="0" w:color="auto"/>
        <w:left w:val="none" w:sz="0" w:space="0" w:color="auto"/>
        <w:bottom w:val="none" w:sz="0" w:space="0" w:color="auto"/>
        <w:right w:val="none" w:sz="0" w:space="0" w:color="auto"/>
      </w:divBdr>
    </w:div>
    <w:div w:id="1797945536">
      <w:bodyDiv w:val="1"/>
      <w:marLeft w:val="0"/>
      <w:marRight w:val="0"/>
      <w:marTop w:val="0"/>
      <w:marBottom w:val="0"/>
      <w:divBdr>
        <w:top w:val="none" w:sz="0" w:space="0" w:color="auto"/>
        <w:left w:val="none" w:sz="0" w:space="0" w:color="auto"/>
        <w:bottom w:val="none" w:sz="0" w:space="0" w:color="auto"/>
        <w:right w:val="none" w:sz="0" w:space="0" w:color="auto"/>
      </w:divBdr>
    </w:div>
    <w:div w:id="1830826175">
      <w:bodyDiv w:val="1"/>
      <w:marLeft w:val="0"/>
      <w:marRight w:val="0"/>
      <w:marTop w:val="0"/>
      <w:marBottom w:val="0"/>
      <w:divBdr>
        <w:top w:val="none" w:sz="0" w:space="0" w:color="auto"/>
        <w:left w:val="none" w:sz="0" w:space="0" w:color="auto"/>
        <w:bottom w:val="none" w:sz="0" w:space="0" w:color="auto"/>
        <w:right w:val="none" w:sz="0" w:space="0" w:color="auto"/>
      </w:divBdr>
      <w:divsChild>
        <w:div w:id="1923878996">
          <w:marLeft w:val="0"/>
          <w:marRight w:val="0"/>
          <w:marTop w:val="0"/>
          <w:marBottom w:val="0"/>
          <w:divBdr>
            <w:top w:val="none" w:sz="0" w:space="0" w:color="auto"/>
            <w:left w:val="none" w:sz="0" w:space="0" w:color="auto"/>
            <w:bottom w:val="none" w:sz="0" w:space="0" w:color="auto"/>
            <w:right w:val="none" w:sz="0" w:space="0" w:color="auto"/>
          </w:divBdr>
          <w:divsChild>
            <w:div w:id="543637248">
              <w:marLeft w:val="0"/>
              <w:marRight w:val="0"/>
              <w:marTop w:val="0"/>
              <w:marBottom w:val="0"/>
              <w:divBdr>
                <w:top w:val="none" w:sz="0" w:space="0" w:color="auto"/>
                <w:left w:val="none" w:sz="0" w:space="0" w:color="auto"/>
                <w:bottom w:val="none" w:sz="0" w:space="0" w:color="auto"/>
                <w:right w:val="none" w:sz="0" w:space="0" w:color="auto"/>
              </w:divBdr>
              <w:divsChild>
                <w:div w:id="2326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10229">
      <w:bodyDiv w:val="1"/>
      <w:marLeft w:val="0"/>
      <w:marRight w:val="0"/>
      <w:marTop w:val="0"/>
      <w:marBottom w:val="0"/>
      <w:divBdr>
        <w:top w:val="none" w:sz="0" w:space="0" w:color="auto"/>
        <w:left w:val="none" w:sz="0" w:space="0" w:color="auto"/>
        <w:bottom w:val="none" w:sz="0" w:space="0" w:color="auto"/>
        <w:right w:val="none" w:sz="0" w:space="0" w:color="auto"/>
      </w:divBdr>
    </w:div>
    <w:div w:id="1854152252">
      <w:bodyDiv w:val="1"/>
      <w:marLeft w:val="0"/>
      <w:marRight w:val="0"/>
      <w:marTop w:val="0"/>
      <w:marBottom w:val="0"/>
      <w:divBdr>
        <w:top w:val="none" w:sz="0" w:space="0" w:color="auto"/>
        <w:left w:val="none" w:sz="0" w:space="0" w:color="auto"/>
        <w:bottom w:val="none" w:sz="0" w:space="0" w:color="auto"/>
        <w:right w:val="none" w:sz="0" w:space="0" w:color="auto"/>
      </w:divBdr>
    </w:div>
    <w:div w:id="1860316828">
      <w:bodyDiv w:val="1"/>
      <w:marLeft w:val="0"/>
      <w:marRight w:val="0"/>
      <w:marTop w:val="0"/>
      <w:marBottom w:val="0"/>
      <w:divBdr>
        <w:top w:val="none" w:sz="0" w:space="0" w:color="auto"/>
        <w:left w:val="none" w:sz="0" w:space="0" w:color="auto"/>
        <w:bottom w:val="none" w:sz="0" w:space="0" w:color="auto"/>
        <w:right w:val="none" w:sz="0" w:space="0" w:color="auto"/>
      </w:divBdr>
    </w:div>
    <w:div w:id="1864199474">
      <w:bodyDiv w:val="1"/>
      <w:marLeft w:val="0"/>
      <w:marRight w:val="0"/>
      <w:marTop w:val="0"/>
      <w:marBottom w:val="0"/>
      <w:divBdr>
        <w:top w:val="none" w:sz="0" w:space="0" w:color="auto"/>
        <w:left w:val="none" w:sz="0" w:space="0" w:color="auto"/>
        <w:bottom w:val="none" w:sz="0" w:space="0" w:color="auto"/>
        <w:right w:val="none" w:sz="0" w:space="0" w:color="auto"/>
      </w:divBdr>
    </w:div>
    <w:div w:id="1867593581">
      <w:bodyDiv w:val="1"/>
      <w:marLeft w:val="0"/>
      <w:marRight w:val="0"/>
      <w:marTop w:val="0"/>
      <w:marBottom w:val="0"/>
      <w:divBdr>
        <w:top w:val="none" w:sz="0" w:space="0" w:color="auto"/>
        <w:left w:val="none" w:sz="0" w:space="0" w:color="auto"/>
        <w:bottom w:val="none" w:sz="0" w:space="0" w:color="auto"/>
        <w:right w:val="none" w:sz="0" w:space="0" w:color="auto"/>
      </w:divBdr>
    </w:div>
    <w:div w:id="1899969394">
      <w:bodyDiv w:val="1"/>
      <w:marLeft w:val="0"/>
      <w:marRight w:val="0"/>
      <w:marTop w:val="0"/>
      <w:marBottom w:val="0"/>
      <w:divBdr>
        <w:top w:val="none" w:sz="0" w:space="0" w:color="auto"/>
        <w:left w:val="none" w:sz="0" w:space="0" w:color="auto"/>
        <w:bottom w:val="none" w:sz="0" w:space="0" w:color="auto"/>
        <w:right w:val="none" w:sz="0" w:space="0" w:color="auto"/>
      </w:divBdr>
    </w:div>
    <w:div w:id="1909877360">
      <w:bodyDiv w:val="1"/>
      <w:marLeft w:val="0"/>
      <w:marRight w:val="0"/>
      <w:marTop w:val="0"/>
      <w:marBottom w:val="0"/>
      <w:divBdr>
        <w:top w:val="none" w:sz="0" w:space="0" w:color="auto"/>
        <w:left w:val="none" w:sz="0" w:space="0" w:color="auto"/>
        <w:bottom w:val="none" w:sz="0" w:space="0" w:color="auto"/>
        <w:right w:val="none" w:sz="0" w:space="0" w:color="auto"/>
      </w:divBdr>
    </w:div>
    <w:div w:id="1946116492">
      <w:bodyDiv w:val="1"/>
      <w:marLeft w:val="0"/>
      <w:marRight w:val="0"/>
      <w:marTop w:val="0"/>
      <w:marBottom w:val="0"/>
      <w:divBdr>
        <w:top w:val="none" w:sz="0" w:space="0" w:color="auto"/>
        <w:left w:val="none" w:sz="0" w:space="0" w:color="auto"/>
        <w:bottom w:val="none" w:sz="0" w:space="0" w:color="auto"/>
        <w:right w:val="none" w:sz="0" w:space="0" w:color="auto"/>
      </w:divBdr>
    </w:div>
    <w:div w:id="1987004806">
      <w:bodyDiv w:val="1"/>
      <w:marLeft w:val="0"/>
      <w:marRight w:val="0"/>
      <w:marTop w:val="0"/>
      <w:marBottom w:val="0"/>
      <w:divBdr>
        <w:top w:val="none" w:sz="0" w:space="0" w:color="auto"/>
        <w:left w:val="none" w:sz="0" w:space="0" w:color="auto"/>
        <w:bottom w:val="none" w:sz="0" w:space="0" w:color="auto"/>
        <w:right w:val="none" w:sz="0" w:space="0" w:color="auto"/>
      </w:divBdr>
      <w:divsChild>
        <w:div w:id="1266890772">
          <w:marLeft w:val="0"/>
          <w:marRight w:val="0"/>
          <w:marTop w:val="0"/>
          <w:marBottom w:val="0"/>
          <w:divBdr>
            <w:top w:val="none" w:sz="0" w:space="0" w:color="auto"/>
            <w:left w:val="none" w:sz="0" w:space="0" w:color="auto"/>
            <w:bottom w:val="none" w:sz="0" w:space="0" w:color="auto"/>
            <w:right w:val="none" w:sz="0" w:space="0" w:color="auto"/>
          </w:divBdr>
          <w:divsChild>
            <w:div w:id="659122355">
              <w:marLeft w:val="0"/>
              <w:marRight w:val="0"/>
              <w:marTop w:val="0"/>
              <w:marBottom w:val="0"/>
              <w:divBdr>
                <w:top w:val="none" w:sz="0" w:space="0" w:color="auto"/>
                <w:left w:val="none" w:sz="0" w:space="0" w:color="auto"/>
                <w:bottom w:val="none" w:sz="0" w:space="0" w:color="auto"/>
                <w:right w:val="none" w:sz="0" w:space="0" w:color="auto"/>
              </w:divBdr>
              <w:divsChild>
                <w:div w:id="139658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589461">
      <w:bodyDiv w:val="1"/>
      <w:marLeft w:val="0"/>
      <w:marRight w:val="0"/>
      <w:marTop w:val="0"/>
      <w:marBottom w:val="0"/>
      <w:divBdr>
        <w:top w:val="none" w:sz="0" w:space="0" w:color="auto"/>
        <w:left w:val="none" w:sz="0" w:space="0" w:color="auto"/>
        <w:bottom w:val="none" w:sz="0" w:space="0" w:color="auto"/>
        <w:right w:val="none" w:sz="0" w:space="0" w:color="auto"/>
      </w:divBdr>
    </w:div>
    <w:div w:id="2009869014">
      <w:bodyDiv w:val="1"/>
      <w:marLeft w:val="0"/>
      <w:marRight w:val="0"/>
      <w:marTop w:val="0"/>
      <w:marBottom w:val="0"/>
      <w:divBdr>
        <w:top w:val="none" w:sz="0" w:space="0" w:color="auto"/>
        <w:left w:val="none" w:sz="0" w:space="0" w:color="auto"/>
        <w:bottom w:val="none" w:sz="0" w:space="0" w:color="auto"/>
        <w:right w:val="none" w:sz="0" w:space="0" w:color="auto"/>
      </w:divBdr>
    </w:div>
    <w:div w:id="2014917231">
      <w:bodyDiv w:val="1"/>
      <w:marLeft w:val="0"/>
      <w:marRight w:val="0"/>
      <w:marTop w:val="0"/>
      <w:marBottom w:val="0"/>
      <w:divBdr>
        <w:top w:val="none" w:sz="0" w:space="0" w:color="auto"/>
        <w:left w:val="none" w:sz="0" w:space="0" w:color="auto"/>
        <w:bottom w:val="none" w:sz="0" w:space="0" w:color="auto"/>
        <w:right w:val="none" w:sz="0" w:space="0" w:color="auto"/>
      </w:divBdr>
    </w:div>
    <w:div w:id="2074693816">
      <w:bodyDiv w:val="1"/>
      <w:marLeft w:val="0"/>
      <w:marRight w:val="0"/>
      <w:marTop w:val="0"/>
      <w:marBottom w:val="0"/>
      <w:divBdr>
        <w:top w:val="none" w:sz="0" w:space="0" w:color="auto"/>
        <w:left w:val="none" w:sz="0" w:space="0" w:color="auto"/>
        <w:bottom w:val="none" w:sz="0" w:space="0" w:color="auto"/>
        <w:right w:val="none" w:sz="0" w:space="0" w:color="auto"/>
      </w:divBdr>
      <w:divsChild>
        <w:div w:id="1451313544">
          <w:marLeft w:val="0"/>
          <w:marRight w:val="0"/>
          <w:marTop w:val="0"/>
          <w:marBottom w:val="0"/>
          <w:divBdr>
            <w:top w:val="none" w:sz="0" w:space="0" w:color="auto"/>
            <w:left w:val="none" w:sz="0" w:space="0" w:color="auto"/>
            <w:bottom w:val="none" w:sz="0" w:space="0" w:color="auto"/>
            <w:right w:val="none" w:sz="0" w:space="0" w:color="auto"/>
          </w:divBdr>
          <w:divsChild>
            <w:div w:id="1940941573">
              <w:marLeft w:val="0"/>
              <w:marRight w:val="0"/>
              <w:marTop w:val="0"/>
              <w:marBottom w:val="0"/>
              <w:divBdr>
                <w:top w:val="none" w:sz="0" w:space="0" w:color="auto"/>
                <w:left w:val="none" w:sz="0" w:space="0" w:color="auto"/>
                <w:bottom w:val="none" w:sz="0" w:space="0" w:color="auto"/>
                <w:right w:val="none" w:sz="0" w:space="0" w:color="auto"/>
              </w:divBdr>
              <w:divsChild>
                <w:div w:id="65001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51324">
      <w:bodyDiv w:val="1"/>
      <w:marLeft w:val="0"/>
      <w:marRight w:val="0"/>
      <w:marTop w:val="0"/>
      <w:marBottom w:val="0"/>
      <w:divBdr>
        <w:top w:val="none" w:sz="0" w:space="0" w:color="auto"/>
        <w:left w:val="none" w:sz="0" w:space="0" w:color="auto"/>
        <w:bottom w:val="none" w:sz="0" w:space="0" w:color="auto"/>
        <w:right w:val="none" w:sz="0" w:space="0" w:color="auto"/>
      </w:divBdr>
      <w:divsChild>
        <w:div w:id="72289077">
          <w:marLeft w:val="0"/>
          <w:marRight w:val="0"/>
          <w:marTop w:val="0"/>
          <w:marBottom w:val="0"/>
          <w:divBdr>
            <w:top w:val="none" w:sz="0" w:space="0" w:color="auto"/>
            <w:left w:val="none" w:sz="0" w:space="0" w:color="auto"/>
            <w:bottom w:val="none" w:sz="0" w:space="0" w:color="auto"/>
            <w:right w:val="none" w:sz="0" w:space="0" w:color="auto"/>
          </w:divBdr>
          <w:divsChild>
            <w:div w:id="1857109370">
              <w:marLeft w:val="0"/>
              <w:marRight w:val="0"/>
              <w:marTop w:val="0"/>
              <w:marBottom w:val="0"/>
              <w:divBdr>
                <w:top w:val="none" w:sz="0" w:space="0" w:color="auto"/>
                <w:left w:val="none" w:sz="0" w:space="0" w:color="auto"/>
                <w:bottom w:val="none" w:sz="0" w:space="0" w:color="auto"/>
                <w:right w:val="none" w:sz="0" w:space="0" w:color="auto"/>
              </w:divBdr>
              <w:divsChild>
                <w:div w:id="475726584">
                  <w:marLeft w:val="0"/>
                  <w:marRight w:val="0"/>
                  <w:marTop w:val="0"/>
                  <w:marBottom w:val="0"/>
                  <w:divBdr>
                    <w:top w:val="none" w:sz="0" w:space="0" w:color="auto"/>
                    <w:left w:val="none" w:sz="0" w:space="0" w:color="auto"/>
                    <w:bottom w:val="none" w:sz="0" w:space="0" w:color="auto"/>
                    <w:right w:val="none" w:sz="0" w:space="0" w:color="auto"/>
                  </w:divBdr>
                  <w:divsChild>
                    <w:div w:id="1603143538">
                      <w:marLeft w:val="0"/>
                      <w:marRight w:val="0"/>
                      <w:marTop w:val="0"/>
                      <w:marBottom w:val="0"/>
                      <w:divBdr>
                        <w:top w:val="none" w:sz="0" w:space="0" w:color="auto"/>
                        <w:left w:val="none" w:sz="0" w:space="0" w:color="auto"/>
                        <w:bottom w:val="none" w:sz="0" w:space="0" w:color="auto"/>
                        <w:right w:val="none" w:sz="0" w:space="0" w:color="auto"/>
                      </w:divBdr>
                      <w:divsChild>
                        <w:div w:id="2063140570">
                          <w:marLeft w:val="0"/>
                          <w:marRight w:val="0"/>
                          <w:marTop w:val="0"/>
                          <w:marBottom w:val="0"/>
                          <w:divBdr>
                            <w:top w:val="none" w:sz="0" w:space="0" w:color="auto"/>
                            <w:left w:val="none" w:sz="0" w:space="0" w:color="auto"/>
                            <w:bottom w:val="none" w:sz="0" w:space="0" w:color="auto"/>
                            <w:right w:val="none" w:sz="0" w:space="0" w:color="auto"/>
                          </w:divBdr>
                          <w:divsChild>
                            <w:div w:id="262957667">
                              <w:marLeft w:val="0"/>
                              <w:marRight w:val="0"/>
                              <w:marTop w:val="0"/>
                              <w:marBottom w:val="0"/>
                              <w:divBdr>
                                <w:top w:val="none" w:sz="0" w:space="0" w:color="auto"/>
                                <w:left w:val="none" w:sz="0" w:space="0" w:color="auto"/>
                                <w:bottom w:val="none" w:sz="0" w:space="0" w:color="auto"/>
                                <w:right w:val="none" w:sz="0" w:space="0" w:color="auto"/>
                              </w:divBdr>
                              <w:divsChild>
                                <w:div w:id="1807357253">
                                  <w:marLeft w:val="0"/>
                                  <w:marRight w:val="0"/>
                                  <w:marTop w:val="0"/>
                                  <w:marBottom w:val="0"/>
                                  <w:divBdr>
                                    <w:top w:val="none" w:sz="0" w:space="0" w:color="auto"/>
                                    <w:left w:val="none" w:sz="0" w:space="0" w:color="auto"/>
                                    <w:bottom w:val="none" w:sz="0" w:space="0" w:color="auto"/>
                                    <w:right w:val="none" w:sz="0" w:space="0" w:color="auto"/>
                                  </w:divBdr>
                                  <w:divsChild>
                                    <w:div w:id="23432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FpWPCfcsQFbrBypFpD4BWtRFLg==">CgMxLjA4AHIhMWpKWC1ZV1ZyUWxfelVTd2oxcUhWdVVqaW9sTHRWRGpD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9C0D653-E1BC-494A-A276-FB05513CC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Pages>
  <Words>535</Words>
  <Characters>2947</Characters>
  <Application>Microsoft Office Word</Application>
  <DocSecurity>0</DocSecurity>
  <Lines>24</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Ximena Escobedo Juárez</dc:creator>
  <cp:lastModifiedBy>maria eugenia garcia macias</cp:lastModifiedBy>
  <cp:revision>45</cp:revision>
  <cp:lastPrinted>2026-06-17T17:31:00Z</cp:lastPrinted>
  <dcterms:created xsi:type="dcterms:W3CDTF">2026-06-17T17:31:00Z</dcterms:created>
  <dcterms:modified xsi:type="dcterms:W3CDTF">2026-07-21T03:57:00Z</dcterms:modified>
</cp:coreProperties>
</file>