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shd w:val="clear" w:color="auto" w:fill="10312B"/>
        <w:tblLook w:val="04A0" w:firstRow="1" w:lastRow="0" w:firstColumn="1" w:lastColumn="0" w:noHBand="0" w:noVBand="1"/>
      </w:tblPr>
      <w:tblGrid>
        <w:gridCol w:w="5524"/>
      </w:tblGrid>
      <w:tr w:rsidR="00A174D2" w:rsidRPr="00BA70D6" w:rsidTr="002C6B9B">
        <w:tc>
          <w:tcPr>
            <w:tcW w:w="5524" w:type="dxa"/>
            <w:shd w:val="clear" w:color="auto" w:fill="10312B"/>
          </w:tcPr>
          <w:p w:rsidR="00A174D2" w:rsidRPr="00BA70D6" w:rsidRDefault="00A174D2" w:rsidP="002C6B9B">
            <w:pPr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</w:pPr>
            <w:r w:rsidRPr="00BA70D6"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  <w:t>Boletín de Indicador del 5 de agosto de 2026 | INEGI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19"/>
        <w:gridCol w:w="4419"/>
      </w:tblGrid>
      <w:tr w:rsidR="00C77CCD" w:rsidRPr="00BA70D6" w:rsidTr="00A174D2">
        <w:tc>
          <w:tcPr>
            <w:tcW w:w="8838" w:type="dxa"/>
            <w:gridSpan w:val="2"/>
            <w:shd w:val="clear" w:color="auto" w:fill="auto"/>
          </w:tcPr>
          <w:p w:rsidR="00C77CCD" w:rsidRPr="00BA70D6" w:rsidRDefault="00C77CCD">
            <w:pPr>
              <w:spacing w:before="20" w:after="20"/>
              <w:rPr>
                <w:rFonts w:ascii="Noto Sans" w:hAnsi="Noto Sans" w:cs="Noto Sans"/>
                <w:sz w:val="6"/>
              </w:rPr>
            </w:pPr>
          </w:p>
        </w:tc>
      </w:tr>
      <w:tr w:rsidR="00C77CCD" w:rsidRPr="00BA70D6">
        <w:tc>
          <w:tcPr>
            <w:tcW w:w="8838" w:type="dxa"/>
            <w:gridSpan w:val="2"/>
            <w:shd w:val="clear" w:color="auto" w:fill="235B4C"/>
          </w:tcPr>
          <w:p w:rsidR="00C77CCD" w:rsidRPr="00BA70D6" w:rsidRDefault="00D5004B" w:rsidP="00A174D2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color w:val="FFFFFF"/>
                <w:sz w:val="20"/>
              </w:rPr>
              <w:t>Indicador Mensual del Consumo Privado (IMCP)</w:t>
            </w:r>
          </w:p>
          <w:p w:rsidR="00C77CCD" w:rsidRPr="00BA70D6" w:rsidRDefault="00D5004B" w:rsidP="00A174D2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color w:val="FFFFFF"/>
                <w:sz w:val="40"/>
              </w:rPr>
              <w:t>IMCP · Mayo 2026</w:t>
            </w:r>
          </w:p>
        </w:tc>
      </w:tr>
      <w:tr w:rsidR="00C77CCD" w:rsidRPr="00BA70D6">
        <w:tc>
          <w:tcPr>
            <w:tcW w:w="8838" w:type="dxa"/>
            <w:gridSpan w:val="2"/>
            <w:shd w:val="clear" w:color="auto" w:fill="F4F4F2"/>
          </w:tcPr>
          <w:p w:rsidR="00C77CCD" w:rsidRPr="00BA70D6" w:rsidRDefault="00D5004B">
            <w:pPr>
              <w:spacing w:before="20" w:after="20"/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color w:val="8C8C8C"/>
                <w:sz w:val="15"/>
              </w:rPr>
              <w:t>CONSUMO PRIVADO · MAYO 2026</w:t>
            </w:r>
          </w:p>
          <w:p w:rsidR="00C77CCD" w:rsidRPr="00BA70D6" w:rsidRDefault="00D5004B" w:rsidP="00A174D2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color w:val="006341"/>
                <w:sz w:val="64"/>
              </w:rPr>
              <w:t>114.0</w:t>
            </w:r>
          </w:p>
        </w:tc>
      </w:tr>
      <w:tr w:rsidR="00C77CCD" w:rsidRPr="00BA70D6">
        <w:tc>
          <w:tcPr>
            <w:tcW w:w="441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C77CCD" w:rsidRPr="00BA70D6" w:rsidRDefault="00D5004B" w:rsidP="00A174D2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color w:val="000000"/>
                <w:sz w:val="22"/>
              </w:rPr>
              <w:t>Mensual</w:t>
            </w:r>
          </w:p>
        </w:tc>
        <w:tc>
          <w:tcPr>
            <w:tcW w:w="441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C77CCD" w:rsidRPr="00BA70D6" w:rsidRDefault="00D5004B" w:rsidP="00A174D2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color w:val="000000"/>
                <w:sz w:val="22"/>
              </w:rPr>
              <w:t>Anual</w:t>
            </w:r>
          </w:p>
        </w:tc>
      </w:tr>
      <w:tr w:rsidR="00C77CCD" w:rsidRPr="00BA70D6">
        <w:tc>
          <w:tcPr>
            <w:tcW w:w="441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C77CCD" w:rsidRPr="00BA70D6" w:rsidRDefault="00D5004B">
            <w:pPr>
              <w:spacing w:before="20" w:after="20"/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b/>
                <w:color w:val="1E6E5C"/>
                <w:sz w:val="17"/>
              </w:rPr>
              <w:t>▲</w:t>
            </w:r>
            <w:r w:rsidRPr="00BA70D6">
              <w:rPr>
                <w:rFonts w:ascii="Noto Sans" w:hAnsi="Noto Sans" w:cs="Noto Sans"/>
                <w:b/>
                <w:color w:val="1E6E5C"/>
                <w:sz w:val="17"/>
              </w:rPr>
              <w:t xml:space="preserve"> +0.1 %</w:t>
            </w:r>
          </w:p>
        </w:tc>
        <w:tc>
          <w:tcPr>
            <w:tcW w:w="441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C77CCD" w:rsidRPr="00BA70D6" w:rsidRDefault="00D5004B">
            <w:pPr>
              <w:spacing w:before="20" w:after="20"/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b/>
                <w:color w:val="1E6E5C"/>
                <w:sz w:val="17"/>
              </w:rPr>
              <w:t>▲</w:t>
            </w:r>
            <w:r w:rsidRPr="00BA70D6">
              <w:rPr>
                <w:rFonts w:ascii="Noto Sans" w:hAnsi="Noto Sans" w:cs="Noto Sans"/>
                <w:b/>
                <w:color w:val="1E6E5C"/>
                <w:sz w:val="17"/>
              </w:rPr>
              <w:t xml:space="preserve"> +2.6 %</w:t>
            </w:r>
          </w:p>
        </w:tc>
      </w:tr>
    </w:tbl>
    <w:p w:rsidR="00246E09" w:rsidRPr="00BA70D6" w:rsidRDefault="00246E09">
      <w:pPr>
        <w:rPr>
          <w:rFonts w:ascii="Noto Sans" w:hAnsi="Noto Sans" w:cs="Noto Sans"/>
          <w:sz w:val="2"/>
          <w:szCs w:val="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2208"/>
        <w:gridCol w:w="2208"/>
        <w:gridCol w:w="2208"/>
        <w:gridCol w:w="2208"/>
      </w:tblGrid>
      <w:tr w:rsidR="00DC152E" w:rsidRPr="00BA70D6">
        <w:tc>
          <w:tcPr>
            <w:tcW w:w="4416" w:type="dxa"/>
            <w:gridSpan w:val="2"/>
            <w:shd w:val="clear" w:color="auto" w:fill="235B4C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bCs/>
                <w:color w:val="FFFFFF" w:themeColor="background1"/>
                <w:sz w:val="19"/>
                <w:szCs w:val="19"/>
              </w:rPr>
              <w:t>Nacional</w:t>
            </w:r>
          </w:p>
        </w:tc>
        <w:tc>
          <w:tcPr>
            <w:tcW w:w="4416" w:type="dxa"/>
            <w:gridSpan w:val="2"/>
            <w:shd w:val="clear" w:color="auto" w:fill="235B4C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bCs/>
                <w:color w:val="FFFFFF" w:themeColor="background1"/>
                <w:sz w:val="19"/>
                <w:szCs w:val="19"/>
              </w:rPr>
              <w:t>Importado</w:t>
            </w:r>
          </w:p>
        </w:tc>
      </w:tr>
      <w:tr w:rsidR="00246E09" w:rsidRPr="00BA70D6">
        <w:trPr>
          <w:trHeight w:val="150"/>
        </w:trPr>
        <w:tc>
          <w:tcPr>
            <w:tcW w:w="220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sz w:val="17"/>
                <w:szCs w:val="17"/>
              </w:rPr>
              <w:t>Mensual</w:t>
            </w:r>
          </w:p>
        </w:tc>
        <w:tc>
          <w:tcPr>
            <w:tcW w:w="22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sz w:val="17"/>
                <w:szCs w:val="17"/>
              </w:rPr>
              <w:t>Anual</w:t>
            </w:r>
          </w:p>
        </w:tc>
        <w:tc>
          <w:tcPr>
            <w:tcW w:w="22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sz w:val="17"/>
                <w:szCs w:val="17"/>
              </w:rPr>
              <w:t>Mensual</w:t>
            </w:r>
          </w:p>
        </w:tc>
        <w:tc>
          <w:tcPr>
            <w:tcW w:w="22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sz w:val="17"/>
                <w:szCs w:val="17"/>
              </w:rPr>
              <w:t>Anual</w:t>
            </w:r>
          </w:p>
        </w:tc>
      </w:tr>
      <w:tr w:rsidR="00246E09" w:rsidRPr="00BA70D6">
        <w:trPr>
          <w:trHeight w:val="170"/>
        </w:trPr>
        <w:tc>
          <w:tcPr>
            <w:tcW w:w="2208" w:type="dxa"/>
            <w:tcBorders>
              <w:top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b/>
                <w:color w:val="000000"/>
                <w:sz w:val="18"/>
              </w:rPr>
              <w:t>▲</w:t>
            </w:r>
            <w:r w:rsidRPr="00BA70D6">
              <w:rPr>
                <w:rFonts w:ascii="Noto Sans" w:hAnsi="Noto Sans" w:cs="Noto Sans"/>
                <w:b/>
                <w:color w:val="000000"/>
                <w:sz w:val="18"/>
              </w:rPr>
              <w:t xml:space="preserve"> 0.3 %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b/>
                <w:color w:val="000000"/>
                <w:sz w:val="18"/>
              </w:rPr>
              <w:t>▲</w:t>
            </w:r>
            <w:r w:rsidRPr="00BA70D6">
              <w:rPr>
                <w:rFonts w:ascii="Noto Sans" w:hAnsi="Noto Sans" w:cs="Noto Sans"/>
                <w:b/>
                <w:color w:val="000000"/>
                <w:sz w:val="18"/>
              </w:rPr>
              <w:t xml:space="preserve"> 1.2 %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b/>
                <w:color w:val="C00000"/>
                <w:sz w:val="18"/>
              </w:rPr>
              <w:t>▼</w:t>
            </w:r>
            <w:r w:rsidRPr="00BA70D6">
              <w:rPr>
                <w:rFonts w:ascii="Noto Sans" w:hAnsi="Noto Sans" w:cs="Noto Sans"/>
                <w:b/>
                <w:color w:val="C00000"/>
                <w:sz w:val="18"/>
              </w:rPr>
              <w:t xml:space="preserve"> 1.2 %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b/>
                <w:color w:val="000000"/>
                <w:sz w:val="18"/>
              </w:rPr>
              <w:t>▲</w:t>
            </w:r>
            <w:r w:rsidRPr="00BA70D6">
              <w:rPr>
                <w:rFonts w:ascii="Noto Sans" w:hAnsi="Noto Sans" w:cs="Noto Sans"/>
                <w:b/>
                <w:color w:val="000000"/>
                <w:sz w:val="18"/>
              </w:rPr>
              <w:t xml:space="preserve"> 8.5 %</w:t>
            </w:r>
          </w:p>
        </w:tc>
      </w:tr>
    </w:tbl>
    <w:p w:rsidR="00A14E8D" w:rsidRDefault="00A14E8D" w:rsidP="00A14E8D">
      <w:pPr>
        <w:jc w:val="both"/>
        <w:rPr>
          <w:rFonts w:ascii="Noto Sans" w:hAnsi="Noto Sans" w:cs="Noto Sans"/>
          <w:bCs/>
          <w:color w:val="4C545B"/>
          <w:sz w:val="16"/>
        </w:rPr>
      </w:pPr>
      <w:r w:rsidRPr="00A14E8D">
        <w:rPr>
          <w:rFonts w:ascii="Noto Sans" w:hAnsi="Noto Sans" w:cs="Noto Sans"/>
          <w:bCs/>
          <w:color w:val="4C545B"/>
          <w:sz w:val="16"/>
        </w:rPr>
        <w:t>Nota: El índice del IMCP se calcula con base 2018=100. Las variaciones mensual y anual se obtienen comparando el nivel desestacionalizado de mayo de 2026 con abril de 2026 y mayo de 2025, respectivamente.</w:t>
      </w:r>
      <w:r w:rsidR="006E7B0C">
        <w:rPr>
          <w:rFonts w:ascii="Noto Sans" w:hAnsi="Noto Sans" w:cs="Noto Sans"/>
          <w:bCs/>
          <w:color w:val="4C545B"/>
          <w:sz w:val="16"/>
        </w:rPr>
        <w:t xml:space="preserve"> </w:t>
      </w:r>
      <w:r w:rsidR="006E7B0C" w:rsidRPr="006E7B0C">
        <w:rPr>
          <w:rFonts w:ascii="Noto Sans" w:hAnsi="Noto Sans" w:cs="Noto Sans"/>
          <w:bCs/>
          <w:color w:val="4C545B"/>
          <w:sz w:val="16"/>
        </w:rPr>
        <w:t>Un índice de 114.0 indica que el consumo privado se ubicó 14.0% por encima del nivel promedio de 2018.</w:t>
      </w:r>
      <w:r w:rsidRPr="00A14E8D">
        <w:rPr>
          <w:rFonts w:ascii="Noto Sans" w:hAnsi="Noto Sans" w:cs="Noto Sans"/>
          <w:bCs/>
          <w:color w:val="4C545B"/>
          <w:sz w:val="16"/>
        </w:rPr>
        <w:t xml:space="preserve"> </w:t>
      </w:r>
    </w:p>
    <w:p w:rsidR="00A14E8D" w:rsidRPr="00A14E8D" w:rsidRDefault="00A14E8D" w:rsidP="00A14E8D">
      <w:pPr>
        <w:jc w:val="both"/>
        <w:rPr>
          <w:rFonts w:ascii="Noto Sans" w:hAnsi="Noto Sans" w:cs="Noto Sans"/>
          <w:sz w:val="10"/>
          <w:szCs w:val="22"/>
        </w:rPr>
      </w:pPr>
    </w:p>
    <w:p w:rsidR="00CA49C6" w:rsidRPr="00BA70D6" w:rsidRDefault="00BA70D6" w:rsidP="00CA49C6">
      <w:pPr>
        <w:jc w:val="both"/>
        <w:rPr>
          <w:rFonts w:ascii="Noto Sans" w:hAnsi="Noto Sans" w:cs="Noto Sans"/>
          <w:sz w:val="20"/>
          <w:szCs w:val="20"/>
          <w:lang w:eastAsia="es-ES_tradnl"/>
        </w:rPr>
      </w:pPr>
      <w:r w:rsidRPr="00BA70D6">
        <w:rPr>
          <w:rFonts w:ascii="Noto Sans" w:hAnsi="Noto Sans" w:cs="Noto Sans"/>
          <w:b/>
          <w:bCs/>
          <w:sz w:val="20"/>
          <w:szCs w:val="20"/>
          <w:lang w:eastAsia="es-ES_tradnl"/>
        </w:rPr>
        <w:t xml:space="preserve">El consumo privado de los hogares aumentó 0.1% mensual y 2.6% anual en mayo de 2026, con cifras desestacionalizadas. </w:t>
      </w:r>
      <w:r w:rsidRPr="00BA70D6">
        <w:rPr>
          <w:rFonts w:ascii="Noto Sans" w:hAnsi="Noto Sans" w:cs="Noto Sans"/>
          <w:bCs/>
          <w:sz w:val="20"/>
          <w:szCs w:val="20"/>
          <w:lang w:eastAsia="es-ES_tradnl"/>
        </w:rPr>
        <w:t xml:space="preserve">El índice se ubicó en 114.0 puntos, base 2018=100, mientras que en el acumulado enero-mayo registró un crecimiento real anual de 2.0%, con cifras originales. El avance mensual fue impulsado por el consumo de origen nacional, </w:t>
      </w:r>
      <w:r w:rsidR="00FF3697" w:rsidRPr="00FF3697">
        <w:rPr>
          <w:rFonts w:ascii="Noto Sans" w:hAnsi="Noto Sans" w:cs="Noto Sans"/>
          <w:bCs/>
          <w:sz w:val="20"/>
          <w:szCs w:val="20"/>
          <w:lang w:eastAsia="es-ES_tradnl"/>
        </w:rPr>
        <w:t>mientras el componente importado mostró una disminución mensual</w:t>
      </w:r>
      <w:r w:rsidR="00CA49C6" w:rsidRPr="00BA70D6">
        <w:rPr>
          <w:rFonts w:ascii="Noto Sans" w:hAnsi="Noto Sans" w:cs="Noto Sans"/>
          <w:bCs/>
          <w:sz w:val="20"/>
          <w:szCs w:val="20"/>
          <w:lang w:eastAsia="es-ES_tradnl"/>
        </w:rPr>
        <w:t>.</w:t>
      </w:r>
    </w:p>
    <w:p w:rsidR="00BC0BB8" w:rsidRPr="00BA70D6" w:rsidRDefault="00BC0BB8">
      <w:pPr>
        <w:jc w:val="both"/>
        <w:rPr>
          <w:rFonts w:ascii="Noto Sans" w:hAnsi="Noto Sans" w:cs="Noto Sans"/>
          <w:sz w:val="15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8828"/>
      </w:tblGrid>
      <w:tr w:rsidR="00246E09" w:rsidRPr="00BA70D6">
        <w:tc>
          <w:tcPr>
            <w:tcW w:w="8828" w:type="dxa"/>
            <w:shd w:val="clear" w:color="auto" w:fill="F4F4F2"/>
          </w:tcPr>
          <w:p w:rsidR="00246E09" w:rsidRPr="00BA70D6" w:rsidRDefault="00465707">
            <w:pPr>
              <w:shd w:val="clear" w:color="auto" w:fill="F4F4F2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bCs/>
                <w:color w:val="10312B"/>
              </w:rPr>
              <w:t>Resumen ejecutivo</w:t>
            </w:r>
          </w:p>
          <w:p w:rsidR="00BA70D6" w:rsidRDefault="00BA70D6" w:rsidP="00BA70D6">
            <w:pPr>
              <w:pStyle w:val="Prrafodelista"/>
              <w:numPr>
                <w:ilvl w:val="0"/>
                <w:numId w:val="35"/>
              </w:numPr>
              <w:shd w:val="clear" w:color="auto" w:fill="F4F4F2"/>
              <w:spacing w:before="30" w:after="30"/>
              <w:ind w:left="318"/>
              <w:jc w:val="both"/>
              <w:rPr>
                <w:rFonts w:ascii="Noto Sans" w:hAnsi="Noto Sans" w:cs="Noto Sans"/>
                <w:color w:val="000000"/>
                <w:sz w:val="20"/>
              </w:rPr>
            </w:pPr>
            <w:r w:rsidRPr="00BA70D6">
              <w:rPr>
                <w:rFonts w:ascii="Noto Sans" w:hAnsi="Noto Sans" w:cs="Noto Sans"/>
                <w:color w:val="000000"/>
                <w:sz w:val="20"/>
              </w:rPr>
              <w:t>El consumo de origen nacional avanzó 0.3% mensual y 1.2% anual, con incrementos tanto en bienes como en servicios.</w:t>
            </w:r>
          </w:p>
          <w:p w:rsidR="00BA70D6" w:rsidRDefault="00BA70D6" w:rsidP="00BA70D6">
            <w:pPr>
              <w:pStyle w:val="Prrafodelista"/>
              <w:numPr>
                <w:ilvl w:val="0"/>
                <w:numId w:val="35"/>
              </w:numPr>
              <w:shd w:val="clear" w:color="auto" w:fill="F4F4F2"/>
              <w:spacing w:before="30" w:after="30"/>
              <w:ind w:left="318"/>
              <w:jc w:val="both"/>
              <w:rPr>
                <w:rFonts w:ascii="Noto Sans" w:hAnsi="Noto Sans" w:cs="Noto Sans"/>
                <w:color w:val="000000"/>
                <w:sz w:val="20"/>
              </w:rPr>
            </w:pPr>
            <w:r w:rsidRPr="00BA70D6">
              <w:rPr>
                <w:rFonts w:ascii="Noto Sans" w:hAnsi="Noto Sans" w:cs="Noto Sans"/>
                <w:color w:val="000000"/>
                <w:sz w:val="20"/>
              </w:rPr>
              <w:t>El consumo importado disminuyó 1.2% mensual, aunque mantuvo un crecimiento anual de 8.5%.</w:t>
            </w:r>
          </w:p>
          <w:p w:rsidR="00246E09" w:rsidRPr="00BA70D6" w:rsidRDefault="00BA70D6" w:rsidP="00BA70D6">
            <w:pPr>
              <w:pStyle w:val="Prrafodelista"/>
              <w:numPr>
                <w:ilvl w:val="0"/>
                <w:numId w:val="35"/>
              </w:numPr>
              <w:shd w:val="clear" w:color="auto" w:fill="F4F4F2"/>
              <w:spacing w:before="30" w:after="30"/>
              <w:ind w:left="318"/>
              <w:jc w:val="both"/>
              <w:rPr>
                <w:rFonts w:ascii="Noto Sans" w:hAnsi="Noto Sans" w:cs="Noto Sans"/>
                <w:color w:val="000000"/>
                <w:sz w:val="20"/>
              </w:rPr>
            </w:pPr>
            <w:r w:rsidRPr="00BA70D6">
              <w:rPr>
                <w:rFonts w:ascii="Noto Sans" w:hAnsi="Noto Sans" w:cs="Noto Sans"/>
                <w:color w:val="000000"/>
                <w:sz w:val="20"/>
              </w:rPr>
              <w:t>Con cifras originales, el consumo privado acumuló un crecimiento anual de 2.0% entre enero y mayo, apoyado principalmente por el componente importado.</w:t>
            </w:r>
          </w:p>
        </w:tc>
      </w:tr>
    </w:tbl>
    <w:p w:rsidR="00BC0BB8" w:rsidRPr="006E7B0C" w:rsidRDefault="00BC0BB8">
      <w:pPr>
        <w:jc w:val="center"/>
        <w:rPr>
          <w:rFonts w:ascii="Noto Sans" w:hAnsi="Noto Sans" w:cs="Noto Sans"/>
          <w:b/>
          <w:color w:val="10312B"/>
          <w:sz w:val="15"/>
          <w:szCs w:val="22"/>
        </w:rPr>
      </w:pPr>
      <w:bookmarkStart w:id="0" w:name="_GoBack"/>
      <w:bookmarkEnd w:id="0"/>
    </w:p>
    <w:p w:rsidR="00246E09" w:rsidRPr="00BA70D6" w:rsidRDefault="00465707">
      <w:pPr>
        <w:jc w:val="center"/>
        <w:rPr>
          <w:rFonts w:ascii="Noto Sans" w:hAnsi="Noto Sans" w:cs="Noto Sans"/>
        </w:rPr>
      </w:pPr>
      <w:r w:rsidRPr="00BA70D6">
        <w:rPr>
          <w:rFonts w:ascii="Noto Sans" w:hAnsi="Noto Sans" w:cs="Noto Sans"/>
          <w:b/>
          <w:color w:val="10312B"/>
          <w:sz w:val="22"/>
          <w:szCs w:val="22"/>
        </w:rPr>
        <w:t>Variación mensual del consumo privado, cifras desestacionalizadas, mayo 2024-mayo 2026</w:t>
      </w:r>
    </w:p>
    <w:p w:rsidR="00246E09" w:rsidRPr="00BA70D6" w:rsidRDefault="00465707">
      <w:pPr>
        <w:jc w:val="center"/>
        <w:rPr>
          <w:rFonts w:ascii="Noto Sans" w:hAnsi="Noto Sans" w:cs="Noto Sans"/>
        </w:rPr>
      </w:pPr>
      <w:r w:rsidRPr="00BA70D6">
        <w:rPr>
          <w:rFonts w:ascii="Noto Sans" w:hAnsi="Noto Sans" w:cs="Noto Sans"/>
          <w:noProof/>
        </w:rPr>
        <w:drawing>
          <wp:inline distT="0" distB="0" distL="0" distR="0">
            <wp:extent cx="4255777" cy="14185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gae_grafic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1339" cy="144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08C" w:rsidRPr="00BA70D6" w:rsidRDefault="006B308C" w:rsidP="006B308C">
      <w:pPr>
        <w:rPr>
          <w:rFonts w:ascii="Noto Sans" w:hAnsi="Noto Sans" w:cs="Noto Sans"/>
          <w:color w:val="4C545B"/>
          <w:sz w:val="15"/>
        </w:rPr>
      </w:pPr>
      <w:r w:rsidRPr="00BA70D6">
        <w:rPr>
          <w:rFonts w:ascii="Noto Sans" w:hAnsi="Noto Sans" w:cs="Noto Sans"/>
          <w:bCs/>
          <w:color w:val="4C545B"/>
          <w:sz w:val="15"/>
        </w:rPr>
        <w:t>Fuente: INEGI, IMCP, Boletín de Indicador del 5 de agosto de 2026. Cifras desestacionalizadas.</w:t>
      </w:r>
    </w:p>
    <w:p w:rsidR="006B308C" w:rsidRPr="00A14E8D" w:rsidRDefault="006B308C">
      <w:pPr>
        <w:jc w:val="both"/>
        <w:rPr>
          <w:rFonts w:ascii="Noto Sans" w:hAnsi="Noto Sans" w:cs="Noto Sans"/>
          <w:color w:val="4C545B"/>
          <w:sz w:val="10"/>
        </w:rPr>
      </w:pPr>
    </w:p>
    <w:p w:rsidR="001D7690" w:rsidRPr="00BA70D6" w:rsidRDefault="00920738">
      <w:pPr>
        <w:jc w:val="both"/>
        <w:rPr>
          <w:rFonts w:ascii="Noto Sans" w:hAnsi="Noto Sans" w:cs="Noto Sans"/>
          <w:sz w:val="10"/>
        </w:rPr>
      </w:pPr>
      <w:r w:rsidRPr="00920738">
        <w:rPr>
          <w:rFonts w:ascii="Noto Sans" w:hAnsi="Noto Sans" w:cs="Noto Sans"/>
          <w:color w:val="10312B"/>
          <w:sz w:val="20"/>
          <w:szCs w:val="20"/>
        </w:rPr>
        <w:t>En mayo, el consumo privado mantuvo una variación mensual positiva, aunque a un ritmo más moderado que en marzo y abril</w:t>
      </w:r>
      <w:r w:rsidR="001D7690" w:rsidRPr="00BA70D6">
        <w:rPr>
          <w:rFonts w:ascii="Noto Sans" w:hAnsi="Noto Sans" w:cs="Noto Sans"/>
          <w:color w:val="10312B"/>
          <w:sz w:val="20"/>
          <w:szCs w:val="20"/>
        </w:rPr>
        <w:t>.</w:t>
      </w:r>
    </w:p>
    <w:p w:rsidR="00246E09" w:rsidRPr="00BA70D6" w:rsidRDefault="00246E09">
      <w:pPr>
        <w:jc w:val="both"/>
        <w:rPr>
          <w:rFonts w:ascii="Noto Sans" w:hAnsi="Noto Sans" w:cs="Noto Sans"/>
          <w:sz w:val="8"/>
          <w:szCs w:val="10"/>
        </w:rPr>
      </w:pPr>
    </w:p>
    <w:p w:rsidR="00246E09" w:rsidRPr="00BA70D6" w:rsidRDefault="00465707">
      <w:pPr>
        <w:shd w:val="clear" w:color="auto" w:fill="005E4C"/>
        <w:jc w:val="both"/>
        <w:rPr>
          <w:rFonts w:ascii="Noto Sans" w:hAnsi="Noto Sans" w:cs="Noto Sans"/>
        </w:rPr>
      </w:pPr>
      <w:r w:rsidRPr="00BA70D6">
        <w:rPr>
          <w:rFonts w:ascii="Noto Sans" w:hAnsi="Noto Sans" w:cs="Noto Sans"/>
          <w:b/>
          <w:bCs/>
          <w:color w:val="FFFFFF" w:themeColor="background1"/>
          <w:sz w:val="22"/>
          <w:szCs w:val="22"/>
        </w:rPr>
        <w:t>Análisis</w:t>
      </w:r>
    </w:p>
    <w:p w:rsidR="00BA70D6" w:rsidRDefault="00BA70D6" w:rsidP="00BA70D6">
      <w:pPr>
        <w:pStyle w:val="Prrafodelista"/>
        <w:numPr>
          <w:ilvl w:val="0"/>
          <w:numId w:val="36"/>
        </w:numPr>
        <w:ind w:left="426"/>
        <w:jc w:val="both"/>
        <w:rPr>
          <w:rFonts w:ascii="Noto Sans" w:hAnsi="Noto Sans" w:cs="Noto Sans"/>
          <w:color w:val="000000"/>
          <w:sz w:val="20"/>
          <w:szCs w:val="22"/>
        </w:rPr>
      </w:pPr>
      <w:r w:rsidRPr="00BA70D6">
        <w:rPr>
          <w:rFonts w:ascii="Noto Sans" w:hAnsi="Noto Sans" w:cs="Noto Sans"/>
          <w:color w:val="000000"/>
          <w:sz w:val="20"/>
          <w:szCs w:val="22"/>
        </w:rPr>
        <w:t>El crecimiento mensual estuvo respaldado por el consumo nacional, que aumentó 0.3%. Los bienes avanzaron 0.5% y los servicios 0.2%.</w:t>
      </w:r>
    </w:p>
    <w:p w:rsidR="00BA70D6" w:rsidRDefault="00BA70D6" w:rsidP="00BA70D6">
      <w:pPr>
        <w:pStyle w:val="Prrafodelista"/>
        <w:numPr>
          <w:ilvl w:val="0"/>
          <w:numId w:val="36"/>
        </w:numPr>
        <w:ind w:left="426"/>
        <w:jc w:val="both"/>
        <w:rPr>
          <w:rFonts w:ascii="Noto Sans" w:hAnsi="Noto Sans" w:cs="Noto Sans"/>
          <w:color w:val="000000"/>
          <w:sz w:val="20"/>
          <w:szCs w:val="22"/>
        </w:rPr>
      </w:pPr>
      <w:r w:rsidRPr="00BA70D6">
        <w:rPr>
          <w:rFonts w:ascii="Noto Sans" w:hAnsi="Noto Sans" w:cs="Noto Sans"/>
          <w:color w:val="000000"/>
          <w:sz w:val="20"/>
          <w:szCs w:val="22"/>
        </w:rPr>
        <w:t>En comparación anual, el consumo importado conservó el mayor dinamismo, con un crecimiento de 8.5%, mientras que el componente nacional aumentó 1.2%.</w:t>
      </w:r>
    </w:p>
    <w:p w:rsidR="00246E09" w:rsidRPr="00BA70D6" w:rsidRDefault="00BA70D6" w:rsidP="00BA70D6">
      <w:pPr>
        <w:pStyle w:val="Prrafodelista"/>
        <w:numPr>
          <w:ilvl w:val="0"/>
          <w:numId w:val="36"/>
        </w:numPr>
        <w:ind w:left="426"/>
        <w:jc w:val="both"/>
        <w:rPr>
          <w:rFonts w:ascii="Noto Sans" w:hAnsi="Noto Sans" w:cs="Noto Sans"/>
          <w:color w:val="000000"/>
          <w:sz w:val="20"/>
          <w:szCs w:val="22"/>
        </w:rPr>
      </w:pPr>
      <w:r w:rsidRPr="00BA70D6">
        <w:rPr>
          <w:rFonts w:ascii="Noto Sans" w:hAnsi="Noto Sans" w:cs="Noto Sans"/>
          <w:color w:val="000000"/>
          <w:sz w:val="20"/>
          <w:szCs w:val="22"/>
        </w:rPr>
        <w:t>El desempeño por tipo de bien fue diferenciado: los bienes nacionales no duraderos crecieron 3.6% anual, mientras que los duraderos disminuyeron 7.2%. En el componente importado, los bienes duraderos aumentaron 15.6%</w:t>
      </w:r>
      <w:r w:rsidR="00C42943" w:rsidRPr="00BA70D6">
        <w:rPr>
          <w:rFonts w:ascii="Noto Sans" w:hAnsi="Noto Sans" w:cs="Noto Sans"/>
          <w:color w:val="000000"/>
          <w:sz w:val="20"/>
          <w:szCs w:val="22"/>
        </w:rPr>
        <w:t>.</w:t>
      </w:r>
    </w:p>
    <w:p w:rsidR="00C42943" w:rsidRPr="00BA70D6" w:rsidRDefault="00C42943" w:rsidP="00C42943">
      <w:pPr>
        <w:pStyle w:val="Prrafodelista"/>
        <w:ind w:left="504"/>
        <w:jc w:val="both"/>
        <w:rPr>
          <w:rFonts w:ascii="Noto Sans" w:hAnsi="Noto Sans" w:cs="Noto Sans"/>
          <w:sz w:val="10"/>
        </w:rPr>
      </w:pPr>
    </w:p>
    <w:p w:rsidR="00246E09" w:rsidRPr="00BA70D6" w:rsidRDefault="00650C79">
      <w:pPr>
        <w:jc w:val="center"/>
        <w:rPr>
          <w:rFonts w:ascii="Noto Sans" w:hAnsi="Noto Sans" w:cs="Noto Sans"/>
        </w:rPr>
      </w:pPr>
      <w:r w:rsidRPr="00BA70D6">
        <w:rPr>
          <w:rFonts w:ascii="Noto Sans" w:hAnsi="Noto Sans" w:cs="Noto Sans"/>
          <w:b/>
          <w:color w:val="10312B"/>
          <w:sz w:val="22"/>
          <w:szCs w:val="22"/>
        </w:rPr>
        <w:t>Índice del consumo privado desestacionalizado por origen, enero 2022-mayo 2026</w:t>
      </w:r>
    </w:p>
    <w:p w:rsidR="00246E09" w:rsidRPr="00BA70D6" w:rsidRDefault="00465707">
      <w:pPr>
        <w:jc w:val="center"/>
        <w:rPr>
          <w:rFonts w:ascii="Noto Sans" w:hAnsi="Noto Sans" w:cs="Noto Sans"/>
        </w:rPr>
      </w:pPr>
      <w:r w:rsidRPr="00BA70D6">
        <w:rPr>
          <w:rFonts w:ascii="Noto Sans" w:hAnsi="Noto Sans" w:cs="Noto Sans"/>
          <w:noProof/>
        </w:rPr>
        <w:drawing>
          <wp:inline distT="0" distB="0" distL="0" distR="0">
            <wp:extent cx="4140200" cy="14862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gae_grafic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4550" cy="150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BB8" w:rsidRPr="00BA70D6" w:rsidRDefault="00BC0BB8">
      <w:pPr>
        <w:jc w:val="both"/>
        <w:rPr>
          <w:rFonts w:ascii="Noto Sans" w:hAnsi="Noto Sans" w:cs="Noto Sans"/>
          <w:sz w:val="6"/>
          <w:szCs w:val="10"/>
        </w:rPr>
      </w:pPr>
    </w:p>
    <w:p w:rsidR="00246E09" w:rsidRPr="00BA70D6" w:rsidRDefault="00465707">
      <w:pPr>
        <w:shd w:val="clear" w:color="auto" w:fill="235B4C"/>
        <w:jc w:val="both"/>
        <w:rPr>
          <w:rFonts w:ascii="Noto Sans" w:hAnsi="Noto Sans" w:cs="Noto Sans"/>
        </w:rPr>
      </w:pPr>
      <w:r w:rsidRPr="00BA70D6">
        <w:rPr>
          <w:rFonts w:ascii="Noto Sans" w:hAnsi="Noto Sans" w:cs="Noto Sans"/>
          <w:b/>
          <w:bCs/>
          <w:color w:val="FFFFFF" w:themeColor="background1"/>
          <w:sz w:val="22"/>
          <w:szCs w:val="22"/>
        </w:rPr>
        <w:t>Consumo por tipo de bien</w:t>
      </w:r>
    </w:p>
    <w:p w:rsidR="00246E09" w:rsidRPr="00BA70D6" w:rsidRDefault="00246E09">
      <w:pPr>
        <w:spacing w:before="60" w:after="60"/>
        <w:jc w:val="both"/>
        <w:rPr>
          <w:rFonts w:ascii="Noto Sans" w:hAnsi="Noto Sans" w:cs="Noto Sans"/>
          <w:sz w:val="2"/>
          <w:szCs w:val="16"/>
        </w:rPr>
      </w:pPr>
    </w:p>
    <w:tbl>
      <w:tblPr>
        <w:tblStyle w:val="Tablaconcuadrcula"/>
        <w:tblW w:w="8828" w:type="dxa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828"/>
        <w:gridCol w:w="2000"/>
        <w:gridCol w:w="2000"/>
      </w:tblGrid>
      <w:tr w:rsidR="00246E09" w:rsidRPr="00BA70D6" w:rsidTr="00C42943">
        <w:tc>
          <w:tcPr>
            <w:tcW w:w="4828" w:type="dxa"/>
            <w:shd w:val="clear" w:color="auto" w:fill="235B4C"/>
          </w:tcPr>
          <w:p w:rsidR="00246E09" w:rsidRPr="00BA70D6" w:rsidRDefault="00465707">
            <w:pPr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color w:val="FFFFFF"/>
                <w:sz w:val="17"/>
              </w:rPr>
              <w:t>Concepto</w:t>
            </w:r>
          </w:p>
        </w:tc>
        <w:tc>
          <w:tcPr>
            <w:tcW w:w="2000" w:type="dxa"/>
            <w:shd w:val="clear" w:color="auto" w:fill="235B4C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color w:val="FFFFFF"/>
                <w:sz w:val="17"/>
              </w:rPr>
              <w:t>Var. anual</w:t>
            </w:r>
          </w:p>
        </w:tc>
        <w:tc>
          <w:tcPr>
            <w:tcW w:w="2000" w:type="dxa"/>
            <w:shd w:val="clear" w:color="auto" w:fill="235B4C"/>
          </w:tcPr>
          <w:p w:rsidR="00246E09" w:rsidRPr="00BA70D6" w:rsidRDefault="00465707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color w:val="FFFFFF"/>
                <w:sz w:val="17"/>
              </w:rPr>
              <w:t>Var. acumulada</w:t>
            </w:r>
          </w:p>
        </w:tc>
      </w:tr>
      <w:tr w:rsidR="00246E09" w:rsidRPr="00BA70D6" w:rsidTr="00CC7915">
        <w:tc>
          <w:tcPr>
            <w:tcW w:w="4828" w:type="dxa"/>
            <w:shd w:val="clear" w:color="auto" w:fill="F4F4F2"/>
          </w:tcPr>
          <w:p w:rsidR="00246E09" w:rsidRPr="00BA70D6" w:rsidRDefault="00465707">
            <w:pPr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color w:val="000000"/>
                <w:sz w:val="16"/>
              </w:rPr>
              <w:t>Nacional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b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b/>
                <w:color w:val="000000"/>
                <w:sz w:val="16"/>
              </w:rPr>
              <w:t xml:space="preserve"> 0.6 %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color w:val="000000"/>
                <w:sz w:val="16"/>
              </w:rPr>
              <w:t>0.0 %</w:t>
            </w:r>
          </w:p>
        </w:tc>
      </w:tr>
      <w:tr w:rsidR="00246E09" w:rsidRPr="00BA70D6" w:rsidTr="00CC7915">
        <w:tc>
          <w:tcPr>
            <w:tcW w:w="4828" w:type="dxa"/>
          </w:tcPr>
          <w:p w:rsidR="00246E09" w:rsidRPr="00BA70D6" w:rsidRDefault="00465707">
            <w:pPr>
              <w:ind w:left="140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color w:val="000000"/>
                <w:sz w:val="16"/>
              </w:rPr>
              <w:t>Bienes</w:t>
            </w:r>
          </w:p>
        </w:tc>
        <w:tc>
          <w:tcPr>
            <w:tcW w:w="2000" w:type="dxa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color w:val="000000"/>
                <w:sz w:val="16"/>
              </w:rPr>
              <w:t xml:space="preserve"> 1.4 %</w:t>
            </w:r>
          </w:p>
        </w:tc>
        <w:tc>
          <w:tcPr>
            <w:tcW w:w="2000" w:type="dxa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C00000"/>
                <w:sz w:val="16"/>
              </w:rPr>
              <w:t>▼</w:t>
            </w:r>
            <w:r w:rsidRPr="00BA70D6">
              <w:rPr>
                <w:rFonts w:ascii="Noto Sans" w:hAnsi="Noto Sans" w:cs="Noto Sans"/>
                <w:color w:val="C00000"/>
                <w:sz w:val="16"/>
              </w:rPr>
              <w:t xml:space="preserve"> 0.2 %</w:t>
            </w:r>
          </w:p>
        </w:tc>
      </w:tr>
      <w:tr w:rsidR="00246E09" w:rsidRPr="00BA70D6" w:rsidTr="00CC7915">
        <w:tc>
          <w:tcPr>
            <w:tcW w:w="4828" w:type="dxa"/>
            <w:shd w:val="clear" w:color="auto" w:fill="F4F4F2"/>
          </w:tcPr>
          <w:p w:rsidR="00246E09" w:rsidRPr="00BA70D6" w:rsidRDefault="00465707">
            <w:pPr>
              <w:ind w:left="280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color w:val="000000"/>
                <w:sz w:val="16"/>
              </w:rPr>
              <w:t>Duradero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C00000"/>
                <w:sz w:val="16"/>
              </w:rPr>
              <w:t>▼</w:t>
            </w:r>
            <w:r w:rsidRPr="00BA70D6">
              <w:rPr>
                <w:rFonts w:ascii="Noto Sans" w:hAnsi="Noto Sans" w:cs="Noto Sans"/>
                <w:color w:val="C00000"/>
                <w:sz w:val="16"/>
              </w:rPr>
              <w:t xml:space="preserve"> 7.2 %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C00000"/>
                <w:sz w:val="16"/>
              </w:rPr>
              <w:t>▼</w:t>
            </w:r>
            <w:r w:rsidRPr="00BA70D6">
              <w:rPr>
                <w:rFonts w:ascii="Noto Sans" w:hAnsi="Noto Sans" w:cs="Noto Sans"/>
                <w:color w:val="C00000"/>
                <w:sz w:val="16"/>
              </w:rPr>
              <w:t xml:space="preserve"> 5.9 %</w:t>
            </w:r>
          </w:p>
        </w:tc>
      </w:tr>
      <w:tr w:rsidR="00246E09" w:rsidRPr="00BA70D6" w:rsidTr="00CC7915">
        <w:tc>
          <w:tcPr>
            <w:tcW w:w="4828" w:type="dxa"/>
          </w:tcPr>
          <w:p w:rsidR="00246E09" w:rsidRPr="00BA70D6" w:rsidRDefault="00465707">
            <w:pPr>
              <w:ind w:left="280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color w:val="000000"/>
                <w:sz w:val="16"/>
              </w:rPr>
              <w:t>Semi duradero</w:t>
            </w:r>
          </w:p>
        </w:tc>
        <w:tc>
          <w:tcPr>
            <w:tcW w:w="2000" w:type="dxa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C00000"/>
                <w:sz w:val="16"/>
              </w:rPr>
              <w:t>▼</w:t>
            </w:r>
            <w:r w:rsidRPr="00BA70D6">
              <w:rPr>
                <w:rFonts w:ascii="Noto Sans" w:hAnsi="Noto Sans" w:cs="Noto Sans"/>
                <w:color w:val="C00000"/>
                <w:sz w:val="16"/>
              </w:rPr>
              <w:t xml:space="preserve"> 2.9 %</w:t>
            </w:r>
          </w:p>
        </w:tc>
        <w:tc>
          <w:tcPr>
            <w:tcW w:w="2000" w:type="dxa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C00000"/>
                <w:sz w:val="16"/>
              </w:rPr>
              <w:t>▼</w:t>
            </w:r>
            <w:r w:rsidRPr="00BA70D6">
              <w:rPr>
                <w:rFonts w:ascii="Noto Sans" w:hAnsi="Noto Sans" w:cs="Noto Sans"/>
                <w:color w:val="C00000"/>
                <w:sz w:val="16"/>
              </w:rPr>
              <w:t xml:space="preserve"> 3.2 %</w:t>
            </w:r>
          </w:p>
        </w:tc>
      </w:tr>
      <w:tr w:rsidR="00246E09" w:rsidRPr="00BA70D6" w:rsidTr="00CC7915">
        <w:tc>
          <w:tcPr>
            <w:tcW w:w="4828" w:type="dxa"/>
            <w:shd w:val="clear" w:color="auto" w:fill="F4F4F2"/>
          </w:tcPr>
          <w:p w:rsidR="00246E09" w:rsidRPr="00BA70D6" w:rsidRDefault="00465707">
            <w:pPr>
              <w:ind w:left="280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color w:val="000000"/>
                <w:sz w:val="16"/>
              </w:rPr>
              <w:t>No duradero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color w:val="000000"/>
                <w:sz w:val="16"/>
              </w:rPr>
              <w:t xml:space="preserve"> 3.6 %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color w:val="000000"/>
                <w:sz w:val="16"/>
              </w:rPr>
              <w:t xml:space="preserve"> 1.2 %</w:t>
            </w:r>
          </w:p>
        </w:tc>
      </w:tr>
      <w:tr w:rsidR="00246E09" w:rsidRPr="00BA70D6" w:rsidTr="00CC7915">
        <w:tc>
          <w:tcPr>
            <w:tcW w:w="4828" w:type="dxa"/>
          </w:tcPr>
          <w:p w:rsidR="00246E09" w:rsidRPr="00BA70D6" w:rsidRDefault="00465707">
            <w:pPr>
              <w:ind w:left="140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color w:val="000000"/>
                <w:sz w:val="16"/>
              </w:rPr>
              <w:t>Servicios</w:t>
            </w:r>
          </w:p>
        </w:tc>
        <w:tc>
          <w:tcPr>
            <w:tcW w:w="2000" w:type="dxa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C00000"/>
                <w:sz w:val="16"/>
              </w:rPr>
              <w:t>▼</w:t>
            </w:r>
            <w:r w:rsidRPr="00BA70D6">
              <w:rPr>
                <w:rFonts w:ascii="Noto Sans" w:hAnsi="Noto Sans" w:cs="Noto Sans"/>
                <w:color w:val="C00000"/>
                <w:sz w:val="16"/>
              </w:rPr>
              <w:t xml:space="preserve"> 0.3 %</w:t>
            </w:r>
          </w:p>
        </w:tc>
        <w:tc>
          <w:tcPr>
            <w:tcW w:w="2000" w:type="dxa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color w:val="000000"/>
                <w:sz w:val="16"/>
              </w:rPr>
              <w:t xml:space="preserve"> 0.2 %</w:t>
            </w:r>
          </w:p>
        </w:tc>
      </w:tr>
      <w:tr w:rsidR="00246E09" w:rsidRPr="00BA70D6" w:rsidTr="00CC7915">
        <w:tc>
          <w:tcPr>
            <w:tcW w:w="4828" w:type="dxa"/>
            <w:shd w:val="clear" w:color="auto" w:fill="F4F4F2"/>
          </w:tcPr>
          <w:p w:rsidR="00246E09" w:rsidRPr="00BA70D6" w:rsidRDefault="00465707">
            <w:pPr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b/>
                <w:color w:val="000000"/>
                <w:sz w:val="16"/>
              </w:rPr>
              <w:t>Importado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b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b/>
                <w:color w:val="000000"/>
                <w:sz w:val="16"/>
              </w:rPr>
              <w:t xml:space="preserve"> 3.5 %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b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b/>
                <w:color w:val="000000"/>
                <w:sz w:val="16"/>
              </w:rPr>
              <w:t xml:space="preserve"> 10.4 %</w:t>
            </w:r>
          </w:p>
        </w:tc>
      </w:tr>
      <w:tr w:rsidR="00246E09" w:rsidRPr="00BA70D6" w:rsidTr="00CC7915">
        <w:tc>
          <w:tcPr>
            <w:tcW w:w="4828" w:type="dxa"/>
          </w:tcPr>
          <w:p w:rsidR="00246E09" w:rsidRPr="00BA70D6" w:rsidRDefault="00465707">
            <w:pPr>
              <w:ind w:left="140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color w:val="000000"/>
                <w:sz w:val="16"/>
              </w:rPr>
              <w:t>Bienes</w:t>
            </w:r>
          </w:p>
        </w:tc>
        <w:tc>
          <w:tcPr>
            <w:tcW w:w="2000" w:type="dxa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color w:val="000000"/>
                <w:sz w:val="16"/>
              </w:rPr>
              <w:t xml:space="preserve"> 3.5 %</w:t>
            </w:r>
          </w:p>
        </w:tc>
        <w:tc>
          <w:tcPr>
            <w:tcW w:w="2000" w:type="dxa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color w:val="000000"/>
                <w:sz w:val="16"/>
              </w:rPr>
              <w:t xml:space="preserve"> 10.4 %</w:t>
            </w:r>
          </w:p>
        </w:tc>
      </w:tr>
      <w:tr w:rsidR="00246E09" w:rsidRPr="00BA70D6" w:rsidTr="00CC7915">
        <w:tc>
          <w:tcPr>
            <w:tcW w:w="4828" w:type="dxa"/>
            <w:shd w:val="clear" w:color="auto" w:fill="F4F4F2"/>
          </w:tcPr>
          <w:p w:rsidR="00246E09" w:rsidRPr="00BA70D6" w:rsidRDefault="00465707">
            <w:pPr>
              <w:ind w:left="280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color w:val="000000"/>
                <w:sz w:val="16"/>
              </w:rPr>
              <w:t>Duradero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color w:val="000000"/>
                <w:sz w:val="16"/>
              </w:rPr>
              <w:t xml:space="preserve"> 15.6 %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color w:val="000000"/>
                <w:sz w:val="16"/>
              </w:rPr>
              <w:t xml:space="preserve"> 10.8 %</w:t>
            </w:r>
          </w:p>
        </w:tc>
      </w:tr>
      <w:tr w:rsidR="00246E09" w:rsidRPr="00BA70D6" w:rsidTr="00CC7915">
        <w:tc>
          <w:tcPr>
            <w:tcW w:w="4828" w:type="dxa"/>
          </w:tcPr>
          <w:p w:rsidR="00246E09" w:rsidRPr="00BA70D6" w:rsidRDefault="00465707">
            <w:pPr>
              <w:ind w:left="280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color w:val="000000"/>
                <w:sz w:val="16"/>
              </w:rPr>
              <w:t>Semi duradero</w:t>
            </w:r>
          </w:p>
        </w:tc>
        <w:tc>
          <w:tcPr>
            <w:tcW w:w="2000" w:type="dxa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color w:val="000000"/>
                <w:sz w:val="16"/>
              </w:rPr>
              <w:t xml:space="preserve"> 0.5 %</w:t>
            </w:r>
          </w:p>
        </w:tc>
        <w:tc>
          <w:tcPr>
            <w:tcW w:w="2000" w:type="dxa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C00000"/>
                <w:sz w:val="16"/>
              </w:rPr>
              <w:t>▼</w:t>
            </w:r>
            <w:r w:rsidRPr="00BA70D6">
              <w:rPr>
                <w:rFonts w:ascii="Noto Sans" w:hAnsi="Noto Sans" w:cs="Noto Sans"/>
                <w:color w:val="C00000"/>
                <w:sz w:val="16"/>
              </w:rPr>
              <w:t xml:space="preserve"> 1.4 %</w:t>
            </w:r>
          </w:p>
        </w:tc>
      </w:tr>
      <w:tr w:rsidR="00246E09" w:rsidRPr="00BA70D6" w:rsidTr="00CC7915">
        <w:tc>
          <w:tcPr>
            <w:tcW w:w="4828" w:type="dxa"/>
            <w:shd w:val="clear" w:color="auto" w:fill="F4F4F2"/>
          </w:tcPr>
          <w:p w:rsidR="00246E09" w:rsidRPr="00BA70D6" w:rsidRDefault="00465707">
            <w:pPr>
              <w:ind w:left="280"/>
              <w:rPr>
                <w:rFonts w:ascii="Noto Sans" w:hAnsi="Noto Sans" w:cs="Noto Sans"/>
              </w:rPr>
            </w:pPr>
            <w:r w:rsidRPr="00BA70D6">
              <w:rPr>
                <w:rFonts w:ascii="Noto Sans" w:hAnsi="Noto Sans" w:cs="Noto Sans"/>
                <w:color w:val="000000"/>
                <w:sz w:val="16"/>
              </w:rPr>
              <w:t>No duradero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C00000"/>
                <w:sz w:val="16"/>
              </w:rPr>
              <w:t>▼</w:t>
            </w:r>
            <w:r w:rsidRPr="00BA70D6">
              <w:rPr>
                <w:rFonts w:ascii="Noto Sans" w:hAnsi="Noto Sans" w:cs="Noto Sans"/>
                <w:color w:val="C00000"/>
                <w:sz w:val="16"/>
              </w:rPr>
              <w:t xml:space="preserve"> 2.8 %</w:t>
            </w:r>
          </w:p>
        </w:tc>
        <w:tc>
          <w:tcPr>
            <w:tcW w:w="2000" w:type="dxa"/>
            <w:shd w:val="clear" w:color="auto" w:fill="F4F4F2"/>
            <w:vAlign w:val="center"/>
          </w:tcPr>
          <w:p w:rsidR="00246E09" w:rsidRPr="00BA70D6" w:rsidRDefault="00465707" w:rsidP="00CC7915">
            <w:pPr>
              <w:jc w:val="center"/>
              <w:rPr>
                <w:rFonts w:ascii="Noto Sans" w:hAnsi="Noto Sans" w:cs="Noto Sans"/>
              </w:rPr>
            </w:pPr>
            <w:r w:rsidRPr="00BA70D6">
              <w:rPr>
                <w:rFonts w:ascii="Arial" w:hAnsi="Arial" w:cs="Arial"/>
                <w:color w:val="000000"/>
                <w:sz w:val="16"/>
              </w:rPr>
              <w:t>▲</w:t>
            </w:r>
            <w:r w:rsidRPr="00BA70D6">
              <w:rPr>
                <w:rFonts w:ascii="Noto Sans" w:hAnsi="Noto Sans" w:cs="Noto Sans"/>
                <w:color w:val="000000"/>
                <w:sz w:val="16"/>
              </w:rPr>
              <w:t xml:space="preserve"> 16.0 %</w:t>
            </w:r>
          </w:p>
        </w:tc>
      </w:tr>
    </w:tbl>
    <w:p w:rsidR="00BC0BB8" w:rsidRPr="00BA70D6" w:rsidRDefault="00465707">
      <w:pPr>
        <w:spacing w:before="40"/>
        <w:rPr>
          <w:rFonts w:ascii="Noto Sans" w:hAnsi="Noto Sans" w:cs="Noto Sans"/>
          <w:color w:val="4C545B"/>
          <w:sz w:val="15"/>
        </w:rPr>
      </w:pPr>
      <w:r w:rsidRPr="00BA70D6">
        <w:rPr>
          <w:rFonts w:ascii="Noto Sans" w:hAnsi="Noto Sans" w:cs="Noto Sans"/>
          <w:b/>
          <w:color w:val="4C545B"/>
          <w:sz w:val="15"/>
        </w:rPr>
        <w:t>Nota:</w:t>
      </w:r>
      <w:r w:rsidRPr="00BA70D6">
        <w:rPr>
          <w:rFonts w:ascii="Noto Sans" w:hAnsi="Noto Sans" w:cs="Noto Sans"/>
          <w:color w:val="4C545B"/>
          <w:sz w:val="15"/>
        </w:rPr>
        <w:t xml:space="preserve"> columnas con cifras originales; variación anual respecto al mismo mes de 2025, acumulado enero-mayo de 2026.</w:t>
      </w:r>
    </w:p>
    <w:p w:rsidR="00246E09" w:rsidRPr="00BA70D6" w:rsidRDefault="00246E09">
      <w:pPr>
        <w:jc w:val="both"/>
        <w:rPr>
          <w:rFonts w:ascii="Noto Sans" w:hAnsi="Noto Sans" w:cs="Noto Sans"/>
          <w:sz w:val="10"/>
          <w:szCs w:val="10"/>
        </w:rPr>
      </w:pPr>
    </w:p>
    <w:p w:rsidR="00BA70D6" w:rsidRPr="00BA70D6" w:rsidRDefault="00BA70D6" w:rsidP="00BA70D6">
      <w:pPr>
        <w:jc w:val="both"/>
        <w:rPr>
          <w:rFonts w:ascii="Noto Sans" w:hAnsi="Noto Sans" w:cs="Noto Sans"/>
          <w:color w:val="000000" w:themeColor="text1"/>
          <w:sz w:val="22"/>
          <w:lang w:eastAsia="es-ES_tradnl"/>
        </w:rPr>
      </w:pPr>
      <w:r w:rsidRPr="00BA70D6">
        <w:rPr>
          <w:rFonts w:ascii="Noto Sans" w:hAnsi="Noto Sans" w:cs="Noto Sans"/>
          <w:color w:val="000000" w:themeColor="text1"/>
          <w:sz w:val="22"/>
          <w:lang w:eastAsia="es-ES_tradnl"/>
        </w:rPr>
        <w:t xml:space="preserve">En conjunto, los resultados de mayo muestran una expansión moderada del consumo privado, apoyada por el avance del gasto nacional y por el dinamismo anual de los bienes importados. Hacia adelante, será relevante observar si </w:t>
      </w:r>
      <w:r w:rsidR="00920738">
        <w:rPr>
          <w:rFonts w:ascii="Noto Sans" w:hAnsi="Noto Sans" w:cs="Noto Sans"/>
          <w:color w:val="000000" w:themeColor="text1"/>
          <w:sz w:val="22"/>
          <w:lang w:eastAsia="es-ES_tradnl"/>
        </w:rPr>
        <w:t>el</w:t>
      </w:r>
      <w:r w:rsidRPr="00BA70D6">
        <w:rPr>
          <w:rFonts w:ascii="Noto Sans" w:hAnsi="Noto Sans" w:cs="Noto Sans"/>
          <w:color w:val="000000" w:themeColor="text1"/>
          <w:sz w:val="22"/>
          <w:lang w:eastAsia="es-ES_tradnl"/>
        </w:rPr>
        <w:t xml:space="preserve"> </w:t>
      </w:r>
      <w:r w:rsidR="00920738">
        <w:rPr>
          <w:rFonts w:ascii="Noto Sans" w:hAnsi="Noto Sans" w:cs="Noto Sans"/>
          <w:color w:val="000000" w:themeColor="text1"/>
          <w:sz w:val="22"/>
          <w:lang w:eastAsia="es-ES_tradnl"/>
        </w:rPr>
        <w:t>avance</w:t>
      </w:r>
      <w:r w:rsidRPr="00BA70D6">
        <w:rPr>
          <w:rFonts w:ascii="Noto Sans" w:hAnsi="Noto Sans" w:cs="Noto Sans"/>
          <w:color w:val="000000" w:themeColor="text1"/>
          <w:sz w:val="22"/>
          <w:lang w:eastAsia="es-ES_tradnl"/>
        </w:rPr>
        <w:t xml:space="preserve"> mensual se consolida y se extiende a los bienes duraderos de origen nacional.</w:t>
      </w:r>
    </w:p>
    <w:p w:rsidR="00BA70D6" w:rsidRPr="00BA70D6" w:rsidRDefault="00BA70D6" w:rsidP="00BA70D6">
      <w:pPr>
        <w:jc w:val="both"/>
        <w:rPr>
          <w:rFonts w:ascii="Noto Sans" w:hAnsi="Noto Sans" w:cs="Noto Sans"/>
          <w:sz w:val="6"/>
          <w:szCs w:val="20"/>
          <w:lang w:eastAsia="es-ES_tradnl"/>
        </w:rPr>
      </w:pPr>
    </w:p>
    <w:p w:rsidR="00246E09" w:rsidRPr="00BA70D6" w:rsidRDefault="00465707">
      <w:pPr>
        <w:jc w:val="both"/>
        <w:rPr>
          <w:rFonts w:ascii="Noto Sans" w:hAnsi="Noto Sans" w:cs="Noto Sans"/>
        </w:rPr>
      </w:pPr>
      <w:r w:rsidRPr="00BA70D6">
        <w:rPr>
          <w:rFonts w:ascii="Noto Sans" w:hAnsi="Noto Sans" w:cs="Noto Sans"/>
          <w:color w:val="4C545B"/>
          <w:sz w:val="15"/>
        </w:rPr>
        <w:t xml:space="preserve">Fuente: INEGI, Sistema de Cuentas Nacionales de México (SCNM), Indicador Mensual del Consumo Privado (IMCP), Boletín de Indicador del 5 de agosto de 2026 (cifras de mayo de 2026). </w:t>
      </w:r>
    </w:p>
    <w:sectPr w:rsidR="00246E09" w:rsidRPr="00BA70D6">
      <w:headerReference w:type="default" r:id="rId11"/>
      <w:footerReference w:type="even" r:id="rId12"/>
      <w:footerReference w:type="default" r:id="rId13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0DA6" w:rsidRDefault="004C0DA6" w:rsidP="00E32E74">
      <w:r>
        <w:separator/>
      </w:r>
    </w:p>
  </w:endnote>
  <w:endnote w:type="continuationSeparator" w:id="0">
    <w:p w:rsidR="004C0DA6" w:rsidRDefault="004C0DA6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altName w:val="Calibri"/>
    <w:panose1 w:val="020B0502040504020204"/>
    <w:charset w:val="00"/>
    <w:family w:val="swiss"/>
    <w:pitch w:val="variable"/>
    <w:sig w:usb0="E00882FF" w:usb1="400078F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0DA6" w:rsidRDefault="004C0DA6" w:rsidP="00E32E74">
      <w:r>
        <w:separator/>
      </w:r>
    </w:p>
  </w:footnote>
  <w:footnote w:type="continuationSeparator" w:id="0">
    <w:p w:rsidR="004C0DA6" w:rsidRDefault="004C0DA6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74D2" w:rsidRDefault="00EA49C5" w:rsidP="00A174D2">
    <w:pPr>
      <w:ind w:left="-426"/>
      <w:rPr>
        <w:rFonts w:ascii="Noto Sans" w:hAnsi="Noto Sans"/>
        <w:b/>
        <w:sz w:val="2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74D2" w:rsidRPr="00A174D2">
      <w:rPr>
        <w:rFonts w:ascii="Noto Sans" w:hAnsi="Noto Sans"/>
        <w:b/>
        <w:sz w:val="22"/>
      </w:rPr>
      <w:t xml:space="preserve"> </w:t>
    </w:r>
  </w:p>
  <w:p w:rsidR="00A174D2" w:rsidRDefault="00A174D2" w:rsidP="00A174D2">
    <w:pPr>
      <w:ind w:left="-426"/>
      <w:rPr>
        <w:rFonts w:ascii="Noto Sans" w:hAnsi="Noto Sans"/>
        <w:b/>
        <w:sz w:val="22"/>
      </w:rPr>
    </w:pPr>
  </w:p>
  <w:p w:rsidR="00A174D2" w:rsidRDefault="00A174D2" w:rsidP="00A174D2">
    <w:pPr>
      <w:ind w:left="-426"/>
      <w:rPr>
        <w:rFonts w:ascii="Noto Sans" w:hAnsi="Noto Sans"/>
        <w:b/>
        <w:sz w:val="22"/>
      </w:rPr>
    </w:pPr>
  </w:p>
  <w:p w:rsidR="00A174D2" w:rsidRDefault="00A174D2" w:rsidP="00FE6B8B">
    <w:pPr>
      <w:ind w:left="-426"/>
      <w:rPr>
        <w:rFonts w:ascii="Noto Sans" w:hAnsi="Noto Sans"/>
        <w:b/>
        <w:sz w:val="22"/>
      </w:rPr>
    </w:pPr>
    <w:r>
      <w:rPr>
        <w:rFonts w:ascii="Noto Sans" w:hAnsi="Noto Sans"/>
        <w:b/>
        <w:sz w:val="22"/>
      </w:rPr>
      <w:t>Subsecretaría de Industria y Comercio</w:t>
    </w:r>
  </w:p>
  <w:p w:rsidR="00EA51AD" w:rsidRPr="00FE6B8B" w:rsidRDefault="00EA51AD" w:rsidP="00FE6B8B">
    <w:pPr>
      <w:ind w:left="-426"/>
      <w:rPr>
        <w:rFonts w:ascii="Calibri" w:hAnsi="Calibri" w:cs="Calibri"/>
        <w:b/>
        <w:bCs/>
        <w:sz w:val="22"/>
        <w:szCs w:val="22"/>
      </w:rPr>
    </w:pPr>
    <w:r>
      <w:rPr>
        <w:rFonts w:ascii="Noto Sans" w:hAnsi="Noto Sans" w:cs="Noto Sans"/>
        <w:b/>
        <w:bCs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14FEE"/>
    <w:multiLevelType w:val="hybridMultilevel"/>
    <w:tmpl w:val="545CA79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F29D3"/>
    <w:multiLevelType w:val="hybridMultilevel"/>
    <w:tmpl w:val="A2DEA0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3" w15:restartNumberingAfterBreak="0">
    <w:nsid w:val="601E16F6"/>
    <w:multiLevelType w:val="hybridMultilevel"/>
    <w:tmpl w:val="095A0B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4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1"/>
  </w:num>
  <w:num w:numId="4">
    <w:abstractNumId w:val="35"/>
  </w:num>
  <w:num w:numId="5">
    <w:abstractNumId w:val="29"/>
  </w:num>
  <w:num w:numId="6">
    <w:abstractNumId w:val="10"/>
  </w:num>
  <w:num w:numId="7">
    <w:abstractNumId w:val="31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2"/>
  </w:num>
  <w:num w:numId="16">
    <w:abstractNumId w:val="0"/>
  </w:num>
  <w:num w:numId="17">
    <w:abstractNumId w:val="26"/>
  </w:num>
  <w:num w:numId="18">
    <w:abstractNumId w:val="15"/>
  </w:num>
  <w:num w:numId="19">
    <w:abstractNumId w:val="25"/>
  </w:num>
  <w:num w:numId="20">
    <w:abstractNumId w:val="28"/>
  </w:num>
  <w:num w:numId="21">
    <w:abstractNumId w:val="11"/>
  </w:num>
  <w:num w:numId="22">
    <w:abstractNumId w:val="1"/>
  </w:num>
  <w:num w:numId="23">
    <w:abstractNumId w:val="24"/>
  </w:num>
  <w:num w:numId="24">
    <w:abstractNumId w:val="27"/>
  </w:num>
  <w:num w:numId="25">
    <w:abstractNumId w:val="3"/>
  </w:num>
  <w:num w:numId="26">
    <w:abstractNumId w:val="4"/>
  </w:num>
  <w:num w:numId="27">
    <w:abstractNumId w:val="30"/>
  </w:num>
  <w:num w:numId="28">
    <w:abstractNumId w:val="9"/>
  </w:num>
  <w:num w:numId="29">
    <w:abstractNumId w:val="34"/>
  </w:num>
  <w:num w:numId="30">
    <w:abstractNumId w:val="33"/>
  </w:num>
  <w:num w:numId="31">
    <w:abstractNumId w:val="2"/>
  </w:num>
  <w:num w:numId="32">
    <w:abstractNumId w:val="22"/>
  </w:num>
  <w:num w:numId="33">
    <w:abstractNumId w:val="13"/>
  </w:num>
  <w:num w:numId="34">
    <w:abstractNumId w:val="12"/>
  </w:num>
  <w:num w:numId="35">
    <w:abstractNumId w:val="23"/>
  </w:num>
  <w:num w:numId="36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7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0565E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FB9"/>
    <w:rsid w:val="000571C6"/>
    <w:rsid w:val="000A3591"/>
    <w:rsid w:val="000A46AA"/>
    <w:rsid w:val="000A71DD"/>
    <w:rsid w:val="000D126D"/>
    <w:rsid w:val="000D5B48"/>
    <w:rsid w:val="000E1551"/>
    <w:rsid w:val="000E263D"/>
    <w:rsid w:val="001106F9"/>
    <w:rsid w:val="00113971"/>
    <w:rsid w:val="00113ADD"/>
    <w:rsid w:val="00136317"/>
    <w:rsid w:val="0013733B"/>
    <w:rsid w:val="00153B11"/>
    <w:rsid w:val="001544FC"/>
    <w:rsid w:val="00155DFB"/>
    <w:rsid w:val="0018050E"/>
    <w:rsid w:val="00193DC0"/>
    <w:rsid w:val="00197050"/>
    <w:rsid w:val="00197ADD"/>
    <w:rsid w:val="001A6402"/>
    <w:rsid w:val="001B2972"/>
    <w:rsid w:val="001B64D3"/>
    <w:rsid w:val="001C2D90"/>
    <w:rsid w:val="001C5436"/>
    <w:rsid w:val="001D27D6"/>
    <w:rsid w:val="001D4DE9"/>
    <w:rsid w:val="001D7690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919F7"/>
    <w:rsid w:val="003B7AF4"/>
    <w:rsid w:val="003E7119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773F7"/>
    <w:rsid w:val="004869A7"/>
    <w:rsid w:val="00486FFD"/>
    <w:rsid w:val="00491EE7"/>
    <w:rsid w:val="0049299F"/>
    <w:rsid w:val="00495548"/>
    <w:rsid w:val="004A74A4"/>
    <w:rsid w:val="004A78F6"/>
    <w:rsid w:val="004B221D"/>
    <w:rsid w:val="004C0DA6"/>
    <w:rsid w:val="004C2B18"/>
    <w:rsid w:val="004D104B"/>
    <w:rsid w:val="004D2236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7300"/>
    <w:rsid w:val="00591B3A"/>
    <w:rsid w:val="00593514"/>
    <w:rsid w:val="005A57CC"/>
    <w:rsid w:val="005D105A"/>
    <w:rsid w:val="005D3A14"/>
    <w:rsid w:val="00612102"/>
    <w:rsid w:val="00625F36"/>
    <w:rsid w:val="00646C52"/>
    <w:rsid w:val="00650C79"/>
    <w:rsid w:val="00661ED1"/>
    <w:rsid w:val="006626AF"/>
    <w:rsid w:val="00662863"/>
    <w:rsid w:val="00667278"/>
    <w:rsid w:val="00671DD9"/>
    <w:rsid w:val="0068031A"/>
    <w:rsid w:val="00697E37"/>
    <w:rsid w:val="006A1F60"/>
    <w:rsid w:val="006B12F5"/>
    <w:rsid w:val="006B308C"/>
    <w:rsid w:val="006D3942"/>
    <w:rsid w:val="006E7B0C"/>
    <w:rsid w:val="006F4646"/>
    <w:rsid w:val="00705DC8"/>
    <w:rsid w:val="007471F1"/>
    <w:rsid w:val="007759A6"/>
    <w:rsid w:val="007816C7"/>
    <w:rsid w:val="0078392B"/>
    <w:rsid w:val="0079704D"/>
    <w:rsid w:val="007B7560"/>
    <w:rsid w:val="007D06F1"/>
    <w:rsid w:val="007D3385"/>
    <w:rsid w:val="007F60B5"/>
    <w:rsid w:val="00810EC6"/>
    <w:rsid w:val="0082026B"/>
    <w:rsid w:val="00830352"/>
    <w:rsid w:val="00832176"/>
    <w:rsid w:val="0083711C"/>
    <w:rsid w:val="008544E1"/>
    <w:rsid w:val="0086418A"/>
    <w:rsid w:val="00864D64"/>
    <w:rsid w:val="00864E21"/>
    <w:rsid w:val="00887FBD"/>
    <w:rsid w:val="00897B8A"/>
    <w:rsid w:val="008A56B9"/>
    <w:rsid w:val="008B36BF"/>
    <w:rsid w:val="008B4362"/>
    <w:rsid w:val="008B5764"/>
    <w:rsid w:val="008D09CA"/>
    <w:rsid w:val="008F0109"/>
    <w:rsid w:val="008F2DC2"/>
    <w:rsid w:val="008F54BD"/>
    <w:rsid w:val="00920738"/>
    <w:rsid w:val="00927F12"/>
    <w:rsid w:val="00930605"/>
    <w:rsid w:val="009667A4"/>
    <w:rsid w:val="00981CAC"/>
    <w:rsid w:val="00994331"/>
    <w:rsid w:val="00995175"/>
    <w:rsid w:val="00997820"/>
    <w:rsid w:val="009A7385"/>
    <w:rsid w:val="009B2B04"/>
    <w:rsid w:val="009D1660"/>
    <w:rsid w:val="009D513B"/>
    <w:rsid w:val="009D662C"/>
    <w:rsid w:val="009E6351"/>
    <w:rsid w:val="00A14E8D"/>
    <w:rsid w:val="00A174D2"/>
    <w:rsid w:val="00A25E9B"/>
    <w:rsid w:val="00A27EAB"/>
    <w:rsid w:val="00A34818"/>
    <w:rsid w:val="00A503BD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273F4"/>
    <w:rsid w:val="00B62B90"/>
    <w:rsid w:val="00B64AE2"/>
    <w:rsid w:val="00B72087"/>
    <w:rsid w:val="00B93C35"/>
    <w:rsid w:val="00B94BFE"/>
    <w:rsid w:val="00BA70D6"/>
    <w:rsid w:val="00BA7AF6"/>
    <w:rsid w:val="00BB1DC9"/>
    <w:rsid w:val="00BB4307"/>
    <w:rsid w:val="00BC0BB8"/>
    <w:rsid w:val="00BC0F57"/>
    <w:rsid w:val="00BD38B1"/>
    <w:rsid w:val="00BE2C85"/>
    <w:rsid w:val="00BF5F01"/>
    <w:rsid w:val="00C0087D"/>
    <w:rsid w:val="00C122A4"/>
    <w:rsid w:val="00C176D8"/>
    <w:rsid w:val="00C2663E"/>
    <w:rsid w:val="00C33446"/>
    <w:rsid w:val="00C42943"/>
    <w:rsid w:val="00C43081"/>
    <w:rsid w:val="00C619F7"/>
    <w:rsid w:val="00C62995"/>
    <w:rsid w:val="00C639EA"/>
    <w:rsid w:val="00C65A1B"/>
    <w:rsid w:val="00C66897"/>
    <w:rsid w:val="00C77CCD"/>
    <w:rsid w:val="00C821D5"/>
    <w:rsid w:val="00C9207B"/>
    <w:rsid w:val="00CA49C6"/>
    <w:rsid w:val="00CA567C"/>
    <w:rsid w:val="00CB38B3"/>
    <w:rsid w:val="00CB70C5"/>
    <w:rsid w:val="00CC7915"/>
    <w:rsid w:val="00CD4A23"/>
    <w:rsid w:val="00CD7369"/>
    <w:rsid w:val="00CE633D"/>
    <w:rsid w:val="00D10BEE"/>
    <w:rsid w:val="00D2057E"/>
    <w:rsid w:val="00D2376F"/>
    <w:rsid w:val="00D23B89"/>
    <w:rsid w:val="00D263C6"/>
    <w:rsid w:val="00D5004B"/>
    <w:rsid w:val="00D60BF7"/>
    <w:rsid w:val="00D70252"/>
    <w:rsid w:val="00D70D18"/>
    <w:rsid w:val="00D83A01"/>
    <w:rsid w:val="00D90AAA"/>
    <w:rsid w:val="00D92277"/>
    <w:rsid w:val="00D974FD"/>
    <w:rsid w:val="00DA0C65"/>
    <w:rsid w:val="00DB54A2"/>
    <w:rsid w:val="00DC152E"/>
    <w:rsid w:val="00DC5509"/>
    <w:rsid w:val="00DD2599"/>
    <w:rsid w:val="00DD4B7F"/>
    <w:rsid w:val="00DD6CF3"/>
    <w:rsid w:val="00DE76A7"/>
    <w:rsid w:val="00E0538C"/>
    <w:rsid w:val="00E066F2"/>
    <w:rsid w:val="00E1407E"/>
    <w:rsid w:val="00E32E74"/>
    <w:rsid w:val="00E56F00"/>
    <w:rsid w:val="00E61388"/>
    <w:rsid w:val="00E7262E"/>
    <w:rsid w:val="00E76409"/>
    <w:rsid w:val="00E84F6B"/>
    <w:rsid w:val="00E94CD4"/>
    <w:rsid w:val="00EA2751"/>
    <w:rsid w:val="00EA49C5"/>
    <w:rsid w:val="00EA51AD"/>
    <w:rsid w:val="00EB1C36"/>
    <w:rsid w:val="00EB1FB8"/>
    <w:rsid w:val="00EC4BC7"/>
    <w:rsid w:val="00ED0B2E"/>
    <w:rsid w:val="00F0340D"/>
    <w:rsid w:val="00F05F40"/>
    <w:rsid w:val="00F06026"/>
    <w:rsid w:val="00F16AAF"/>
    <w:rsid w:val="00F231FC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A18D4"/>
    <w:rsid w:val="00FA6B54"/>
    <w:rsid w:val="00FB178F"/>
    <w:rsid w:val="00FD0DC2"/>
    <w:rsid w:val="00FE2C1E"/>
    <w:rsid w:val="00FE6B8B"/>
    <w:rsid w:val="00FF0630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8FA484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4CD4"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4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5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2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E17BCC7-DDC0-7F4F-91FE-B24F5A2A3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498</Words>
  <Characters>2741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4</cp:revision>
  <cp:lastPrinted>2026-06-17T17:31:00Z</cp:lastPrinted>
  <dcterms:created xsi:type="dcterms:W3CDTF">2026-08-05T02:05:00Z</dcterms:created>
  <dcterms:modified xsi:type="dcterms:W3CDTF">2026-08-05T02:11:00Z</dcterms:modified>
</cp:coreProperties>
</file>