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shd w:val="clear" w:color="auto" w:fill="235B4C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246E09">
        <w:tc>
          <w:tcPr>
            <w:tcW w:w="88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35B4C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color w:val="FFFFFF" w:themeColor="background1"/>
                <w:sz w:val="20"/>
                <w:szCs w:val="20"/>
              </w:rPr>
              <w:t>Encuesta Mensual de la Industria Manufacturera (EMIM)</w:t>
            </w:r>
          </w:p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b/>
                <w:bCs/>
                <w:color w:val="FFFFFF" w:themeColor="background1"/>
                <w:sz w:val="40"/>
                <w:szCs w:val="40"/>
              </w:rPr>
              <w:t>EMIM · Mayo 2026</w:t>
            </w:r>
          </w:p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color w:val="FFFFFF" w:themeColor="background1"/>
                <w:sz w:val="20"/>
                <w:szCs w:val="20"/>
              </w:rPr>
              <w:t>Boletín de Indicador 424/26 del 16 de julio de 2026 | INEGI</w:t>
            </w:r>
          </w:p>
        </w:tc>
      </w:tr>
      <w:tr w:rsidR="00246E09"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61123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b/>
                <w:bCs/>
                <w:color w:val="FFFFFF"/>
                <w:spacing w:val="10"/>
                <w:sz w:val="17"/>
                <w:szCs w:val="17"/>
              </w:rPr>
              <w:t>VARIACIÓN MENSUAL</w:t>
            </w:r>
          </w:p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72"/>
                <w:szCs w:val="72"/>
              </w:rPr>
              <w:t>▼</w:t>
            </w:r>
            <w:r>
              <w:rPr>
                <w:rFonts w:ascii="Noto Sans" w:hAnsi="Noto Sans" w:cs="Noto Sans"/>
                <w:b/>
                <w:bCs/>
                <w:color w:val="FFFFFF"/>
                <w:sz w:val="72"/>
                <w:szCs w:val="72"/>
              </w:rPr>
              <w:t xml:space="preserve"> -0.6%</w:t>
            </w:r>
          </w:p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color w:val="F4F4F2"/>
                <w:sz w:val="16"/>
                <w:szCs w:val="16"/>
              </w:rPr>
              <w:t>Volumen de producción · cifras desest. · mayo 2026</w:t>
            </w:r>
          </w:p>
        </w:tc>
        <w:tc>
          <w:tcPr>
            <w:tcW w:w="4414" w:type="dxa"/>
            <w:tcBorders>
              <w:top w:val="nil"/>
              <w:left w:val="nil"/>
              <w:bottom w:val="nil"/>
              <w:right w:val="nil"/>
            </w:tcBorders>
            <w:shd w:val="clear" w:color="auto" w:fill="61123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b/>
                <w:bCs/>
                <w:color w:val="FFFFFF"/>
                <w:spacing w:val="10"/>
                <w:sz w:val="17"/>
                <w:szCs w:val="17"/>
              </w:rPr>
              <w:t>VARIACIÓN ANUAL</w:t>
            </w:r>
          </w:p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72"/>
                <w:szCs w:val="72"/>
              </w:rPr>
              <w:t>▼</w:t>
            </w:r>
            <w:r>
              <w:rPr>
                <w:rFonts w:ascii="Noto Sans" w:hAnsi="Noto Sans" w:cs="Noto Sans"/>
                <w:b/>
                <w:bCs/>
                <w:color w:val="FFFFFF"/>
                <w:sz w:val="72"/>
                <w:szCs w:val="72"/>
              </w:rPr>
              <w:t xml:space="preserve"> -0.1%</w:t>
            </w:r>
          </w:p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color w:val="F4F4F2"/>
                <w:sz w:val="16"/>
                <w:szCs w:val="16"/>
              </w:rPr>
              <w:t>Comparación mayo 2026 vs mayo 2025</w:t>
            </w:r>
          </w:p>
        </w:tc>
      </w:tr>
    </w:tbl>
    <w:p w:rsidR="00246E09" w:rsidRDefault="00246E09">
      <w:pPr>
        <w:rPr>
          <w:rFonts w:ascii="Noto Sans" w:hAnsi="Noto Sans" w:cs="Noto Sans"/>
          <w:sz w:val="6"/>
          <w:szCs w:val="6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 w:rsidR="00DC152E">
        <w:tc>
          <w:tcPr>
            <w:tcW w:w="2208" w:type="dxa"/>
            <w:gridSpan w:val="2"/>
            <w:shd w:val="clear" w:color="auto" w:fill="235B4C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b/>
                <w:bCs/>
                <w:color w:val="FFFFFF" w:themeColor="background1"/>
                <w:sz w:val="19"/>
                <w:szCs w:val="19"/>
              </w:rPr>
              <w:t>Producción</w:t>
            </w:r>
          </w:p>
        </w:tc>
        <w:tc>
          <w:tcPr>
            <w:tcW w:w="2208" w:type="dxa"/>
            <w:gridSpan w:val="2"/>
            <w:shd w:val="clear" w:color="auto" w:fill="235B4C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b/>
                <w:bCs/>
                <w:color w:val="FFFFFF" w:themeColor="background1"/>
                <w:sz w:val="19"/>
                <w:szCs w:val="19"/>
              </w:rPr>
              <w:t>Personal ocupado</w:t>
            </w:r>
          </w:p>
        </w:tc>
        <w:tc>
          <w:tcPr>
            <w:tcW w:w="2208" w:type="dxa"/>
            <w:gridSpan w:val="2"/>
            <w:shd w:val="clear" w:color="auto" w:fill="235B4C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b/>
                <w:bCs/>
                <w:color w:val="FFFFFF" w:themeColor="background1"/>
                <w:sz w:val="19"/>
                <w:szCs w:val="19"/>
              </w:rPr>
              <w:t>Horas trabajadas</w:t>
            </w:r>
          </w:p>
        </w:tc>
        <w:tc>
          <w:tcPr>
            <w:tcW w:w="2208" w:type="dxa"/>
            <w:gridSpan w:val="2"/>
            <w:shd w:val="clear" w:color="auto" w:fill="235B4C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b/>
                <w:bCs/>
                <w:color w:val="FFFFFF" w:themeColor="background1"/>
                <w:sz w:val="19"/>
                <w:szCs w:val="19"/>
              </w:rPr>
              <w:t>Remuneraciones</w:t>
            </w:r>
          </w:p>
        </w:tc>
      </w:tr>
      <w:tr w:rsidR="00246E09">
        <w:trPr>
          <w:trHeight w:val="150"/>
        </w:trPr>
        <w:tc>
          <w:tcPr>
            <w:tcW w:w="110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sz w:val="17"/>
                <w:szCs w:val="17"/>
              </w:rPr>
              <w:t>Mensual</w:t>
            </w:r>
          </w:p>
        </w:tc>
        <w:tc>
          <w:tcPr>
            <w:tcW w:w="1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sz w:val="17"/>
                <w:szCs w:val="17"/>
              </w:rPr>
              <w:t>Anual</w:t>
            </w:r>
          </w:p>
        </w:tc>
        <w:tc>
          <w:tcPr>
            <w:tcW w:w="1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sz w:val="17"/>
                <w:szCs w:val="17"/>
              </w:rPr>
              <w:t>Mensual</w:t>
            </w:r>
          </w:p>
        </w:tc>
        <w:tc>
          <w:tcPr>
            <w:tcW w:w="1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sz w:val="17"/>
                <w:szCs w:val="17"/>
              </w:rPr>
              <w:t>Anual</w:t>
            </w:r>
          </w:p>
        </w:tc>
        <w:tc>
          <w:tcPr>
            <w:tcW w:w="1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sz w:val="17"/>
                <w:szCs w:val="17"/>
              </w:rPr>
              <w:t>Mensual</w:t>
            </w:r>
          </w:p>
        </w:tc>
        <w:tc>
          <w:tcPr>
            <w:tcW w:w="1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sz w:val="17"/>
                <w:szCs w:val="17"/>
              </w:rPr>
              <w:t>Anual</w:t>
            </w:r>
          </w:p>
        </w:tc>
        <w:tc>
          <w:tcPr>
            <w:tcW w:w="110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sz w:val="17"/>
                <w:szCs w:val="17"/>
              </w:rPr>
              <w:t>Mensual</w:t>
            </w:r>
          </w:p>
        </w:tc>
        <w:tc>
          <w:tcPr>
            <w:tcW w:w="110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sz w:val="17"/>
                <w:szCs w:val="17"/>
              </w:rPr>
              <w:t>Anual</w:t>
            </w:r>
          </w:p>
        </w:tc>
      </w:tr>
      <w:tr w:rsidR="00246E09">
        <w:trPr>
          <w:trHeight w:val="170"/>
        </w:trPr>
        <w:tc>
          <w:tcPr>
            <w:tcW w:w="1104" w:type="dxa"/>
            <w:tcBorders>
              <w:top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color w:val="C00000"/>
                <w:sz w:val="18"/>
              </w:rPr>
              <w:t>▼</w:t>
            </w:r>
            <w:r>
              <w:rPr>
                <w:rFonts w:ascii="Noto Sans" w:hAnsi="Noto Sans" w:cs="Noto Sans"/>
                <w:b/>
                <w:color w:val="C00000"/>
                <w:sz w:val="18"/>
              </w:rPr>
              <w:t xml:space="preserve"> -0.6 %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color w:val="C00000"/>
                <w:sz w:val="18"/>
              </w:rPr>
              <w:t>▼</w:t>
            </w:r>
            <w:r>
              <w:rPr>
                <w:rFonts w:ascii="Noto Sans" w:hAnsi="Noto Sans" w:cs="Noto Sans"/>
                <w:b/>
                <w:color w:val="C00000"/>
                <w:sz w:val="18"/>
              </w:rPr>
              <w:t xml:space="preserve"> -0.1 %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color w:val="C00000"/>
                <w:sz w:val="18"/>
              </w:rPr>
              <w:t>▼</w:t>
            </w:r>
            <w:r>
              <w:rPr>
                <w:rFonts w:ascii="Noto Sans" w:hAnsi="Noto Sans" w:cs="Noto Sans"/>
                <w:b/>
                <w:color w:val="C00000"/>
                <w:sz w:val="18"/>
              </w:rPr>
              <w:t xml:space="preserve"> -0.1 %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color w:val="C00000"/>
                <w:sz w:val="18"/>
              </w:rPr>
              <w:t>▼</w:t>
            </w:r>
            <w:r>
              <w:rPr>
                <w:rFonts w:ascii="Noto Sans" w:hAnsi="Noto Sans" w:cs="Noto Sans"/>
                <w:b/>
                <w:color w:val="C00000"/>
                <w:sz w:val="18"/>
              </w:rPr>
              <w:t xml:space="preserve"> -2.1 %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color w:val="C00000"/>
                <w:sz w:val="18"/>
              </w:rPr>
              <w:t>▼</w:t>
            </w:r>
            <w:r>
              <w:rPr>
                <w:rFonts w:ascii="Noto Sans" w:hAnsi="Noto Sans" w:cs="Noto Sans"/>
                <w:b/>
                <w:color w:val="C00000"/>
                <w:sz w:val="18"/>
              </w:rPr>
              <w:t xml:space="preserve"> -0.5 %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color w:val="C00000"/>
                <w:sz w:val="18"/>
              </w:rPr>
              <w:t>▼</w:t>
            </w:r>
            <w:r>
              <w:rPr>
                <w:rFonts w:ascii="Noto Sans" w:hAnsi="Noto Sans" w:cs="Noto Sans"/>
                <w:b/>
                <w:color w:val="C00000"/>
                <w:sz w:val="18"/>
              </w:rPr>
              <w:t xml:space="preserve"> -1.6 %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color w:val="C00000"/>
                <w:sz w:val="18"/>
              </w:rPr>
              <w:t>▼</w:t>
            </w:r>
            <w:r>
              <w:rPr>
                <w:rFonts w:ascii="Noto Sans" w:hAnsi="Noto Sans" w:cs="Noto Sans"/>
                <w:b/>
                <w:color w:val="C00000"/>
                <w:sz w:val="18"/>
              </w:rPr>
              <w:t xml:space="preserve"> -0.9 %</w:t>
            </w:r>
          </w:p>
        </w:tc>
        <w:tc>
          <w:tcPr>
            <w:tcW w:w="1104" w:type="dxa"/>
            <w:tcBorders>
              <w:top w:val="single" w:sz="4" w:space="0" w:color="auto"/>
              <w:left w:val="single" w:sz="4" w:space="0" w:color="auto"/>
            </w:tcBorders>
            <w:shd w:val="clear" w:color="auto" w:fill="F4F4F2"/>
          </w:tcPr>
          <w:p w:rsidR="00246E09" w:rsidRDefault="004657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▲</w:t>
            </w:r>
            <w:r>
              <w:rPr>
                <w:rFonts w:ascii="Noto Sans" w:hAnsi="Noto Sans" w:cs="Noto Sans"/>
                <w:b/>
                <w:color w:val="000000"/>
                <w:sz w:val="18"/>
              </w:rPr>
              <w:t xml:space="preserve"> 1.5 %</w:t>
            </w:r>
          </w:p>
        </w:tc>
      </w:tr>
    </w:tbl>
    <w:p w:rsidR="00246E09" w:rsidRDefault="00246E09">
      <w:pPr>
        <w:rPr>
          <w:rFonts w:ascii="Noto Sans" w:hAnsi="Noto Sans" w:cs="Noto Sans"/>
          <w:sz w:val="22"/>
          <w:szCs w:val="22"/>
        </w:rPr>
      </w:pPr>
    </w:p>
    <w:p w:rsidR="00CA49C6" w:rsidRPr="00CA49C6" w:rsidRDefault="00CA49C6" w:rsidP="00CA49C6">
      <w:pPr>
        <w:jc w:val="both"/>
        <w:rPr>
          <w:rFonts w:ascii="Noto Sans Oriya" w:hAnsi="Noto Sans Oriya" w:cs="Noto Sans Oriya"/>
          <w:sz w:val="20"/>
          <w:szCs w:val="20"/>
          <w:lang w:eastAsia="es-ES_tradnl"/>
        </w:rPr>
      </w:pPr>
      <w:r w:rsidRPr="00CA49C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En mayo de 2026, la producci</w:t>
      </w:r>
      <w:r w:rsidRPr="00CA49C6">
        <w:rPr>
          <w:rFonts w:ascii="Calibri" w:hAnsi="Calibri" w:cs="Calibri"/>
          <w:b/>
          <w:bCs/>
          <w:sz w:val="20"/>
          <w:szCs w:val="20"/>
          <w:lang w:eastAsia="es-ES_tradnl"/>
        </w:rPr>
        <w:t>ó</w:t>
      </w:r>
      <w:r w:rsidRPr="00CA49C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n manufacturera registr</w:t>
      </w:r>
      <w:r w:rsidRPr="00CA49C6">
        <w:rPr>
          <w:rFonts w:ascii="Calibri" w:hAnsi="Calibri" w:cs="Calibri"/>
          <w:b/>
          <w:bCs/>
          <w:sz w:val="20"/>
          <w:szCs w:val="20"/>
          <w:lang w:eastAsia="es-ES_tradnl"/>
        </w:rPr>
        <w:t>ó</w:t>
      </w:r>
      <w:r w:rsidRPr="00CA49C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 xml:space="preserve"> una variaci</w:t>
      </w:r>
      <w:r w:rsidRPr="00CA49C6">
        <w:rPr>
          <w:rFonts w:ascii="Calibri" w:hAnsi="Calibri" w:cs="Calibri"/>
          <w:b/>
          <w:bCs/>
          <w:sz w:val="20"/>
          <w:szCs w:val="20"/>
          <w:lang w:eastAsia="es-ES_tradnl"/>
        </w:rPr>
        <w:t>ó</w:t>
      </w:r>
      <w:r w:rsidRPr="00CA49C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n mensual de -0.6% y se mantuvo pr</w:t>
      </w:r>
      <w:r w:rsidRPr="00CA49C6">
        <w:rPr>
          <w:rFonts w:ascii="Calibri" w:hAnsi="Calibri" w:cs="Calibri"/>
          <w:b/>
          <w:bCs/>
          <w:sz w:val="20"/>
          <w:szCs w:val="20"/>
          <w:lang w:eastAsia="es-ES_tradnl"/>
        </w:rPr>
        <w:t>á</w:t>
      </w:r>
      <w:r w:rsidRPr="00CA49C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cticamente sin cambio a tasa anual (-0.1%).</w:t>
      </w:r>
      <w:r w:rsidRPr="00CA49C6">
        <w:rPr>
          <w:rFonts w:ascii="Noto Sans Oriya" w:hAnsi="Noto Sans Oriya" w:cs="Noto Sans Oriya"/>
          <w:sz w:val="20"/>
          <w:szCs w:val="20"/>
          <w:lang w:eastAsia="es-ES_tradnl"/>
        </w:rPr>
        <w:t xml:space="preserve"> El </w:t>
      </w:r>
      <w:r w:rsidRPr="00CA49C6">
        <w:rPr>
          <w:rFonts w:ascii="Calibri" w:hAnsi="Calibri" w:cs="Calibri"/>
          <w:sz w:val="20"/>
          <w:szCs w:val="20"/>
          <w:lang w:eastAsia="es-ES_tradnl"/>
        </w:rPr>
        <w:t>í</w:t>
      </w:r>
      <w:r w:rsidRPr="00CA49C6">
        <w:rPr>
          <w:rFonts w:ascii="Noto Sans Oriya" w:hAnsi="Noto Sans Oriya" w:cs="Noto Sans Oriya"/>
          <w:sz w:val="20"/>
          <w:szCs w:val="20"/>
          <w:lang w:eastAsia="es-ES_tradnl"/>
        </w:rPr>
        <w:t>ndice desestacionalizado se ubic</w:t>
      </w:r>
      <w:r w:rsidRPr="00CA49C6">
        <w:rPr>
          <w:rFonts w:ascii="Calibri" w:hAnsi="Calibri" w:cs="Calibri"/>
          <w:sz w:val="20"/>
          <w:szCs w:val="20"/>
          <w:lang w:eastAsia="es-ES_tradnl"/>
        </w:rPr>
        <w:t>ó</w:t>
      </w:r>
      <w:r w:rsidRPr="00CA49C6">
        <w:rPr>
          <w:rFonts w:ascii="Noto Sans Oriya" w:hAnsi="Noto Sans Oriya" w:cs="Noto Sans Oriya"/>
          <w:sz w:val="20"/>
          <w:szCs w:val="20"/>
          <w:lang w:eastAsia="es-ES_tradnl"/>
        </w:rPr>
        <w:t xml:space="preserve"> en </w:t>
      </w:r>
      <w:r w:rsidRPr="00CA49C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109.4 puntos</w:t>
      </w:r>
      <w:r w:rsidRPr="00CA49C6">
        <w:rPr>
          <w:rFonts w:ascii="Noto Sans Oriya" w:hAnsi="Noto Sans Oriya" w:cs="Noto Sans Oriya"/>
          <w:sz w:val="20"/>
          <w:szCs w:val="20"/>
          <w:lang w:eastAsia="es-ES_tradnl"/>
        </w:rPr>
        <w:t xml:space="preserve"> (base 2018=100). La lectura relevante est</w:t>
      </w:r>
      <w:r w:rsidRPr="00CA49C6">
        <w:rPr>
          <w:rFonts w:ascii="Calibri" w:hAnsi="Calibri" w:cs="Calibri"/>
          <w:sz w:val="20"/>
          <w:szCs w:val="20"/>
          <w:lang w:eastAsia="es-ES_tradnl"/>
        </w:rPr>
        <w:t>á</w:t>
      </w:r>
      <w:r w:rsidRPr="00CA49C6">
        <w:rPr>
          <w:rFonts w:ascii="Noto Sans Oriya" w:hAnsi="Noto Sans Oriya" w:cs="Noto Sans Oriya"/>
          <w:sz w:val="20"/>
          <w:szCs w:val="20"/>
          <w:lang w:eastAsia="es-ES_tradnl"/>
        </w:rPr>
        <w:t xml:space="preserve"> en el mercado laboral manufacturero: el personal ocupado disminuy</w:t>
      </w:r>
      <w:r w:rsidRPr="00CA49C6">
        <w:rPr>
          <w:rFonts w:ascii="Calibri" w:hAnsi="Calibri" w:cs="Calibri"/>
          <w:sz w:val="20"/>
          <w:szCs w:val="20"/>
          <w:lang w:eastAsia="es-ES_tradnl"/>
        </w:rPr>
        <w:t>ó</w:t>
      </w:r>
      <w:r w:rsidRPr="00CA49C6">
        <w:rPr>
          <w:rFonts w:ascii="Noto Sans Oriya" w:hAnsi="Noto Sans Oriya" w:cs="Noto Sans Oriya"/>
          <w:sz w:val="20"/>
          <w:szCs w:val="20"/>
          <w:lang w:eastAsia="es-ES_tradnl"/>
        </w:rPr>
        <w:t xml:space="preserve"> </w:t>
      </w:r>
      <w:r w:rsidRPr="00CA49C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2.1% anual</w:t>
      </w:r>
      <w:r w:rsidRPr="00CA49C6">
        <w:rPr>
          <w:rFonts w:ascii="Noto Sans Oriya" w:hAnsi="Noto Sans Oriya" w:cs="Noto Sans Oriya"/>
          <w:sz w:val="20"/>
          <w:szCs w:val="20"/>
          <w:lang w:eastAsia="es-ES_tradnl"/>
        </w:rPr>
        <w:t xml:space="preserve">, mientras que las remuneraciones medias reales crecieron </w:t>
      </w:r>
      <w:r w:rsidRPr="00CA49C6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1.5% anual</w:t>
      </w:r>
      <w:r w:rsidRPr="00CA49C6">
        <w:rPr>
          <w:rFonts w:ascii="Noto Sans Oriya" w:hAnsi="Noto Sans Oriya" w:cs="Noto Sans Oriya"/>
          <w:sz w:val="20"/>
          <w:szCs w:val="20"/>
          <w:lang w:eastAsia="es-ES_tradnl"/>
        </w:rPr>
        <w:t>.</w:t>
      </w:r>
    </w:p>
    <w:p w:rsidR="00BC0BB8" w:rsidRPr="00BC0BB8" w:rsidRDefault="00BC0BB8">
      <w:pPr>
        <w:jc w:val="both"/>
        <w:rPr>
          <w:rFonts w:ascii="Calibri" w:hAnsi="Calibri" w:cs="Calibri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4F4F2"/>
        <w:tblLook w:val="04A0" w:firstRow="1" w:lastRow="0" w:firstColumn="1" w:lastColumn="0" w:noHBand="0" w:noVBand="1"/>
      </w:tblPr>
      <w:tblGrid>
        <w:gridCol w:w="8828"/>
      </w:tblGrid>
      <w:tr w:rsidR="00246E09">
        <w:tc>
          <w:tcPr>
            <w:tcW w:w="8828" w:type="dxa"/>
            <w:shd w:val="clear" w:color="auto" w:fill="F4F4F2"/>
          </w:tcPr>
          <w:p w:rsidR="00246E09" w:rsidRDefault="00465707">
            <w:pPr>
              <w:shd w:val="clear" w:color="auto" w:fill="F4F4F2"/>
            </w:pPr>
            <w:r>
              <w:rPr>
                <w:rFonts w:ascii="Noto Sans" w:hAnsi="Noto Sans" w:cs="Noto Sans"/>
                <w:b/>
                <w:bCs/>
                <w:color w:val="10312B"/>
              </w:rPr>
              <w:t>Resumen ejecutivo</w:t>
            </w:r>
          </w:p>
          <w:p w:rsidR="00612102" w:rsidRPr="00612102" w:rsidRDefault="00612102">
            <w:pPr>
              <w:pStyle w:val="Prrafodelista"/>
              <w:numPr>
                <w:ilvl w:val="0"/>
                <w:numId w:val="32"/>
              </w:numPr>
              <w:shd w:val="clear" w:color="auto" w:fill="F4F4F2"/>
              <w:spacing w:before="30" w:after="30"/>
              <w:jc w:val="both"/>
            </w:pPr>
            <w:r w:rsidRPr="00612102">
              <w:rPr>
                <w:rFonts w:ascii="Noto Sans" w:hAnsi="Noto Sans" w:cs="Noto Sans"/>
                <w:color w:val="000000"/>
                <w:sz w:val="20"/>
              </w:rPr>
              <w:t xml:space="preserve">La </w:t>
            </w:r>
            <w:r w:rsidRPr="00612102">
              <w:rPr>
                <w:rFonts w:ascii="Noto Sans" w:hAnsi="Noto Sans" w:cs="Noto Sans"/>
                <w:b/>
                <w:color w:val="000000"/>
                <w:sz w:val="20"/>
              </w:rPr>
              <w:t>producci</w:t>
            </w:r>
            <w:r w:rsidRPr="00612102">
              <w:rPr>
                <w:rFonts w:ascii="Calibri" w:hAnsi="Calibri" w:cs="Calibri"/>
                <w:b/>
                <w:color w:val="000000"/>
                <w:sz w:val="20"/>
              </w:rPr>
              <w:t>ó</w:t>
            </w:r>
            <w:r w:rsidRPr="00612102">
              <w:rPr>
                <w:rFonts w:ascii="Noto Sans" w:hAnsi="Noto Sans" w:cs="Noto Sans"/>
                <w:b/>
                <w:color w:val="000000"/>
                <w:sz w:val="20"/>
              </w:rPr>
              <w:t>n manufacturera</w:t>
            </w:r>
            <w:r w:rsidRPr="00612102">
              <w:rPr>
                <w:rFonts w:ascii="Noto Sans" w:hAnsi="Noto Sans" w:cs="Noto Sans"/>
                <w:color w:val="000000"/>
                <w:sz w:val="20"/>
              </w:rPr>
              <w:t xml:space="preserve"> registr</w:t>
            </w:r>
            <w:r w:rsidRPr="00612102">
              <w:rPr>
                <w:rFonts w:ascii="Calibri" w:hAnsi="Calibri" w:cs="Calibri"/>
                <w:color w:val="000000"/>
                <w:sz w:val="20"/>
              </w:rPr>
              <w:t>ó</w:t>
            </w:r>
            <w:r w:rsidRPr="00612102">
              <w:rPr>
                <w:rFonts w:ascii="Noto Sans" w:hAnsi="Noto Sans" w:cs="Noto Sans"/>
                <w:color w:val="000000"/>
                <w:sz w:val="20"/>
              </w:rPr>
              <w:t xml:space="preserve"> variaciones </w:t>
            </w:r>
            <w:r w:rsidRPr="00612102">
              <w:rPr>
                <w:rFonts w:ascii="Noto Sans" w:hAnsi="Noto Sans" w:cs="Noto Sans"/>
                <w:b/>
                <w:color w:val="000000"/>
                <w:sz w:val="20"/>
              </w:rPr>
              <w:t>de -0.6% mensual</w:t>
            </w:r>
            <w:r w:rsidRPr="00612102">
              <w:rPr>
                <w:rFonts w:ascii="Noto Sans" w:hAnsi="Noto Sans" w:cs="Noto Sans"/>
                <w:color w:val="000000"/>
                <w:sz w:val="20"/>
              </w:rPr>
              <w:t xml:space="preserve"> y </w:t>
            </w:r>
            <w:r w:rsidRPr="00612102">
              <w:rPr>
                <w:rFonts w:ascii="Noto Sans" w:hAnsi="Noto Sans" w:cs="Noto Sans"/>
                <w:b/>
                <w:color w:val="000000"/>
                <w:sz w:val="20"/>
              </w:rPr>
              <w:t>-0.1% anual</w:t>
            </w:r>
            <w:r w:rsidRPr="00612102">
              <w:rPr>
                <w:rFonts w:ascii="Noto Sans" w:hAnsi="Noto Sans" w:cs="Noto Sans"/>
                <w:color w:val="000000"/>
                <w:sz w:val="20"/>
              </w:rPr>
              <w:t xml:space="preserve"> en mayo de 2026, despu</w:t>
            </w:r>
            <w:r w:rsidRPr="00612102">
              <w:rPr>
                <w:rFonts w:ascii="Calibri" w:hAnsi="Calibri" w:cs="Calibri"/>
                <w:color w:val="000000"/>
                <w:sz w:val="20"/>
              </w:rPr>
              <w:t>é</w:t>
            </w:r>
            <w:r w:rsidRPr="00612102">
              <w:rPr>
                <w:rFonts w:ascii="Noto Sans" w:hAnsi="Noto Sans" w:cs="Noto Sans"/>
                <w:color w:val="000000"/>
                <w:sz w:val="20"/>
              </w:rPr>
              <w:t>s del avance de abril.</w:t>
            </w:r>
          </w:p>
          <w:p w:rsidR="00612102" w:rsidRPr="00612102" w:rsidRDefault="00465707">
            <w:pPr>
              <w:pStyle w:val="Prrafodelista"/>
              <w:numPr>
                <w:ilvl w:val="0"/>
                <w:numId w:val="32"/>
              </w:numPr>
              <w:shd w:val="clear" w:color="auto" w:fill="F4F4F2"/>
              <w:spacing w:before="30" w:after="30"/>
              <w:jc w:val="both"/>
            </w:pPr>
            <w:r>
              <w:rPr>
                <w:rFonts w:ascii="Noto Sans" w:hAnsi="Noto Sans" w:cs="Noto Sans"/>
                <w:color w:val="000000"/>
                <w:sz w:val="20"/>
              </w:rPr>
              <w:t xml:space="preserve">El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personal ocupado</w:t>
            </w:r>
            <w:r>
              <w:rPr>
                <w:rFonts w:ascii="Noto Sans" w:hAnsi="Noto Sans" w:cs="Noto Sans"/>
                <w:color w:val="000000"/>
                <w:sz w:val="20"/>
              </w:rPr>
              <w:t xml:space="preserve"> 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>disminuy</w:t>
            </w:r>
            <w:r w:rsidR="00612102" w:rsidRPr="00612102">
              <w:rPr>
                <w:rFonts w:ascii="Calibri" w:hAnsi="Calibri" w:cs="Calibri"/>
                <w:color w:val="000000"/>
                <w:sz w:val="20"/>
              </w:rPr>
              <w:t>ó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 </w:t>
            </w:r>
            <w:r w:rsidR="00612102" w:rsidRPr="00612102">
              <w:rPr>
                <w:rFonts w:ascii="Noto Sans" w:hAnsi="Noto Sans" w:cs="Noto Sans"/>
                <w:b/>
                <w:color w:val="000000"/>
                <w:sz w:val="20"/>
              </w:rPr>
              <w:t>0.1% mensual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 y </w:t>
            </w:r>
            <w:r w:rsidR="00612102" w:rsidRPr="00612102">
              <w:rPr>
                <w:rFonts w:ascii="Noto Sans" w:hAnsi="Noto Sans" w:cs="Noto Sans"/>
                <w:b/>
                <w:color w:val="000000"/>
                <w:sz w:val="20"/>
              </w:rPr>
              <w:t>2.1% anual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; las </w:t>
            </w:r>
            <w:r w:rsidR="00612102" w:rsidRPr="00612102">
              <w:rPr>
                <w:rFonts w:ascii="Noto Sans" w:hAnsi="Noto Sans" w:cs="Noto Sans"/>
                <w:b/>
                <w:color w:val="000000"/>
                <w:sz w:val="20"/>
              </w:rPr>
              <w:t>horas trabajadas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 tambi</w:t>
            </w:r>
            <w:r w:rsidR="00612102" w:rsidRPr="00612102">
              <w:rPr>
                <w:rFonts w:ascii="Calibri" w:hAnsi="Calibri" w:cs="Calibri"/>
                <w:color w:val="000000"/>
                <w:sz w:val="20"/>
              </w:rPr>
              <w:t>é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n </w:t>
            </w:r>
            <w:r w:rsidR="00CA49C6">
              <w:rPr>
                <w:rFonts w:ascii="Calibri" w:hAnsi="Calibri" w:cs="Calibri"/>
                <w:b/>
                <w:color w:val="000000"/>
                <w:sz w:val="20"/>
              </w:rPr>
              <w:t>registraron variaciones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, </w:t>
            </w:r>
            <w:r w:rsidR="00CA49C6">
              <w:rPr>
                <w:rFonts w:ascii="Calibri" w:hAnsi="Calibri" w:cs="Calibri"/>
                <w:color w:val="000000"/>
                <w:sz w:val="20"/>
              </w:rPr>
              <w:t>de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 </w:t>
            </w:r>
            <w:r w:rsidR="00612102" w:rsidRPr="00612102">
              <w:rPr>
                <w:rFonts w:ascii="Noto Sans" w:hAnsi="Noto Sans" w:cs="Noto Sans"/>
                <w:b/>
                <w:color w:val="000000"/>
                <w:sz w:val="20"/>
              </w:rPr>
              <w:t>-0.5% mensual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 y </w:t>
            </w:r>
            <w:r w:rsidR="00612102" w:rsidRPr="00612102">
              <w:rPr>
                <w:rFonts w:ascii="Noto Sans" w:hAnsi="Noto Sans" w:cs="Noto Sans"/>
                <w:b/>
                <w:color w:val="000000"/>
                <w:sz w:val="20"/>
              </w:rPr>
              <w:t>-1.6% anual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>.</w:t>
            </w:r>
          </w:p>
          <w:p w:rsidR="00246E09" w:rsidRDefault="00465707">
            <w:pPr>
              <w:pStyle w:val="Prrafodelista"/>
              <w:numPr>
                <w:ilvl w:val="0"/>
                <w:numId w:val="32"/>
              </w:numPr>
              <w:shd w:val="clear" w:color="auto" w:fill="F4F4F2"/>
              <w:spacing w:before="30" w:after="30"/>
              <w:jc w:val="both"/>
            </w:pPr>
            <w:r>
              <w:rPr>
                <w:rFonts w:ascii="Noto Sans" w:hAnsi="Noto Sans" w:cs="Noto Sans"/>
                <w:color w:val="000000"/>
                <w:sz w:val="20"/>
              </w:rPr>
              <w:t xml:space="preserve">Las </w:t>
            </w:r>
            <w:r>
              <w:rPr>
                <w:rFonts w:ascii="Noto Sans" w:hAnsi="Noto Sans" w:cs="Noto Sans"/>
                <w:b/>
                <w:color w:val="000000"/>
                <w:sz w:val="20"/>
              </w:rPr>
              <w:t>remuneraciones medias reales</w:t>
            </w:r>
            <w:r>
              <w:rPr>
                <w:rFonts w:ascii="Noto Sans" w:hAnsi="Noto Sans" w:cs="Noto Sans"/>
                <w:color w:val="000000"/>
                <w:sz w:val="20"/>
              </w:rPr>
              <w:t xml:space="preserve"> 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>tuvieron una variaci</w:t>
            </w:r>
            <w:r w:rsidR="00612102" w:rsidRPr="00612102">
              <w:rPr>
                <w:rFonts w:ascii="Calibri" w:hAnsi="Calibri" w:cs="Calibri"/>
                <w:color w:val="000000"/>
                <w:sz w:val="20"/>
              </w:rPr>
              <w:t>ó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n mensual de </w:t>
            </w:r>
            <w:r w:rsidR="00612102" w:rsidRPr="00612102">
              <w:rPr>
                <w:rFonts w:ascii="Noto Sans" w:hAnsi="Noto Sans" w:cs="Noto Sans"/>
                <w:b/>
                <w:color w:val="000000"/>
                <w:sz w:val="20"/>
              </w:rPr>
              <w:t>-0.9%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 xml:space="preserve">, pero </w:t>
            </w:r>
            <w:r w:rsidR="00612102" w:rsidRPr="00612102">
              <w:rPr>
                <w:rFonts w:ascii="Noto Sans" w:hAnsi="Noto Sans" w:cs="Noto Sans"/>
                <w:b/>
                <w:color w:val="000000"/>
                <w:sz w:val="20"/>
              </w:rPr>
              <w:t>crecieron 1.5% anual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>; el ajuste se observa m</w:t>
            </w:r>
            <w:r w:rsidR="00612102" w:rsidRPr="00612102">
              <w:rPr>
                <w:rFonts w:ascii="Calibri" w:hAnsi="Calibri" w:cs="Calibri"/>
                <w:color w:val="000000"/>
                <w:sz w:val="20"/>
              </w:rPr>
              <w:t>á</w:t>
            </w:r>
            <w:r w:rsidR="00612102" w:rsidRPr="00612102">
              <w:rPr>
                <w:rFonts w:ascii="Noto Sans" w:hAnsi="Noto Sans" w:cs="Noto Sans"/>
                <w:color w:val="000000"/>
                <w:sz w:val="20"/>
              </w:rPr>
              <w:t>s en empleo y horas que en remuneraciones.</w:t>
            </w:r>
          </w:p>
        </w:tc>
      </w:tr>
    </w:tbl>
    <w:p w:rsidR="00BC0BB8" w:rsidRDefault="00BC0BB8">
      <w:pPr>
        <w:jc w:val="center"/>
        <w:rPr>
          <w:rFonts w:ascii="Noto Sans" w:hAnsi="Noto Sans" w:cs="Noto Sans"/>
          <w:b/>
          <w:color w:val="10312B"/>
          <w:sz w:val="22"/>
          <w:szCs w:val="22"/>
        </w:rPr>
      </w:pPr>
    </w:p>
    <w:p w:rsidR="00246E09" w:rsidRDefault="00465707">
      <w:pPr>
        <w:jc w:val="center"/>
      </w:pPr>
      <w:r>
        <w:rPr>
          <w:rFonts w:ascii="Noto Sans" w:hAnsi="Noto Sans" w:cs="Noto Sans"/>
          <w:b/>
          <w:color w:val="10312B"/>
          <w:sz w:val="22"/>
          <w:szCs w:val="22"/>
        </w:rPr>
        <w:t>Variación mensual del volumen de producción manufacturera, cifras desest</w:t>
      </w:r>
      <w:r w:rsidR="001D7690">
        <w:rPr>
          <w:rFonts w:ascii="Calibri" w:hAnsi="Calibri" w:cs="Calibri"/>
          <w:b/>
          <w:color w:val="10312B"/>
          <w:sz w:val="22"/>
          <w:szCs w:val="22"/>
        </w:rPr>
        <w:t>acionalizadas</w:t>
      </w:r>
      <w:r>
        <w:rPr>
          <w:rFonts w:ascii="Noto Sans" w:hAnsi="Noto Sans" w:cs="Noto Sans"/>
          <w:b/>
          <w:color w:val="10312B"/>
          <w:sz w:val="22"/>
          <w:szCs w:val="22"/>
        </w:rPr>
        <w:t>, enero</w:t>
      </w:r>
      <w:r w:rsidR="001D7690">
        <w:rPr>
          <w:rFonts w:ascii="Noto Sans" w:hAnsi="Noto Sans" w:cs="Noto Sans"/>
          <w:b/>
          <w:color w:val="10312B"/>
          <w:sz w:val="22"/>
          <w:szCs w:val="22"/>
        </w:rPr>
        <w:t xml:space="preserve"> </w:t>
      </w:r>
      <w:r>
        <w:rPr>
          <w:rFonts w:ascii="Noto Sans" w:hAnsi="Noto Sans" w:cs="Noto Sans"/>
          <w:b/>
          <w:color w:val="10312B"/>
          <w:sz w:val="22"/>
          <w:szCs w:val="22"/>
        </w:rPr>
        <w:t>2025</w:t>
      </w:r>
      <w:r w:rsidR="001D7690">
        <w:rPr>
          <w:rFonts w:ascii="Noto Sans" w:hAnsi="Noto Sans" w:cs="Noto Sans"/>
          <w:b/>
          <w:color w:val="10312B"/>
          <w:sz w:val="22"/>
          <w:szCs w:val="22"/>
        </w:rPr>
        <w:t xml:space="preserve"> </w:t>
      </w:r>
      <w:r>
        <w:rPr>
          <w:rFonts w:ascii="Noto Sans" w:hAnsi="Noto Sans" w:cs="Noto Sans"/>
          <w:b/>
          <w:color w:val="10312B"/>
          <w:sz w:val="22"/>
          <w:szCs w:val="22"/>
        </w:rPr>
        <w:t>–</w:t>
      </w:r>
      <w:r w:rsidR="001D7690">
        <w:rPr>
          <w:rFonts w:ascii="Noto Sans" w:hAnsi="Noto Sans" w:cs="Noto Sans"/>
          <w:b/>
          <w:color w:val="10312B"/>
          <w:sz w:val="22"/>
          <w:szCs w:val="22"/>
        </w:rPr>
        <w:t xml:space="preserve"> </w:t>
      </w:r>
      <w:r>
        <w:rPr>
          <w:rFonts w:ascii="Noto Sans" w:hAnsi="Noto Sans" w:cs="Noto Sans"/>
          <w:b/>
          <w:color w:val="10312B"/>
          <w:sz w:val="22"/>
          <w:szCs w:val="22"/>
        </w:rPr>
        <w:t>mayo 2026</w:t>
      </w:r>
    </w:p>
    <w:p w:rsidR="00246E09" w:rsidRDefault="00465707">
      <w:pPr>
        <w:jc w:val="center"/>
      </w:pPr>
      <w:r>
        <w:rPr>
          <w:noProof/>
        </w:rPr>
        <w:drawing>
          <wp:inline distT="0" distB="0" distL="0" distR="0">
            <wp:extent cx="4027553" cy="15932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gae_grafica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8813" cy="161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08C" w:rsidRPr="006B308C" w:rsidRDefault="006B308C" w:rsidP="006B308C">
      <w:pPr>
        <w:rPr>
          <w:rFonts w:ascii="Noto Sans" w:hAnsi="Noto Sans" w:cs="Noto Sans"/>
          <w:color w:val="4C545B"/>
          <w:sz w:val="15"/>
        </w:rPr>
      </w:pPr>
      <w:r w:rsidRPr="006B308C">
        <w:rPr>
          <w:rFonts w:ascii="Noto Sans" w:hAnsi="Noto Sans" w:cs="Noto Sans"/>
          <w:b/>
          <w:bCs/>
          <w:color w:val="4C545B"/>
          <w:sz w:val="15"/>
        </w:rPr>
        <w:t>Fuente:</w:t>
      </w:r>
      <w:r w:rsidRPr="006B308C">
        <w:rPr>
          <w:rFonts w:ascii="Noto Sans" w:hAnsi="Noto Sans" w:cs="Noto Sans"/>
          <w:color w:val="4C545B"/>
          <w:sz w:val="15"/>
        </w:rPr>
        <w:t xml:space="preserve"> INEGI, EMIM, Bolet</w:t>
      </w:r>
      <w:r w:rsidRPr="006B308C">
        <w:rPr>
          <w:rFonts w:ascii="Calibri" w:hAnsi="Calibri" w:cs="Calibri"/>
          <w:color w:val="4C545B"/>
          <w:sz w:val="15"/>
        </w:rPr>
        <w:t>í</w:t>
      </w:r>
      <w:r w:rsidRPr="006B308C">
        <w:rPr>
          <w:rFonts w:ascii="Noto Sans" w:hAnsi="Noto Sans" w:cs="Noto Sans"/>
          <w:color w:val="4C545B"/>
          <w:sz w:val="15"/>
        </w:rPr>
        <w:t>n de Indicador 424/26. Cifras desestacionalizadas.</w:t>
      </w:r>
    </w:p>
    <w:p w:rsidR="006B308C" w:rsidRPr="006B308C" w:rsidRDefault="006B308C">
      <w:pPr>
        <w:jc w:val="both"/>
        <w:rPr>
          <w:rFonts w:ascii="Noto Sans" w:hAnsi="Noto Sans" w:cs="Noto Sans"/>
          <w:color w:val="4C545B"/>
          <w:sz w:val="15"/>
        </w:rPr>
      </w:pPr>
    </w:p>
    <w:p w:rsidR="001D7690" w:rsidRPr="004773F7" w:rsidRDefault="001D7690">
      <w:pPr>
        <w:jc w:val="both"/>
        <w:rPr>
          <w:sz w:val="10"/>
        </w:rPr>
      </w:pPr>
      <w:r w:rsidRPr="001D7690">
        <w:rPr>
          <w:rFonts w:ascii="Noto Sans" w:hAnsi="Noto Sans" w:cs="Noto Sans"/>
          <w:color w:val="10312B"/>
          <w:sz w:val="20"/>
          <w:szCs w:val="20"/>
        </w:rPr>
        <w:t>Mayo registr</w:t>
      </w:r>
      <w:r w:rsidRPr="001D7690">
        <w:rPr>
          <w:rFonts w:ascii="Calibri" w:hAnsi="Calibri" w:cs="Calibri"/>
          <w:color w:val="10312B"/>
          <w:sz w:val="20"/>
          <w:szCs w:val="20"/>
        </w:rPr>
        <w:t>ó</w:t>
      </w:r>
      <w:r w:rsidRPr="001D7690">
        <w:rPr>
          <w:rFonts w:ascii="Noto Sans" w:hAnsi="Noto Sans" w:cs="Noto Sans"/>
          <w:color w:val="10312B"/>
          <w:sz w:val="20"/>
          <w:szCs w:val="20"/>
        </w:rPr>
        <w:t xml:space="preserve"> una variaci</w:t>
      </w:r>
      <w:r w:rsidRPr="001D7690">
        <w:rPr>
          <w:rFonts w:ascii="Calibri" w:hAnsi="Calibri" w:cs="Calibri"/>
          <w:color w:val="10312B"/>
          <w:sz w:val="20"/>
          <w:szCs w:val="20"/>
        </w:rPr>
        <w:t>ó</w:t>
      </w:r>
      <w:r w:rsidRPr="001D7690">
        <w:rPr>
          <w:rFonts w:ascii="Noto Sans" w:hAnsi="Noto Sans" w:cs="Noto Sans"/>
          <w:color w:val="10312B"/>
          <w:sz w:val="20"/>
          <w:szCs w:val="20"/>
        </w:rPr>
        <w:t>n mensual negativa despu</w:t>
      </w:r>
      <w:r w:rsidRPr="001D7690">
        <w:rPr>
          <w:rFonts w:ascii="Calibri" w:hAnsi="Calibri" w:cs="Calibri"/>
          <w:color w:val="10312B"/>
          <w:sz w:val="20"/>
          <w:szCs w:val="20"/>
        </w:rPr>
        <w:t>é</w:t>
      </w:r>
      <w:r w:rsidRPr="001D7690">
        <w:rPr>
          <w:rFonts w:ascii="Noto Sans" w:hAnsi="Noto Sans" w:cs="Noto Sans"/>
          <w:color w:val="10312B"/>
          <w:sz w:val="20"/>
          <w:szCs w:val="20"/>
        </w:rPr>
        <w:t xml:space="preserve">s del avance de abril, </w:t>
      </w:r>
      <w:r w:rsidR="00CA49C6" w:rsidRPr="00CA49C6">
        <w:rPr>
          <w:rFonts w:ascii="Noto Sans" w:hAnsi="Noto Sans" w:cs="Noto Sans"/>
          <w:color w:val="10312B"/>
          <w:sz w:val="20"/>
          <w:szCs w:val="20"/>
        </w:rPr>
        <w:t>la serie mantiene un comportamiento irregular desde 2025.</w:t>
      </w:r>
    </w:p>
    <w:p w:rsidR="00246E09" w:rsidRPr="00E066F2" w:rsidRDefault="00246E09">
      <w:pPr>
        <w:jc w:val="both"/>
        <w:rPr>
          <w:sz w:val="8"/>
          <w:szCs w:val="10"/>
        </w:rPr>
      </w:pPr>
    </w:p>
    <w:p w:rsidR="00246E09" w:rsidRDefault="00465707">
      <w:pPr>
        <w:shd w:val="clear" w:color="auto" w:fill="005E4C"/>
        <w:jc w:val="both"/>
      </w:pPr>
      <w:r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lastRenderedPageBreak/>
        <w:t>Análisis</w:t>
      </w:r>
    </w:p>
    <w:p w:rsidR="00CA49C6" w:rsidRPr="00CA49C6" w:rsidRDefault="00CA49C6" w:rsidP="00C42943">
      <w:pPr>
        <w:pStyle w:val="Prrafodelista"/>
        <w:numPr>
          <w:ilvl w:val="0"/>
          <w:numId w:val="33"/>
        </w:numPr>
        <w:jc w:val="both"/>
        <w:rPr>
          <w:sz w:val="21"/>
        </w:rPr>
      </w:pPr>
      <w:r w:rsidRPr="00CA49C6">
        <w:rPr>
          <w:rFonts w:ascii="Noto Sans" w:hAnsi="Noto Sans" w:cs="Noto Sans"/>
          <w:color w:val="000000"/>
          <w:sz w:val="20"/>
          <w:szCs w:val="22"/>
        </w:rPr>
        <w:t>El dato de mayo modera el avance observado en abril. La producci</w:t>
      </w:r>
      <w:r w:rsidRPr="00CA49C6">
        <w:rPr>
          <w:rFonts w:ascii="Calibri" w:hAnsi="Calibri" w:cs="Calibri"/>
          <w:color w:val="000000"/>
          <w:sz w:val="20"/>
          <w:szCs w:val="22"/>
        </w:rPr>
        <w:t>ó</w:t>
      </w:r>
      <w:r w:rsidRPr="00CA49C6">
        <w:rPr>
          <w:rFonts w:ascii="Noto Sans" w:hAnsi="Noto Sans" w:cs="Noto Sans"/>
          <w:color w:val="000000"/>
          <w:sz w:val="20"/>
          <w:szCs w:val="22"/>
        </w:rPr>
        <w:t>n manufacturera mantiene un comportamiento irregular desde 2025, sin una tendencia definida de recuperaci</w:t>
      </w:r>
      <w:r w:rsidRPr="00CA49C6">
        <w:rPr>
          <w:rFonts w:ascii="Calibri" w:hAnsi="Calibri" w:cs="Calibri"/>
          <w:color w:val="000000"/>
          <w:sz w:val="20"/>
          <w:szCs w:val="22"/>
        </w:rPr>
        <w:t>ó</w:t>
      </w:r>
      <w:r w:rsidRPr="00CA49C6">
        <w:rPr>
          <w:rFonts w:ascii="Noto Sans" w:hAnsi="Noto Sans" w:cs="Noto Sans"/>
          <w:color w:val="000000"/>
          <w:sz w:val="20"/>
          <w:szCs w:val="22"/>
        </w:rPr>
        <w:t>n.</w:t>
      </w:r>
    </w:p>
    <w:p w:rsidR="00CA49C6" w:rsidRPr="00CA49C6" w:rsidRDefault="00C42943" w:rsidP="00367F36">
      <w:pPr>
        <w:pStyle w:val="Prrafodelista"/>
        <w:numPr>
          <w:ilvl w:val="0"/>
          <w:numId w:val="33"/>
        </w:numPr>
        <w:jc w:val="both"/>
        <w:rPr>
          <w:sz w:val="21"/>
        </w:rPr>
      </w:pPr>
      <w:r w:rsidRPr="00CA49C6">
        <w:rPr>
          <w:rFonts w:ascii="Noto Sans" w:hAnsi="Noto Sans" w:cs="Noto Sans"/>
          <w:color w:val="000000"/>
          <w:sz w:val="20"/>
          <w:szCs w:val="22"/>
        </w:rPr>
        <w:t xml:space="preserve">El </w:t>
      </w:r>
      <w:r w:rsidRPr="00CA49C6">
        <w:rPr>
          <w:rFonts w:ascii="Noto Sans" w:hAnsi="Noto Sans" w:cs="Noto Sans"/>
          <w:b/>
          <w:color w:val="000000"/>
          <w:sz w:val="20"/>
          <w:szCs w:val="22"/>
        </w:rPr>
        <w:t>personal ocupado</w:t>
      </w:r>
      <w:r w:rsidRPr="00CA49C6">
        <w:rPr>
          <w:rFonts w:ascii="Noto Sans" w:hAnsi="Noto Sans" w:cs="Noto Sans"/>
          <w:color w:val="000000"/>
          <w:sz w:val="20"/>
          <w:szCs w:val="22"/>
        </w:rPr>
        <w:t xml:space="preserve"> </w:t>
      </w:r>
      <w:r w:rsidR="00CA49C6" w:rsidRPr="00CA49C6">
        <w:rPr>
          <w:rFonts w:ascii="Noto Sans" w:hAnsi="Noto Sans" w:cs="Noto Sans"/>
          <w:color w:val="000000"/>
          <w:sz w:val="20"/>
          <w:szCs w:val="22"/>
        </w:rPr>
        <w:t>mantiene debilidad a tasa anual, principalmente en el personal dependiente de la raz</w:t>
      </w:r>
      <w:r w:rsidR="00CA49C6" w:rsidRPr="00CA49C6">
        <w:rPr>
          <w:rFonts w:ascii="Calibri" w:hAnsi="Calibri" w:cs="Calibri"/>
          <w:color w:val="000000"/>
          <w:sz w:val="20"/>
          <w:szCs w:val="22"/>
        </w:rPr>
        <w:t>ó</w:t>
      </w:r>
      <w:r w:rsidR="00CA49C6" w:rsidRPr="00CA49C6">
        <w:rPr>
          <w:rFonts w:ascii="Noto Sans" w:hAnsi="Noto Sans" w:cs="Noto Sans"/>
          <w:color w:val="000000"/>
          <w:sz w:val="20"/>
          <w:szCs w:val="22"/>
        </w:rPr>
        <w:t>n social —obreros, t</w:t>
      </w:r>
      <w:r w:rsidR="00CA49C6" w:rsidRPr="00CA49C6">
        <w:rPr>
          <w:rFonts w:ascii="Calibri" w:hAnsi="Calibri" w:cs="Calibri"/>
          <w:color w:val="000000"/>
          <w:sz w:val="20"/>
          <w:szCs w:val="22"/>
        </w:rPr>
        <w:t>é</w:t>
      </w:r>
      <w:r w:rsidR="00CA49C6" w:rsidRPr="00CA49C6">
        <w:rPr>
          <w:rFonts w:ascii="Noto Sans" w:hAnsi="Noto Sans" w:cs="Noto Sans"/>
          <w:color w:val="000000"/>
          <w:sz w:val="20"/>
          <w:szCs w:val="22"/>
        </w:rPr>
        <w:t>cnicos y administrativos—, mientras que el personal no dependiente registra un avance mensual.</w:t>
      </w:r>
    </w:p>
    <w:p w:rsidR="00246E09" w:rsidRPr="00CA49C6" w:rsidRDefault="00C42943" w:rsidP="00367F36">
      <w:pPr>
        <w:pStyle w:val="Prrafodelista"/>
        <w:numPr>
          <w:ilvl w:val="0"/>
          <w:numId w:val="33"/>
        </w:numPr>
        <w:jc w:val="both"/>
        <w:rPr>
          <w:sz w:val="21"/>
        </w:rPr>
      </w:pPr>
      <w:r w:rsidRPr="00CA49C6">
        <w:rPr>
          <w:rFonts w:ascii="Noto Sans" w:hAnsi="Noto Sans" w:cs="Noto Sans"/>
          <w:color w:val="000000"/>
          <w:sz w:val="20"/>
          <w:szCs w:val="22"/>
        </w:rPr>
        <w:t xml:space="preserve">Las </w:t>
      </w:r>
      <w:r w:rsidRPr="00CA49C6">
        <w:rPr>
          <w:rFonts w:ascii="Noto Sans" w:hAnsi="Noto Sans" w:cs="Noto Sans"/>
          <w:b/>
          <w:color w:val="000000"/>
          <w:sz w:val="20"/>
          <w:szCs w:val="22"/>
        </w:rPr>
        <w:t>remuneraciones medias reales</w:t>
      </w:r>
      <w:r w:rsidRPr="00CA49C6">
        <w:rPr>
          <w:rFonts w:ascii="Noto Sans" w:hAnsi="Noto Sans" w:cs="Noto Sans"/>
          <w:color w:val="000000"/>
          <w:sz w:val="20"/>
          <w:szCs w:val="22"/>
        </w:rPr>
        <w:t xml:space="preserve"> crecieron </w:t>
      </w:r>
      <w:r w:rsidRPr="00CA49C6">
        <w:rPr>
          <w:rFonts w:ascii="Noto Sans" w:hAnsi="Noto Sans" w:cs="Noto Sans"/>
          <w:b/>
          <w:color w:val="000000"/>
          <w:sz w:val="20"/>
          <w:szCs w:val="22"/>
        </w:rPr>
        <w:t>1.5% anual</w:t>
      </w:r>
      <w:r w:rsidRPr="00CA49C6">
        <w:rPr>
          <w:rFonts w:ascii="Noto Sans" w:hAnsi="Noto Sans" w:cs="Noto Sans"/>
          <w:color w:val="000000"/>
          <w:sz w:val="20"/>
          <w:szCs w:val="22"/>
        </w:rPr>
        <w:t xml:space="preserve">, </w:t>
      </w:r>
      <w:r w:rsidR="00CA49C6" w:rsidRPr="00CA49C6">
        <w:rPr>
          <w:rFonts w:ascii="Noto Sans" w:hAnsi="Noto Sans" w:cs="Noto Sans"/>
          <w:color w:val="000000"/>
          <w:sz w:val="20"/>
          <w:szCs w:val="22"/>
        </w:rPr>
        <w:t>impulsadas por los salarios de obreros y t</w:t>
      </w:r>
      <w:r w:rsidR="00CA49C6" w:rsidRPr="00CA49C6">
        <w:rPr>
          <w:rFonts w:ascii="Calibri" w:hAnsi="Calibri" w:cs="Calibri"/>
          <w:color w:val="000000"/>
          <w:sz w:val="20"/>
          <w:szCs w:val="22"/>
        </w:rPr>
        <w:t>é</w:t>
      </w:r>
      <w:r w:rsidR="00CA49C6" w:rsidRPr="00CA49C6">
        <w:rPr>
          <w:rFonts w:ascii="Noto Sans" w:hAnsi="Noto Sans" w:cs="Noto Sans"/>
          <w:color w:val="000000"/>
          <w:sz w:val="20"/>
          <w:szCs w:val="22"/>
        </w:rPr>
        <w:t xml:space="preserve">cnicos </w:t>
      </w:r>
      <w:r w:rsidR="00CA49C6" w:rsidRPr="00CA49C6">
        <w:rPr>
          <w:rFonts w:ascii="Noto Sans" w:hAnsi="Noto Sans" w:cs="Noto Sans"/>
          <w:b/>
          <w:color w:val="000000"/>
          <w:sz w:val="20"/>
          <w:szCs w:val="22"/>
        </w:rPr>
        <w:t>(+3.7%)</w:t>
      </w:r>
      <w:r w:rsidR="00CA49C6" w:rsidRPr="00CA49C6">
        <w:rPr>
          <w:rFonts w:ascii="Noto Sans" w:hAnsi="Noto Sans" w:cs="Noto Sans"/>
          <w:color w:val="000000"/>
          <w:sz w:val="20"/>
          <w:szCs w:val="22"/>
        </w:rPr>
        <w:t>. Esto sugiere que el ajuste manufacturero se observa m</w:t>
      </w:r>
      <w:r w:rsidR="00CA49C6" w:rsidRPr="00CA49C6">
        <w:rPr>
          <w:rFonts w:ascii="Calibri" w:hAnsi="Calibri" w:cs="Calibri"/>
          <w:color w:val="000000"/>
          <w:sz w:val="20"/>
          <w:szCs w:val="22"/>
        </w:rPr>
        <w:t>á</w:t>
      </w:r>
      <w:r w:rsidR="00CA49C6" w:rsidRPr="00CA49C6">
        <w:rPr>
          <w:rFonts w:ascii="Noto Sans" w:hAnsi="Noto Sans" w:cs="Noto Sans"/>
          <w:color w:val="000000"/>
          <w:sz w:val="20"/>
          <w:szCs w:val="22"/>
        </w:rPr>
        <w:t>s en empleo y horas trabajadas que en remuneraciones reales.</w:t>
      </w:r>
    </w:p>
    <w:p w:rsidR="00C42943" w:rsidRPr="00650C79" w:rsidRDefault="00C42943" w:rsidP="00C42943">
      <w:pPr>
        <w:pStyle w:val="Prrafodelista"/>
        <w:ind w:left="504"/>
        <w:jc w:val="both"/>
        <w:rPr>
          <w:sz w:val="10"/>
        </w:rPr>
      </w:pPr>
    </w:p>
    <w:p w:rsidR="00246E09" w:rsidRDefault="00650C79">
      <w:pPr>
        <w:jc w:val="center"/>
      </w:pPr>
      <w:r w:rsidRPr="00650C79">
        <w:rPr>
          <w:rFonts w:ascii="Noto Sans" w:hAnsi="Noto Sans" w:cs="Noto Sans"/>
          <w:b/>
          <w:color w:val="10312B"/>
          <w:sz w:val="22"/>
          <w:szCs w:val="22"/>
        </w:rPr>
        <w:t>Empleo manufacturero y remuneraciones reales</w:t>
      </w:r>
      <w:r w:rsidR="00465707">
        <w:rPr>
          <w:rFonts w:ascii="Noto Sans" w:hAnsi="Noto Sans" w:cs="Noto Sans"/>
          <w:b/>
          <w:color w:val="10312B"/>
          <w:sz w:val="22"/>
          <w:szCs w:val="22"/>
        </w:rPr>
        <w:t>, 2025–2026</w:t>
      </w:r>
    </w:p>
    <w:p w:rsidR="00246E09" w:rsidRDefault="00465707">
      <w:pPr>
        <w:jc w:val="center"/>
      </w:pPr>
      <w:r>
        <w:rPr>
          <w:noProof/>
        </w:rPr>
        <w:drawing>
          <wp:inline distT="0" distB="0" distL="0" distR="0">
            <wp:extent cx="3393427" cy="134241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gae_grafica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3639" cy="134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BB8" w:rsidRPr="00BC0BB8" w:rsidRDefault="00BC0BB8">
      <w:pPr>
        <w:jc w:val="both"/>
        <w:rPr>
          <w:sz w:val="6"/>
          <w:szCs w:val="10"/>
        </w:rPr>
      </w:pPr>
    </w:p>
    <w:p w:rsidR="00246E09" w:rsidRDefault="00465707">
      <w:pPr>
        <w:shd w:val="clear" w:color="auto" w:fill="235B4C"/>
        <w:jc w:val="both"/>
      </w:pPr>
      <w:r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t>Lectura sectorial</w:t>
      </w:r>
    </w:p>
    <w:p w:rsidR="00246E09" w:rsidRDefault="00CC7915">
      <w:pPr>
        <w:spacing w:before="60" w:after="60"/>
        <w:jc w:val="both"/>
      </w:pPr>
      <w:r>
        <w:rPr>
          <w:rFonts w:ascii="Calibri" w:hAnsi="Calibri" w:cs="Calibri"/>
          <w:color w:val="000000"/>
          <w:sz w:val="20"/>
        </w:rPr>
        <w:t>Los</w:t>
      </w:r>
      <w:r w:rsidR="00C42943" w:rsidRPr="00C42943">
        <w:rPr>
          <w:rFonts w:ascii="Noto Sans" w:hAnsi="Noto Sans" w:cs="Noto Sans"/>
          <w:color w:val="000000"/>
          <w:sz w:val="20"/>
        </w:rPr>
        <w:t xml:space="preserve"> subsector</w:t>
      </w:r>
      <w:r>
        <w:rPr>
          <w:rFonts w:ascii="Calibri" w:hAnsi="Calibri" w:cs="Calibri"/>
          <w:color w:val="000000"/>
          <w:sz w:val="20"/>
        </w:rPr>
        <w:t>es</w:t>
      </w:r>
      <w:r w:rsidR="00C42943" w:rsidRPr="00C42943">
        <w:rPr>
          <w:rFonts w:ascii="Noto Sans" w:hAnsi="Noto Sans" w:cs="Noto Sans"/>
          <w:color w:val="000000"/>
          <w:sz w:val="20"/>
        </w:rPr>
        <w:t xml:space="preserve"> muestra</w:t>
      </w:r>
      <w:r>
        <w:rPr>
          <w:rFonts w:ascii="Calibri" w:hAnsi="Calibri" w:cs="Calibri"/>
          <w:color w:val="000000"/>
          <w:sz w:val="20"/>
        </w:rPr>
        <w:t>n</w:t>
      </w:r>
      <w:r w:rsidR="00C42943" w:rsidRPr="00C42943">
        <w:rPr>
          <w:rFonts w:ascii="Noto Sans" w:hAnsi="Noto Sans" w:cs="Noto Sans"/>
          <w:color w:val="000000"/>
          <w:sz w:val="20"/>
        </w:rPr>
        <w:t xml:space="preserve"> un comportamiento heterog</w:t>
      </w:r>
      <w:r w:rsidR="00C42943" w:rsidRPr="00C42943">
        <w:rPr>
          <w:rFonts w:ascii="Calibri" w:hAnsi="Calibri" w:cs="Calibri"/>
          <w:color w:val="000000"/>
          <w:sz w:val="20"/>
        </w:rPr>
        <w:t>é</w:t>
      </w:r>
      <w:r w:rsidR="00C42943" w:rsidRPr="00C42943">
        <w:rPr>
          <w:rFonts w:ascii="Noto Sans" w:hAnsi="Noto Sans" w:cs="Noto Sans"/>
          <w:color w:val="000000"/>
          <w:sz w:val="20"/>
        </w:rPr>
        <w:t>neo dentro de la manufactura:</w:t>
      </w:r>
    </w:p>
    <w:tbl>
      <w:tblPr>
        <w:tblStyle w:val="Tablaconcuadrcula"/>
        <w:tblW w:w="8828" w:type="dxa"/>
        <w:tblCellMar>
          <w:top w:w="20" w:type="dxa"/>
          <w:left w:w="60" w:type="dxa"/>
          <w:bottom w:w="20" w:type="dxa"/>
          <w:right w:w="60" w:type="dxa"/>
        </w:tblCellMar>
        <w:tblLook w:val="04A0" w:firstRow="1" w:lastRow="0" w:firstColumn="1" w:lastColumn="0" w:noHBand="0" w:noVBand="1"/>
      </w:tblPr>
      <w:tblGrid>
        <w:gridCol w:w="2338"/>
        <w:gridCol w:w="1768"/>
        <w:gridCol w:w="1701"/>
        <w:gridCol w:w="3021"/>
      </w:tblGrid>
      <w:tr w:rsidR="00246E09" w:rsidTr="00C42943">
        <w:tc>
          <w:tcPr>
            <w:tcW w:w="2338" w:type="dxa"/>
            <w:shd w:val="clear" w:color="auto" w:fill="235B4C"/>
          </w:tcPr>
          <w:p w:rsidR="00246E09" w:rsidRDefault="00465707">
            <w:r>
              <w:rPr>
                <w:rFonts w:ascii="Noto Sans" w:hAnsi="Noto Sans" w:cs="Noto Sans"/>
                <w:b/>
                <w:color w:val="FFFFFF"/>
                <w:sz w:val="17"/>
              </w:rPr>
              <w:t>Sector</w:t>
            </w:r>
          </w:p>
        </w:tc>
        <w:tc>
          <w:tcPr>
            <w:tcW w:w="1768" w:type="dxa"/>
            <w:shd w:val="clear" w:color="auto" w:fill="235B4C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b/>
                <w:color w:val="FFFFFF"/>
                <w:sz w:val="17"/>
              </w:rPr>
              <w:t>Var. anual producción</w:t>
            </w:r>
          </w:p>
        </w:tc>
        <w:tc>
          <w:tcPr>
            <w:tcW w:w="1701" w:type="dxa"/>
            <w:shd w:val="clear" w:color="auto" w:fill="235B4C"/>
          </w:tcPr>
          <w:p w:rsidR="00246E09" w:rsidRDefault="00465707">
            <w:pPr>
              <w:jc w:val="center"/>
            </w:pPr>
            <w:r>
              <w:rPr>
                <w:rFonts w:ascii="Noto Sans" w:hAnsi="Noto Sans" w:cs="Noto Sans"/>
                <w:b/>
                <w:color w:val="FFFFFF"/>
                <w:sz w:val="17"/>
              </w:rPr>
              <w:t>Var. anual personal</w:t>
            </w:r>
          </w:p>
        </w:tc>
        <w:tc>
          <w:tcPr>
            <w:tcW w:w="3021" w:type="dxa"/>
            <w:shd w:val="clear" w:color="auto" w:fill="235B4C"/>
          </w:tcPr>
          <w:p w:rsidR="00246E09" w:rsidRDefault="00465707">
            <w:r>
              <w:rPr>
                <w:rFonts w:ascii="Noto Sans" w:hAnsi="Noto Sans" w:cs="Noto Sans"/>
                <w:b/>
                <w:color w:val="FFFFFF"/>
                <w:sz w:val="17"/>
              </w:rPr>
              <w:t>Lectura</w:t>
            </w:r>
          </w:p>
        </w:tc>
      </w:tr>
      <w:tr w:rsidR="00246E09" w:rsidTr="00CC7915">
        <w:tc>
          <w:tcPr>
            <w:tcW w:w="2338" w:type="dxa"/>
            <w:shd w:val="clear" w:color="auto" w:fill="F4F4F2"/>
          </w:tcPr>
          <w:p w:rsidR="00246E09" w:rsidRDefault="00465707">
            <w:r>
              <w:rPr>
                <w:rFonts w:ascii="Noto Sans" w:hAnsi="Noto Sans" w:cs="Noto Sans"/>
                <w:color w:val="000000"/>
                <w:sz w:val="16"/>
              </w:rPr>
              <w:t>334 · Equipo de cómputo y electrónico</w:t>
            </w:r>
          </w:p>
        </w:tc>
        <w:tc>
          <w:tcPr>
            <w:tcW w:w="1768" w:type="dxa"/>
            <w:shd w:val="clear" w:color="auto" w:fill="F4F4F2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000000"/>
                <w:sz w:val="16"/>
              </w:rPr>
              <w:t>▲ 9.3 %</w:t>
            </w:r>
          </w:p>
        </w:tc>
        <w:tc>
          <w:tcPr>
            <w:tcW w:w="1701" w:type="dxa"/>
            <w:shd w:val="clear" w:color="auto" w:fill="F4F4F2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000000"/>
                <w:sz w:val="16"/>
              </w:rPr>
              <w:t>▲ 3.2 %</w:t>
            </w:r>
          </w:p>
        </w:tc>
        <w:tc>
          <w:tcPr>
            <w:tcW w:w="3021" w:type="dxa"/>
            <w:shd w:val="clear" w:color="auto" w:fill="F4F4F2"/>
          </w:tcPr>
          <w:p w:rsidR="00246E09" w:rsidRDefault="00CC7915" w:rsidP="00CC7915">
            <w:pPr>
              <w:jc w:val="both"/>
            </w:pPr>
            <w:r w:rsidRPr="00CC7915">
              <w:rPr>
                <w:rFonts w:ascii="Noto Sans" w:hAnsi="Noto Sans" w:cs="Noto Sans"/>
                <w:color w:val="000000"/>
                <w:sz w:val="16"/>
              </w:rPr>
              <w:t>Mayor dinamismo en producci</w:t>
            </w:r>
            <w:r w:rsidRPr="00CC7915">
              <w:rPr>
                <w:rFonts w:ascii="Calibri" w:hAnsi="Calibri" w:cs="Calibri"/>
                <w:color w:val="000000"/>
                <w:sz w:val="16"/>
              </w:rPr>
              <w:t>ó</w:t>
            </w:r>
            <w:r w:rsidRPr="00CC7915">
              <w:rPr>
                <w:rFonts w:ascii="Noto Sans" w:hAnsi="Noto Sans" w:cs="Noto Sans"/>
                <w:color w:val="000000"/>
                <w:sz w:val="16"/>
              </w:rPr>
              <w:t>n y empleo</w:t>
            </w:r>
            <w:r w:rsidR="00650C79">
              <w:rPr>
                <w:rFonts w:ascii="Noto Sans" w:hAnsi="Noto Sans" w:cs="Noto Sans"/>
                <w:color w:val="000000"/>
                <w:sz w:val="16"/>
              </w:rPr>
              <w:t>.</w:t>
            </w:r>
          </w:p>
        </w:tc>
      </w:tr>
      <w:tr w:rsidR="00246E09" w:rsidTr="00CC7915">
        <w:tc>
          <w:tcPr>
            <w:tcW w:w="2338" w:type="dxa"/>
          </w:tcPr>
          <w:p w:rsidR="00246E09" w:rsidRDefault="00465707">
            <w:r>
              <w:rPr>
                <w:rFonts w:ascii="Noto Sans" w:hAnsi="Noto Sans" w:cs="Noto Sans"/>
                <w:color w:val="000000"/>
                <w:sz w:val="16"/>
              </w:rPr>
              <w:t>336 · Equipo de transporte (automotriz)</w:t>
            </w:r>
          </w:p>
        </w:tc>
        <w:tc>
          <w:tcPr>
            <w:tcW w:w="1768" w:type="dxa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C00000"/>
                <w:sz w:val="16"/>
              </w:rPr>
              <w:t>▼ 3.7 %</w:t>
            </w:r>
          </w:p>
        </w:tc>
        <w:tc>
          <w:tcPr>
            <w:tcW w:w="1701" w:type="dxa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C00000"/>
                <w:sz w:val="16"/>
              </w:rPr>
              <w:t>▼ 4.5 %</w:t>
            </w:r>
          </w:p>
        </w:tc>
        <w:tc>
          <w:tcPr>
            <w:tcW w:w="3021" w:type="dxa"/>
          </w:tcPr>
          <w:p w:rsidR="00246E09" w:rsidRDefault="00650C79" w:rsidP="00CC7915">
            <w:pPr>
              <w:jc w:val="both"/>
            </w:pPr>
            <w:r w:rsidRPr="00650C79">
              <w:rPr>
                <w:rFonts w:ascii="Noto Sans" w:hAnsi="Noto Sans" w:cs="Noto Sans"/>
                <w:color w:val="000000"/>
                <w:sz w:val="16"/>
              </w:rPr>
              <w:t>Menor dinamismo en una cadena manufacturera prioritaria</w:t>
            </w:r>
          </w:p>
        </w:tc>
      </w:tr>
      <w:tr w:rsidR="00246E09" w:rsidTr="00CC7915">
        <w:tc>
          <w:tcPr>
            <w:tcW w:w="2338" w:type="dxa"/>
            <w:shd w:val="clear" w:color="auto" w:fill="F4F4F2"/>
          </w:tcPr>
          <w:p w:rsidR="00246E09" w:rsidRDefault="00465707">
            <w:r>
              <w:rPr>
                <w:rFonts w:ascii="Noto Sans" w:hAnsi="Noto Sans" w:cs="Noto Sans"/>
                <w:color w:val="000000"/>
                <w:sz w:val="16"/>
              </w:rPr>
              <w:t>325 · Industria química</w:t>
            </w:r>
          </w:p>
        </w:tc>
        <w:tc>
          <w:tcPr>
            <w:tcW w:w="1768" w:type="dxa"/>
            <w:shd w:val="clear" w:color="auto" w:fill="F4F4F2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000000"/>
                <w:sz w:val="16"/>
              </w:rPr>
              <w:t>▲ 1.2 %</w:t>
            </w:r>
          </w:p>
        </w:tc>
        <w:tc>
          <w:tcPr>
            <w:tcW w:w="1701" w:type="dxa"/>
            <w:shd w:val="clear" w:color="auto" w:fill="F4F4F2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C00000"/>
                <w:sz w:val="16"/>
              </w:rPr>
              <w:t>▼ 0.4 %</w:t>
            </w:r>
          </w:p>
        </w:tc>
        <w:tc>
          <w:tcPr>
            <w:tcW w:w="3021" w:type="dxa"/>
            <w:shd w:val="clear" w:color="auto" w:fill="F4F4F2"/>
          </w:tcPr>
          <w:p w:rsidR="00246E09" w:rsidRDefault="00CC7915" w:rsidP="00CC7915">
            <w:pPr>
              <w:jc w:val="both"/>
            </w:pPr>
            <w:r w:rsidRPr="00CC7915">
              <w:rPr>
                <w:rFonts w:ascii="Noto Sans" w:hAnsi="Noto Sans" w:cs="Noto Sans"/>
                <w:color w:val="000000"/>
                <w:sz w:val="16"/>
              </w:rPr>
              <w:t>Producci</w:t>
            </w:r>
            <w:r w:rsidRPr="00CC7915">
              <w:rPr>
                <w:rFonts w:ascii="Calibri" w:hAnsi="Calibri" w:cs="Calibri"/>
                <w:color w:val="000000"/>
                <w:sz w:val="16"/>
              </w:rPr>
              <w:t>ó</w:t>
            </w:r>
            <w:r w:rsidRPr="00CC7915">
              <w:rPr>
                <w:rFonts w:ascii="Noto Sans" w:hAnsi="Noto Sans" w:cs="Noto Sans"/>
                <w:color w:val="000000"/>
                <w:sz w:val="16"/>
              </w:rPr>
              <w:t>n positiva con menor personal; posible mejora de productividad aparente</w:t>
            </w:r>
            <w:r>
              <w:rPr>
                <w:rFonts w:ascii="Noto Sans" w:hAnsi="Noto Sans" w:cs="Noto Sans"/>
                <w:color w:val="000000"/>
                <w:sz w:val="16"/>
              </w:rPr>
              <w:t>.</w:t>
            </w:r>
          </w:p>
        </w:tc>
      </w:tr>
      <w:tr w:rsidR="00246E09" w:rsidTr="00CC7915">
        <w:tc>
          <w:tcPr>
            <w:tcW w:w="2338" w:type="dxa"/>
          </w:tcPr>
          <w:p w:rsidR="00246E09" w:rsidRDefault="00465707">
            <w:r>
              <w:rPr>
                <w:rFonts w:ascii="Noto Sans" w:hAnsi="Noto Sans" w:cs="Noto Sans"/>
                <w:color w:val="000000"/>
                <w:sz w:val="16"/>
              </w:rPr>
              <w:t>315 · Prendas de vestir (textil)</w:t>
            </w:r>
          </w:p>
        </w:tc>
        <w:tc>
          <w:tcPr>
            <w:tcW w:w="1768" w:type="dxa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C00000"/>
                <w:sz w:val="16"/>
              </w:rPr>
              <w:t>▼ 6.2 %</w:t>
            </w:r>
          </w:p>
        </w:tc>
        <w:tc>
          <w:tcPr>
            <w:tcW w:w="1701" w:type="dxa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C00000"/>
                <w:sz w:val="16"/>
              </w:rPr>
              <w:t>▼ 4.6 %</w:t>
            </w:r>
          </w:p>
        </w:tc>
        <w:tc>
          <w:tcPr>
            <w:tcW w:w="3021" w:type="dxa"/>
          </w:tcPr>
          <w:p w:rsidR="00246E09" w:rsidRDefault="00650C79" w:rsidP="00CC7915">
            <w:pPr>
              <w:jc w:val="both"/>
            </w:pPr>
            <w:r w:rsidRPr="00650C79">
              <w:rPr>
                <w:rFonts w:ascii="Noto Sans" w:hAnsi="Noto Sans" w:cs="Noto Sans"/>
                <w:color w:val="000000"/>
                <w:sz w:val="16"/>
              </w:rPr>
              <w:t>Desempe</w:t>
            </w:r>
            <w:r w:rsidRPr="00650C79">
              <w:rPr>
                <w:rFonts w:ascii="Calibri" w:hAnsi="Calibri" w:cs="Calibri"/>
                <w:color w:val="000000"/>
                <w:sz w:val="16"/>
              </w:rPr>
              <w:t>ñ</w:t>
            </w:r>
            <w:r w:rsidRPr="00650C79">
              <w:rPr>
                <w:rFonts w:ascii="Noto Sans" w:hAnsi="Noto Sans" w:cs="Noto Sans"/>
                <w:color w:val="000000"/>
                <w:sz w:val="16"/>
              </w:rPr>
              <w:t>o negativo en producci</w:t>
            </w:r>
            <w:r w:rsidRPr="00650C79">
              <w:rPr>
                <w:rFonts w:ascii="Calibri" w:hAnsi="Calibri" w:cs="Calibri"/>
                <w:color w:val="000000"/>
                <w:sz w:val="16"/>
              </w:rPr>
              <w:t>ó</w:t>
            </w:r>
            <w:r w:rsidRPr="00650C79">
              <w:rPr>
                <w:rFonts w:ascii="Noto Sans" w:hAnsi="Noto Sans" w:cs="Noto Sans"/>
                <w:color w:val="000000"/>
                <w:sz w:val="16"/>
              </w:rPr>
              <w:t>n y empleo</w:t>
            </w:r>
          </w:p>
        </w:tc>
      </w:tr>
      <w:tr w:rsidR="00246E09" w:rsidTr="00CC7915">
        <w:tc>
          <w:tcPr>
            <w:tcW w:w="2338" w:type="dxa"/>
            <w:shd w:val="clear" w:color="auto" w:fill="F4F4F2"/>
          </w:tcPr>
          <w:p w:rsidR="00246E09" w:rsidRDefault="00465707">
            <w:r>
              <w:rPr>
                <w:rFonts w:ascii="Noto Sans" w:hAnsi="Noto Sans" w:cs="Noto Sans"/>
                <w:color w:val="000000"/>
                <w:sz w:val="16"/>
              </w:rPr>
              <w:t>311 · Industria alimentaria</w:t>
            </w:r>
          </w:p>
        </w:tc>
        <w:tc>
          <w:tcPr>
            <w:tcW w:w="1768" w:type="dxa"/>
            <w:shd w:val="clear" w:color="auto" w:fill="F4F4F2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000000"/>
                <w:sz w:val="16"/>
              </w:rPr>
              <w:t>▲ 0.9 %</w:t>
            </w:r>
          </w:p>
        </w:tc>
        <w:tc>
          <w:tcPr>
            <w:tcW w:w="1701" w:type="dxa"/>
            <w:shd w:val="clear" w:color="auto" w:fill="F4F4F2"/>
            <w:vAlign w:val="center"/>
          </w:tcPr>
          <w:p w:rsidR="00246E09" w:rsidRDefault="00465707" w:rsidP="00CC7915">
            <w:pPr>
              <w:jc w:val="center"/>
            </w:pPr>
            <w:r>
              <w:rPr>
                <w:rFonts w:ascii="Noto Sans" w:hAnsi="Noto Sans" w:cs="Noto Sans"/>
                <w:color w:val="C00000"/>
                <w:sz w:val="16"/>
              </w:rPr>
              <w:t>▼ 0.3 %</w:t>
            </w:r>
          </w:p>
        </w:tc>
        <w:tc>
          <w:tcPr>
            <w:tcW w:w="3021" w:type="dxa"/>
            <w:shd w:val="clear" w:color="auto" w:fill="F4F4F2"/>
          </w:tcPr>
          <w:p w:rsidR="00246E09" w:rsidRDefault="00CC7915" w:rsidP="00CC7915">
            <w:pPr>
              <w:jc w:val="both"/>
            </w:pPr>
            <w:r w:rsidRPr="00CC7915">
              <w:rPr>
                <w:rFonts w:ascii="Noto Sans" w:hAnsi="Noto Sans" w:cs="Noto Sans"/>
                <w:color w:val="000000"/>
                <w:sz w:val="16"/>
              </w:rPr>
              <w:t>Producci</w:t>
            </w:r>
            <w:r w:rsidRPr="00CC7915">
              <w:rPr>
                <w:rFonts w:ascii="Calibri" w:hAnsi="Calibri" w:cs="Calibri"/>
                <w:color w:val="000000"/>
                <w:sz w:val="16"/>
              </w:rPr>
              <w:t>ó</w:t>
            </w:r>
            <w:r w:rsidRPr="00CC7915">
              <w:rPr>
                <w:rFonts w:ascii="Noto Sans" w:hAnsi="Noto Sans" w:cs="Noto Sans"/>
                <w:color w:val="000000"/>
                <w:sz w:val="16"/>
              </w:rPr>
              <w:t>n positiva con ajuste marginal en personal</w:t>
            </w:r>
          </w:p>
        </w:tc>
      </w:tr>
    </w:tbl>
    <w:p w:rsidR="00BC0BB8" w:rsidRPr="00C42943" w:rsidRDefault="00465707">
      <w:pPr>
        <w:spacing w:before="40"/>
        <w:rPr>
          <w:rFonts w:ascii="Noto Sans" w:hAnsi="Noto Sans" w:cs="Noto Sans"/>
          <w:color w:val="4C545B"/>
          <w:sz w:val="15"/>
        </w:rPr>
      </w:pPr>
      <w:r>
        <w:rPr>
          <w:rFonts w:ascii="Noto Sans" w:hAnsi="Noto Sans" w:cs="Noto Sans"/>
          <w:color w:val="4C545B"/>
          <w:sz w:val="15"/>
        </w:rPr>
        <w:t xml:space="preserve">Nota: </w:t>
      </w:r>
      <w:r w:rsidR="00CC7915" w:rsidRPr="00CC7915">
        <w:rPr>
          <w:rFonts w:ascii="Noto Sans" w:hAnsi="Noto Sans" w:cs="Noto Sans"/>
          <w:color w:val="4C545B"/>
          <w:sz w:val="15"/>
        </w:rPr>
        <w:t>variaci</w:t>
      </w:r>
      <w:r w:rsidR="00CC7915" w:rsidRPr="00CC7915">
        <w:rPr>
          <w:rFonts w:ascii="Calibri" w:hAnsi="Calibri" w:cs="Calibri"/>
          <w:color w:val="4C545B"/>
          <w:sz w:val="15"/>
        </w:rPr>
        <w:t>ó</w:t>
      </w:r>
      <w:r w:rsidR="00CC7915" w:rsidRPr="00CC7915">
        <w:rPr>
          <w:rFonts w:ascii="Noto Sans" w:hAnsi="Noto Sans" w:cs="Noto Sans"/>
          <w:color w:val="4C545B"/>
          <w:sz w:val="15"/>
        </w:rPr>
        <w:t xml:space="preserve">n anual con cifras originales, mayo de 2026. </w:t>
      </w:r>
    </w:p>
    <w:p w:rsidR="00246E09" w:rsidRDefault="00246E09">
      <w:pPr>
        <w:jc w:val="both"/>
        <w:rPr>
          <w:sz w:val="10"/>
          <w:szCs w:val="10"/>
        </w:rPr>
      </w:pPr>
    </w:p>
    <w:p w:rsidR="00246E09" w:rsidRDefault="00465707">
      <w:pPr>
        <w:shd w:val="clear" w:color="auto" w:fill="005E4C"/>
        <w:jc w:val="both"/>
      </w:pPr>
      <w:r>
        <w:rPr>
          <w:rFonts w:ascii="Noto Sans" w:hAnsi="Noto Sans" w:cs="Noto Sans"/>
          <w:b/>
          <w:bCs/>
          <w:color w:val="FFFFFF" w:themeColor="background1"/>
          <w:sz w:val="22"/>
          <w:szCs w:val="22"/>
        </w:rPr>
        <w:t>Implicaciones</w:t>
      </w:r>
    </w:p>
    <w:p w:rsidR="00246E09" w:rsidRPr="00864E21" w:rsidRDefault="00650C79" w:rsidP="00864E21">
      <w:pPr>
        <w:spacing w:before="100" w:beforeAutospacing="1" w:after="100" w:afterAutospacing="1"/>
        <w:jc w:val="both"/>
        <w:rPr>
          <w:rFonts w:ascii="Noto Sans Oriya" w:hAnsi="Noto Sans Oriya" w:cs="Noto Sans Oriya"/>
          <w:sz w:val="20"/>
          <w:szCs w:val="20"/>
          <w:lang w:eastAsia="es-ES_tradnl"/>
        </w:rPr>
      </w:pPr>
      <w:r w:rsidRPr="00650C79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La EMIM muestra una manufactura con bajo dinamismo y un ajuste laboral todav</w:t>
      </w:r>
      <w:r w:rsidRPr="00650C79">
        <w:rPr>
          <w:rFonts w:ascii="Calibri" w:hAnsi="Calibri" w:cs="Calibri"/>
          <w:b/>
          <w:bCs/>
          <w:sz w:val="20"/>
          <w:szCs w:val="20"/>
          <w:lang w:eastAsia="es-ES_tradnl"/>
        </w:rPr>
        <w:t>í</w:t>
      </w:r>
      <w:r w:rsidRPr="00650C79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a en curso.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 xml:space="preserve"> M</w:t>
      </w:r>
      <w:r w:rsidRPr="00650C79">
        <w:rPr>
          <w:rFonts w:ascii="Calibri" w:hAnsi="Calibri" w:cs="Calibri"/>
          <w:sz w:val="20"/>
          <w:szCs w:val="20"/>
          <w:lang w:eastAsia="es-ES_tradnl"/>
        </w:rPr>
        <w:t>á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s que la variaci</w:t>
      </w:r>
      <w:r w:rsidRPr="00650C79">
        <w:rPr>
          <w:rFonts w:ascii="Calibri" w:hAnsi="Calibri" w:cs="Calibri"/>
          <w:sz w:val="20"/>
          <w:szCs w:val="20"/>
          <w:lang w:eastAsia="es-ES_tradnl"/>
        </w:rPr>
        <w:t>ó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n mensual de producci</w:t>
      </w:r>
      <w:r w:rsidRPr="00650C79">
        <w:rPr>
          <w:rFonts w:ascii="Calibri" w:hAnsi="Calibri" w:cs="Calibri"/>
          <w:sz w:val="20"/>
          <w:szCs w:val="20"/>
          <w:lang w:eastAsia="es-ES_tradnl"/>
        </w:rPr>
        <w:t>ó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n, la lectura econ</w:t>
      </w:r>
      <w:r w:rsidRPr="00650C79">
        <w:rPr>
          <w:rFonts w:ascii="Calibri" w:hAnsi="Calibri" w:cs="Calibri"/>
          <w:sz w:val="20"/>
          <w:szCs w:val="20"/>
          <w:lang w:eastAsia="es-ES_tradnl"/>
        </w:rPr>
        <w:t>ó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mica relevante est</w:t>
      </w:r>
      <w:r w:rsidRPr="00650C79">
        <w:rPr>
          <w:rFonts w:ascii="Calibri" w:hAnsi="Calibri" w:cs="Calibri"/>
          <w:sz w:val="20"/>
          <w:szCs w:val="20"/>
          <w:lang w:eastAsia="es-ES_tradnl"/>
        </w:rPr>
        <w:t>á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 xml:space="preserve"> en la combinaci</w:t>
      </w:r>
      <w:r w:rsidRPr="00650C79">
        <w:rPr>
          <w:rFonts w:ascii="Calibri" w:hAnsi="Calibri" w:cs="Calibri"/>
          <w:sz w:val="20"/>
          <w:szCs w:val="20"/>
          <w:lang w:eastAsia="es-ES_tradnl"/>
        </w:rPr>
        <w:t>ó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n de menor personal ocupado, menores horas trabajadas y remuneraciones reales todav</w:t>
      </w:r>
      <w:r w:rsidRPr="00650C79">
        <w:rPr>
          <w:rFonts w:ascii="Calibri" w:hAnsi="Calibri" w:cs="Calibri"/>
          <w:sz w:val="20"/>
          <w:szCs w:val="20"/>
          <w:lang w:eastAsia="es-ES_tradnl"/>
        </w:rPr>
        <w:t>í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a positivas. Esto sugiere que el ajuste del sector se est</w:t>
      </w:r>
      <w:r w:rsidRPr="00650C79">
        <w:rPr>
          <w:rFonts w:ascii="Calibri" w:hAnsi="Calibri" w:cs="Calibri"/>
          <w:sz w:val="20"/>
          <w:szCs w:val="20"/>
          <w:lang w:eastAsia="es-ES_tradnl"/>
        </w:rPr>
        <w:t>á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 xml:space="preserve"> dando principalmente por cantidad de empleo y uso de horas, no por una reducci</w:t>
      </w:r>
      <w:r w:rsidRPr="00650C79">
        <w:rPr>
          <w:rFonts w:ascii="Calibri" w:hAnsi="Calibri" w:cs="Calibri"/>
          <w:sz w:val="20"/>
          <w:szCs w:val="20"/>
          <w:lang w:eastAsia="es-ES_tradnl"/>
        </w:rPr>
        <w:t>ó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n generalizada de remuneraciones.</w:t>
      </w:r>
      <w:r>
        <w:rPr>
          <w:rFonts w:ascii="Noto Sans Oriya" w:hAnsi="Noto Sans Oriya" w:cs="Noto Sans Oriya"/>
          <w:sz w:val="20"/>
          <w:szCs w:val="20"/>
          <w:lang w:eastAsia="es-ES_tradnl"/>
        </w:rPr>
        <w:t xml:space="preserve"> 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 xml:space="preserve">Hacia adelante, </w:t>
      </w:r>
      <w:r>
        <w:rPr>
          <w:rFonts w:ascii="Calibri" w:hAnsi="Calibri" w:cs="Calibri"/>
          <w:sz w:val="20"/>
          <w:szCs w:val="20"/>
          <w:lang w:eastAsia="es-ES_tradnl"/>
        </w:rPr>
        <w:t>habría que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 xml:space="preserve"> distinguir si el ajuste responde a una recomposici</w:t>
      </w:r>
      <w:r w:rsidRPr="00650C79">
        <w:rPr>
          <w:rFonts w:ascii="Calibri" w:hAnsi="Calibri" w:cs="Calibri"/>
          <w:sz w:val="20"/>
          <w:szCs w:val="20"/>
          <w:lang w:eastAsia="es-ES_tradnl"/>
        </w:rPr>
        <w:t>ó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n temporal del empleo o a un menor dinamismo m</w:t>
      </w:r>
      <w:r w:rsidRPr="00650C79">
        <w:rPr>
          <w:rFonts w:ascii="Calibri" w:hAnsi="Calibri" w:cs="Calibri"/>
          <w:sz w:val="20"/>
          <w:szCs w:val="20"/>
          <w:lang w:eastAsia="es-ES_tradnl"/>
        </w:rPr>
        <w:t>á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s prolongado. El dato de junio se publicar</w:t>
      </w:r>
      <w:r w:rsidRPr="00650C79">
        <w:rPr>
          <w:rFonts w:ascii="Calibri" w:hAnsi="Calibri" w:cs="Calibri"/>
          <w:sz w:val="20"/>
          <w:szCs w:val="20"/>
          <w:lang w:eastAsia="es-ES_tradnl"/>
        </w:rPr>
        <w:t>á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 xml:space="preserve"> el </w:t>
      </w:r>
      <w:r w:rsidRPr="00650C79">
        <w:rPr>
          <w:rFonts w:ascii="Noto Sans Oriya" w:hAnsi="Noto Sans Oriya" w:cs="Noto Sans Oriya"/>
          <w:b/>
          <w:bCs/>
          <w:sz w:val="20"/>
          <w:szCs w:val="20"/>
          <w:lang w:eastAsia="es-ES_tradnl"/>
        </w:rPr>
        <w:t>17 de agosto de 2026</w:t>
      </w:r>
      <w:r w:rsidRPr="00650C79">
        <w:rPr>
          <w:rFonts w:ascii="Noto Sans Oriya" w:hAnsi="Noto Sans Oriya" w:cs="Noto Sans Oriya"/>
          <w:sz w:val="20"/>
          <w:szCs w:val="20"/>
          <w:lang w:eastAsia="es-ES_tradnl"/>
        </w:rPr>
        <w:t>.</w:t>
      </w:r>
      <w:bookmarkStart w:id="0" w:name="_GoBack"/>
      <w:bookmarkEnd w:id="0"/>
    </w:p>
    <w:p w:rsidR="00246E09" w:rsidRDefault="00465707">
      <w:pPr>
        <w:jc w:val="both"/>
      </w:pPr>
      <w:r>
        <w:rPr>
          <w:rFonts w:ascii="Arial" w:hAnsi="Arial"/>
          <w:color w:val="4C545B"/>
          <w:sz w:val="15"/>
        </w:rPr>
        <w:t>Fuente: INEGI, Encuesta Mensual de la Industria Manufacturera (EMIM), Boletín de Indicador 424/26, 16 de julio de 2026. Cifras de mayo de 2026. Próxima publicación: 17 de agosto de 2026.</w:t>
      </w:r>
    </w:p>
    <w:sectPr w:rsidR="00246E09">
      <w:headerReference w:type="default" r:id="rId11"/>
      <w:footerReference w:type="even" r:id="rId12"/>
      <w:footerReference w:type="default" r:id="rId13"/>
      <w:pgSz w:w="12240" w:h="15840"/>
      <w:pgMar w:top="1134" w:right="1701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4362" w:rsidRDefault="008B4362" w:rsidP="00E32E74">
      <w:r>
        <w:separator/>
      </w:r>
    </w:p>
  </w:endnote>
  <w:endnote w:type="continuationSeparator" w:id="0">
    <w:p w:rsidR="008B4362" w:rsidRDefault="008B4362" w:rsidP="00E32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">
    <w:altName w:val="Calibri"/>
    <w:panose1 w:val="020B0502040504020204"/>
    <w:charset w:val="00"/>
    <w:family w:val="swiss"/>
    <w:pitch w:val="variable"/>
    <w:sig w:usb0="E00882FF" w:usb1="400078FF" w:usb2="00000021" w:usb3="00000000" w:csb0="0000019F" w:csb1="00000000"/>
  </w:font>
  <w:font w:name="Montserrat Ligh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panose1 w:val="020B0604020202020204"/>
    <w:charset w:val="4D"/>
    <w:family w:val="auto"/>
    <w:pitch w:val="variable"/>
    <w:sig w:usb0="2000020F" w:usb1="00000003" w:usb2="00000000" w:usb3="00000000" w:csb0="00000197" w:csb1="00000000"/>
  </w:font>
  <w:font w:name="Univers (W1)">
    <w:altName w:val="Arial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Noto Sans Oriya">
    <w:panose1 w:val="020B0502040504020204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144527516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:rsidR="008544E1" w:rsidRDefault="008544E1" w:rsidP="00DA379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CE633D"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:rsidR="008544E1" w:rsidRDefault="008544E1" w:rsidP="008544E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D60BF7" w:rsidP="008544E1">
    <w:pPr>
      <w:ind w:right="360"/>
    </w:pPr>
    <w:r>
      <w:rPr>
        <w:noProof/>
        <w:color w:val="000000"/>
      </w:rPr>
      <w:drawing>
        <wp:anchor distT="0" distB="0" distL="114300" distR="114300" simplePos="0" relativeHeight="251660288" behindDoc="1" locked="0" layoutInCell="1" allowOverlap="1" wp14:anchorId="093B9EEA" wp14:editId="414DD1FB">
          <wp:simplePos x="0" y="0"/>
          <wp:positionH relativeFrom="page">
            <wp:posOffset>-121920</wp:posOffset>
          </wp:positionH>
          <wp:positionV relativeFrom="paragraph">
            <wp:posOffset>-45085</wp:posOffset>
          </wp:positionV>
          <wp:extent cx="7894873" cy="1293628"/>
          <wp:effectExtent l="0" t="0" r="5080" b="1905"/>
          <wp:wrapNone/>
          <wp:docPr id="441815502" name="Imagen 1" descr="Imagen que contiene Aplicación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7835576" name="Imagen 1" descr="Imagen que contiene Aplicación  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8139"/>
                  <a:stretch>
                    <a:fillRect/>
                  </a:stretch>
                </pic:blipFill>
                <pic:spPr bwMode="auto">
                  <a:xfrm>
                    <a:off x="0" y="0"/>
                    <a:ext cx="7894873" cy="129362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Pr="00E7262E" w:rsidRDefault="00DB54A2" w:rsidP="00A27EAB">
    <w:pPr>
      <w:jc w:val="right"/>
    </w:pPr>
  </w:p>
  <w:p w:rsidR="00B62B90" w:rsidRDefault="00B62B90" w:rsidP="00E32E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4362" w:rsidRDefault="008B4362" w:rsidP="00E32E74">
      <w:r>
        <w:separator/>
      </w:r>
    </w:p>
  </w:footnote>
  <w:footnote w:type="continuationSeparator" w:id="0">
    <w:p w:rsidR="008B4362" w:rsidRDefault="008B4362" w:rsidP="00E32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54A2" w:rsidRDefault="00EA49C5" w:rsidP="00E32E74">
    <w:r>
      <w:rPr>
        <w:noProof/>
      </w:rPr>
      <w:drawing>
        <wp:anchor distT="0" distB="0" distL="0" distR="0" simplePos="0" relativeHeight="251658240" behindDoc="1" locked="0" layoutInCell="1" hidden="0" allowOverlap="1" wp14:anchorId="3C194DD2" wp14:editId="09349DB6">
          <wp:simplePos x="0" y="0"/>
          <wp:positionH relativeFrom="page">
            <wp:posOffset>-12700</wp:posOffset>
          </wp:positionH>
          <wp:positionV relativeFrom="paragraph">
            <wp:posOffset>-436626</wp:posOffset>
          </wp:positionV>
          <wp:extent cx="7753939" cy="1257300"/>
          <wp:effectExtent l="0" t="0" r="6350" b="0"/>
          <wp:wrapNone/>
          <wp:docPr id="94974367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6596"/>
                  <a:stretch>
                    <a:fillRect/>
                  </a:stretch>
                </pic:blipFill>
                <pic:spPr>
                  <a:xfrm>
                    <a:off x="0" y="0"/>
                    <a:ext cx="7753939" cy="1257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B54A2" w:rsidRDefault="00DB54A2" w:rsidP="00E32E74"/>
  <w:p w:rsidR="00F859CD" w:rsidRDefault="00F859CD" w:rsidP="00E32E74"/>
  <w:p w:rsidR="00E84F6B" w:rsidRDefault="00FE6B8B" w:rsidP="00FE6B8B">
    <w:pPr>
      <w:ind w:left="-426"/>
      <w:rPr>
        <w:rFonts w:ascii="Calibri" w:hAnsi="Calibri" w:cs="Calibri"/>
        <w:b/>
        <w:bCs/>
        <w:sz w:val="22"/>
        <w:szCs w:val="22"/>
      </w:rPr>
    </w:pPr>
    <w:r>
      <w:rPr>
        <w:rFonts w:ascii="Calibri" w:hAnsi="Calibri" w:cs="Calibri"/>
        <w:b/>
        <w:bCs/>
        <w:sz w:val="22"/>
        <w:szCs w:val="22"/>
      </w:rPr>
      <w:t>Subsecretaría de Industria y Comercio</w:t>
    </w:r>
  </w:p>
  <w:p w:rsidR="00EA51AD" w:rsidRPr="00FE6B8B" w:rsidRDefault="00EA51AD" w:rsidP="00FE6B8B">
    <w:pPr>
      <w:ind w:left="-426"/>
      <w:rPr>
        <w:rFonts w:ascii="Calibri" w:hAnsi="Calibri" w:cs="Calibri"/>
        <w:b/>
        <w:bCs/>
        <w:sz w:val="22"/>
        <w:szCs w:val="22"/>
      </w:rPr>
    </w:pPr>
    <w:r>
      <w:rPr>
        <w:rFonts w:ascii="Noto Sans" w:hAnsi="Noto Sans" w:cs="Noto Sans"/>
        <w:b/>
        <w:bCs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66058"/>
    <w:multiLevelType w:val="multilevel"/>
    <w:tmpl w:val="CF0EF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0E73"/>
    <w:multiLevelType w:val="multilevel"/>
    <w:tmpl w:val="F8E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74F6"/>
    <w:multiLevelType w:val="hybridMultilevel"/>
    <w:tmpl w:val="BD24C636"/>
    <w:lvl w:ilvl="0" w:tplc="040A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09B5062C"/>
    <w:multiLevelType w:val="multilevel"/>
    <w:tmpl w:val="E0D4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B75AF"/>
    <w:multiLevelType w:val="multilevel"/>
    <w:tmpl w:val="F990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A051B"/>
    <w:multiLevelType w:val="multilevel"/>
    <w:tmpl w:val="F70C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26045"/>
    <w:multiLevelType w:val="hybridMultilevel"/>
    <w:tmpl w:val="2886F9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B1544"/>
    <w:multiLevelType w:val="multilevel"/>
    <w:tmpl w:val="1DC4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BD5"/>
    <w:multiLevelType w:val="multilevel"/>
    <w:tmpl w:val="E21E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470303"/>
    <w:multiLevelType w:val="hybridMultilevel"/>
    <w:tmpl w:val="77764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13076"/>
    <w:multiLevelType w:val="multilevel"/>
    <w:tmpl w:val="DC60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72D51"/>
    <w:multiLevelType w:val="hybridMultilevel"/>
    <w:tmpl w:val="B27E3374"/>
    <w:lvl w:ilvl="0" w:tplc="3A18FC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E7B97"/>
    <w:multiLevelType w:val="hybridMultilevel"/>
    <w:tmpl w:val="2A4A9C34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0F28E7"/>
    <w:multiLevelType w:val="multilevel"/>
    <w:tmpl w:val="B01CB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E56A7"/>
    <w:multiLevelType w:val="multilevel"/>
    <w:tmpl w:val="2B92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F13CCD"/>
    <w:multiLevelType w:val="multilevel"/>
    <w:tmpl w:val="AE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731D8"/>
    <w:multiLevelType w:val="hybridMultilevel"/>
    <w:tmpl w:val="E58CE21C"/>
    <w:lvl w:ilvl="0" w:tplc="0C348DAA">
      <w:start w:val="1"/>
      <w:numFmt w:val="upperRoman"/>
      <w:pStyle w:val="Ttulo4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270ACC"/>
    <w:multiLevelType w:val="multilevel"/>
    <w:tmpl w:val="DDD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F1DE7"/>
    <w:multiLevelType w:val="multilevel"/>
    <w:tmpl w:val="AF8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45AEF"/>
    <w:multiLevelType w:val="multilevel"/>
    <w:tmpl w:val="777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90047D"/>
    <w:multiLevelType w:val="hybridMultilevel"/>
    <w:tmpl w:val="A822CF98"/>
    <w:lvl w:ilvl="0" w:tplc="BE928576">
      <w:numFmt w:val="bullet"/>
      <w:lvlText w:val="•"/>
      <w:lvlJc w:val="left"/>
      <w:pPr>
        <w:ind w:left="504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1" w15:restartNumberingAfterBreak="0">
    <w:nsid w:val="62203C88"/>
    <w:multiLevelType w:val="multilevel"/>
    <w:tmpl w:val="CC1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8072D"/>
    <w:multiLevelType w:val="hybridMultilevel"/>
    <w:tmpl w:val="05087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157499"/>
    <w:multiLevelType w:val="multilevel"/>
    <w:tmpl w:val="C5827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6C00BF"/>
    <w:multiLevelType w:val="multilevel"/>
    <w:tmpl w:val="981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7327C8"/>
    <w:multiLevelType w:val="hybridMultilevel"/>
    <w:tmpl w:val="4BBA90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A16731"/>
    <w:multiLevelType w:val="multilevel"/>
    <w:tmpl w:val="0A64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5585F"/>
    <w:multiLevelType w:val="multilevel"/>
    <w:tmpl w:val="EE74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F537A"/>
    <w:multiLevelType w:val="multilevel"/>
    <w:tmpl w:val="4F3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536124"/>
    <w:multiLevelType w:val="multilevel"/>
    <w:tmpl w:val="F65C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1B2C3D"/>
    <w:multiLevelType w:val="hybridMultilevel"/>
    <w:tmpl w:val="7A1B2C3E"/>
    <w:lvl w:ilvl="0" w:tplc="F266E762">
      <w:start w:val="1"/>
      <w:numFmt w:val="bullet"/>
      <w:lvlText w:val=""/>
      <w:lvlJc w:val="left"/>
      <w:pPr>
        <w:ind w:left="432" w:hanging="288"/>
      </w:pPr>
      <w:rPr>
        <w:rFonts w:ascii="Symbol" w:hAnsi="Symbol" w:hint="default"/>
      </w:rPr>
    </w:lvl>
    <w:lvl w:ilvl="1" w:tplc="1A44F988">
      <w:numFmt w:val="decimal"/>
      <w:lvlText w:val=""/>
      <w:lvlJc w:val="left"/>
    </w:lvl>
    <w:lvl w:ilvl="2" w:tplc="784A313A">
      <w:numFmt w:val="decimal"/>
      <w:lvlText w:val=""/>
      <w:lvlJc w:val="left"/>
    </w:lvl>
    <w:lvl w:ilvl="3" w:tplc="E940B9BA">
      <w:numFmt w:val="decimal"/>
      <w:lvlText w:val=""/>
      <w:lvlJc w:val="left"/>
    </w:lvl>
    <w:lvl w:ilvl="4" w:tplc="CE9E15B0">
      <w:numFmt w:val="decimal"/>
      <w:lvlText w:val=""/>
      <w:lvlJc w:val="left"/>
    </w:lvl>
    <w:lvl w:ilvl="5" w:tplc="803CE1A8">
      <w:numFmt w:val="decimal"/>
      <w:lvlText w:val=""/>
      <w:lvlJc w:val="left"/>
    </w:lvl>
    <w:lvl w:ilvl="6" w:tplc="7EBEE4BC">
      <w:numFmt w:val="decimal"/>
      <w:lvlText w:val=""/>
      <w:lvlJc w:val="left"/>
    </w:lvl>
    <w:lvl w:ilvl="7" w:tplc="AD3C62DA">
      <w:numFmt w:val="decimal"/>
      <w:lvlText w:val=""/>
      <w:lvlJc w:val="left"/>
    </w:lvl>
    <w:lvl w:ilvl="8" w:tplc="C35E76F4">
      <w:numFmt w:val="decimal"/>
      <w:lvlText w:val=""/>
      <w:lvlJc w:val="left"/>
    </w:lvl>
  </w:abstractNum>
  <w:abstractNum w:abstractNumId="31" w15:restartNumberingAfterBreak="0">
    <w:nsid w:val="7B7C15D2"/>
    <w:multiLevelType w:val="hybridMultilevel"/>
    <w:tmpl w:val="9E9411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7C1AA1"/>
    <w:multiLevelType w:val="multilevel"/>
    <w:tmpl w:val="749C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19"/>
  </w:num>
  <w:num w:numId="4">
    <w:abstractNumId w:val="32"/>
  </w:num>
  <w:num w:numId="5">
    <w:abstractNumId w:val="26"/>
  </w:num>
  <w:num w:numId="6">
    <w:abstractNumId w:val="10"/>
  </w:num>
  <w:num w:numId="7">
    <w:abstractNumId w:val="28"/>
  </w:num>
  <w:num w:numId="8">
    <w:abstractNumId w:val="8"/>
  </w:num>
  <w:num w:numId="9">
    <w:abstractNumId w:val="5"/>
  </w:num>
  <w:num w:numId="10">
    <w:abstractNumId w:val="15"/>
  </w:num>
  <w:num w:numId="11">
    <w:abstractNumId w:val="18"/>
  </w:num>
  <w:num w:numId="12">
    <w:abstractNumId w:val="17"/>
  </w:num>
  <w:num w:numId="13">
    <w:abstractNumId w:val="7"/>
  </w:num>
  <w:num w:numId="14">
    <w:abstractNumId w:val="13"/>
  </w:num>
  <w:num w:numId="15">
    <w:abstractNumId w:val="29"/>
  </w:num>
  <w:num w:numId="16">
    <w:abstractNumId w:val="0"/>
  </w:num>
  <w:num w:numId="17">
    <w:abstractNumId w:val="23"/>
  </w:num>
  <w:num w:numId="18">
    <w:abstractNumId w:val="14"/>
  </w:num>
  <w:num w:numId="19">
    <w:abstractNumId w:val="22"/>
  </w:num>
  <w:num w:numId="20">
    <w:abstractNumId w:val="25"/>
  </w:num>
  <w:num w:numId="21">
    <w:abstractNumId w:val="11"/>
  </w:num>
  <w:num w:numId="22">
    <w:abstractNumId w:val="1"/>
  </w:num>
  <w:num w:numId="23">
    <w:abstractNumId w:val="21"/>
  </w:num>
  <w:num w:numId="24">
    <w:abstractNumId w:val="24"/>
  </w:num>
  <w:num w:numId="25">
    <w:abstractNumId w:val="3"/>
  </w:num>
  <w:num w:numId="26">
    <w:abstractNumId w:val="4"/>
  </w:num>
  <w:num w:numId="27">
    <w:abstractNumId w:val="27"/>
  </w:num>
  <w:num w:numId="28">
    <w:abstractNumId w:val="9"/>
  </w:num>
  <w:num w:numId="29">
    <w:abstractNumId w:val="31"/>
  </w:num>
  <w:num w:numId="30">
    <w:abstractNumId w:val="30"/>
  </w:num>
  <w:num w:numId="31">
    <w:abstractNumId w:val="2"/>
  </w:num>
  <w:num w:numId="32">
    <w:abstractNumId w:val="20"/>
  </w:num>
  <w:num w:numId="33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7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94C"/>
    <w:rsid w:val="00002027"/>
    <w:rsid w:val="00003EA0"/>
    <w:rsid w:val="0000545B"/>
    <w:rsid w:val="000258F9"/>
    <w:rsid w:val="00025A89"/>
    <w:rsid w:val="00030E8C"/>
    <w:rsid w:val="0003237D"/>
    <w:rsid w:val="000377A6"/>
    <w:rsid w:val="00041BD6"/>
    <w:rsid w:val="000438FF"/>
    <w:rsid w:val="00043F02"/>
    <w:rsid w:val="00046781"/>
    <w:rsid w:val="00050586"/>
    <w:rsid w:val="00054FB9"/>
    <w:rsid w:val="000571C6"/>
    <w:rsid w:val="000A3591"/>
    <w:rsid w:val="000A46AA"/>
    <w:rsid w:val="000A71DD"/>
    <w:rsid w:val="000D126D"/>
    <w:rsid w:val="000D5B48"/>
    <w:rsid w:val="000E1551"/>
    <w:rsid w:val="000E263D"/>
    <w:rsid w:val="001106F9"/>
    <w:rsid w:val="00113971"/>
    <w:rsid w:val="00113ADD"/>
    <w:rsid w:val="00136317"/>
    <w:rsid w:val="0013733B"/>
    <w:rsid w:val="00153B11"/>
    <w:rsid w:val="001544FC"/>
    <w:rsid w:val="00155DFB"/>
    <w:rsid w:val="0018050E"/>
    <w:rsid w:val="00193DC0"/>
    <w:rsid w:val="00197050"/>
    <w:rsid w:val="00197ADD"/>
    <w:rsid w:val="001A6402"/>
    <w:rsid w:val="001B2972"/>
    <w:rsid w:val="001B64D3"/>
    <w:rsid w:val="001C2D90"/>
    <w:rsid w:val="001C5436"/>
    <w:rsid w:val="001D27D6"/>
    <w:rsid w:val="001D4DE9"/>
    <w:rsid w:val="001D7690"/>
    <w:rsid w:val="001E072F"/>
    <w:rsid w:val="001F561B"/>
    <w:rsid w:val="00204B82"/>
    <w:rsid w:val="00220619"/>
    <w:rsid w:val="002360E8"/>
    <w:rsid w:val="00246E09"/>
    <w:rsid w:val="00254C67"/>
    <w:rsid w:val="00290C17"/>
    <w:rsid w:val="00294C95"/>
    <w:rsid w:val="002C459E"/>
    <w:rsid w:val="002E0889"/>
    <w:rsid w:val="002E131D"/>
    <w:rsid w:val="002E3C28"/>
    <w:rsid w:val="002F4E7A"/>
    <w:rsid w:val="00320CA1"/>
    <w:rsid w:val="00341FF9"/>
    <w:rsid w:val="00344789"/>
    <w:rsid w:val="00360F50"/>
    <w:rsid w:val="0036312B"/>
    <w:rsid w:val="003919F7"/>
    <w:rsid w:val="003B7AF4"/>
    <w:rsid w:val="003E7119"/>
    <w:rsid w:val="004135C9"/>
    <w:rsid w:val="00424E7E"/>
    <w:rsid w:val="0042728A"/>
    <w:rsid w:val="00431758"/>
    <w:rsid w:val="004362C5"/>
    <w:rsid w:val="00437209"/>
    <w:rsid w:val="00465707"/>
    <w:rsid w:val="004676E4"/>
    <w:rsid w:val="00470257"/>
    <w:rsid w:val="0047264F"/>
    <w:rsid w:val="004773F7"/>
    <w:rsid w:val="004869A7"/>
    <w:rsid w:val="00486FFD"/>
    <w:rsid w:val="00491EE7"/>
    <w:rsid w:val="0049299F"/>
    <w:rsid w:val="00495548"/>
    <w:rsid w:val="004A74A4"/>
    <w:rsid w:val="004A78F6"/>
    <w:rsid w:val="004B221D"/>
    <w:rsid w:val="004C2B18"/>
    <w:rsid w:val="004D104B"/>
    <w:rsid w:val="004D2236"/>
    <w:rsid w:val="004E388B"/>
    <w:rsid w:val="004E776E"/>
    <w:rsid w:val="004F3817"/>
    <w:rsid w:val="004F590A"/>
    <w:rsid w:val="0050130F"/>
    <w:rsid w:val="00502F3D"/>
    <w:rsid w:val="005267AC"/>
    <w:rsid w:val="00527411"/>
    <w:rsid w:val="005279B6"/>
    <w:rsid w:val="00550647"/>
    <w:rsid w:val="00580B12"/>
    <w:rsid w:val="00587300"/>
    <w:rsid w:val="00591B3A"/>
    <w:rsid w:val="00593514"/>
    <w:rsid w:val="005A57CC"/>
    <w:rsid w:val="005D105A"/>
    <w:rsid w:val="00612102"/>
    <w:rsid w:val="00625F36"/>
    <w:rsid w:val="00646C52"/>
    <w:rsid w:val="00650C79"/>
    <w:rsid w:val="00661ED1"/>
    <w:rsid w:val="006626AF"/>
    <w:rsid w:val="00662863"/>
    <w:rsid w:val="00667278"/>
    <w:rsid w:val="00671DD9"/>
    <w:rsid w:val="0068031A"/>
    <w:rsid w:val="00697E37"/>
    <w:rsid w:val="006A1F60"/>
    <w:rsid w:val="006B308C"/>
    <w:rsid w:val="006D3942"/>
    <w:rsid w:val="006F4646"/>
    <w:rsid w:val="00705DC8"/>
    <w:rsid w:val="007471F1"/>
    <w:rsid w:val="007759A6"/>
    <w:rsid w:val="007816C7"/>
    <w:rsid w:val="0078392B"/>
    <w:rsid w:val="0079704D"/>
    <w:rsid w:val="007B7560"/>
    <w:rsid w:val="007D06F1"/>
    <w:rsid w:val="007D3385"/>
    <w:rsid w:val="007F60B5"/>
    <w:rsid w:val="00810EC6"/>
    <w:rsid w:val="0082026B"/>
    <w:rsid w:val="00830352"/>
    <w:rsid w:val="00832176"/>
    <w:rsid w:val="0083711C"/>
    <w:rsid w:val="008544E1"/>
    <w:rsid w:val="0086418A"/>
    <w:rsid w:val="00864D64"/>
    <w:rsid w:val="00864E21"/>
    <w:rsid w:val="00887FBD"/>
    <w:rsid w:val="00897B8A"/>
    <w:rsid w:val="008A56B9"/>
    <w:rsid w:val="008B36BF"/>
    <w:rsid w:val="008B4362"/>
    <w:rsid w:val="008B5764"/>
    <w:rsid w:val="008D09CA"/>
    <w:rsid w:val="008F0109"/>
    <w:rsid w:val="008F2DC2"/>
    <w:rsid w:val="008F54BD"/>
    <w:rsid w:val="00927F12"/>
    <w:rsid w:val="00930605"/>
    <w:rsid w:val="009667A4"/>
    <w:rsid w:val="00981CAC"/>
    <w:rsid w:val="00994331"/>
    <w:rsid w:val="00995175"/>
    <w:rsid w:val="00997820"/>
    <w:rsid w:val="009B2B04"/>
    <w:rsid w:val="009D1660"/>
    <w:rsid w:val="009D513B"/>
    <w:rsid w:val="009D662C"/>
    <w:rsid w:val="009E6351"/>
    <w:rsid w:val="00A25E9B"/>
    <w:rsid w:val="00A27EAB"/>
    <w:rsid w:val="00A34818"/>
    <w:rsid w:val="00A503BD"/>
    <w:rsid w:val="00A73CF4"/>
    <w:rsid w:val="00A84A08"/>
    <w:rsid w:val="00A8694C"/>
    <w:rsid w:val="00A87331"/>
    <w:rsid w:val="00A91676"/>
    <w:rsid w:val="00AA572B"/>
    <w:rsid w:val="00AA5821"/>
    <w:rsid w:val="00AE45C4"/>
    <w:rsid w:val="00B00ACC"/>
    <w:rsid w:val="00B109F8"/>
    <w:rsid w:val="00B273F4"/>
    <w:rsid w:val="00B62B90"/>
    <w:rsid w:val="00B64AE2"/>
    <w:rsid w:val="00B72087"/>
    <w:rsid w:val="00B93C35"/>
    <w:rsid w:val="00B94BFE"/>
    <w:rsid w:val="00BA7AF6"/>
    <w:rsid w:val="00BB1DC9"/>
    <w:rsid w:val="00BB4307"/>
    <w:rsid w:val="00BC0BB8"/>
    <w:rsid w:val="00BC0F57"/>
    <w:rsid w:val="00BD38B1"/>
    <w:rsid w:val="00BE2C85"/>
    <w:rsid w:val="00BF5F01"/>
    <w:rsid w:val="00C0087D"/>
    <w:rsid w:val="00C122A4"/>
    <w:rsid w:val="00C176D8"/>
    <w:rsid w:val="00C2663E"/>
    <w:rsid w:val="00C33446"/>
    <w:rsid w:val="00C42943"/>
    <w:rsid w:val="00C43081"/>
    <w:rsid w:val="00C619F7"/>
    <w:rsid w:val="00C62995"/>
    <w:rsid w:val="00C639EA"/>
    <w:rsid w:val="00C65A1B"/>
    <w:rsid w:val="00C66897"/>
    <w:rsid w:val="00C821D5"/>
    <w:rsid w:val="00C9207B"/>
    <w:rsid w:val="00CA49C6"/>
    <w:rsid w:val="00CA567C"/>
    <w:rsid w:val="00CB38B3"/>
    <w:rsid w:val="00CB70C5"/>
    <w:rsid w:val="00CC7915"/>
    <w:rsid w:val="00CD4A23"/>
    <w:rsid w:val="00CD7369"/>
    <w:rsid w:val="00CE633D"/>
    <w:rsid w:val="00D10BEE"/>
    <w:rsid w:val="00D2057E"/>
    <w:rsid w:val="00D2376F"/>
    <w:rsid w:val="00D23B89"/>
    <w:rsid w:val="00D263C6"/>
    <w:rsid w:val="00D60BF7"/>
    <w:rsid w:val="00D70252"/>
    <w:rsid w:val="00D70D18"/>
    <w:rsid w:val="00D83A01"/>
    <w:rsid w:val="00D90AAA"/>
    <w:rsid w:val="00D92277"/>
    <w:rsid w:val="00D974FD"/>
    <w:rsid w:val="00DA0C65"/>
    <w:rsid w:val="00DB54A2"/>
    <w:rsid w:val="00DC152E"/>
    <w:rsid w:val="00DC5509"/>
    <w:rsid w:val="00DD2599"/>
    <w:rsid w:val="00DD4B7F"/>
    <w:rsid w:val="00DD6CF3"/>
    <w:rsid w:val="00DE76A7"/>
    <w:rsid w:val="00E0538C"/>
    <w:rsid w:val="00E066F2"/>
    <w:rsid w:val="00E1407E"/>
    <w:rsid w:val="00E32E74"/>
    <w:rsid w:val="00E56F00"/>
    <w:rsid w:val="00E61388"/>
    <w:rsid w:val="00E7262E"/>
    <w:rsid w:val="00E76409"/>
    <w:rsid w:val="00E84F6B"/>
    <w:rsid w:val="00E94CD4"/>
    <w:rsid w:val="00EA2751"/>
    <w:rsid w:val="00EA49C5"/>
    <w:rsid w:val="00EA51AD"/>
    <w:rsid w:val="00EB1C36"/>
    <w:rsid w:val="00EB1FB8"/>
    <w:rsid w:val="00EC4BC7"/>
    <w:rsid w:val="00ED0B2E"/>
    <w:rsid w:val="00F0340D"/>
    <w:rsid w:val="00F05F40"/>
    <w:rsid w:val="00F06026"/>
    <w:rsid w:val="00F16AAF"/>
    <w:rsid w:val="00F231FC"/>
    <w:rsid w:val="00F367B6"/>
    <w:rsid w:val="00F37BF3"/>
    <w:rsid w:val="00F43BA1"/>
    <w:rsid w:val="00F45090"/>
    <w:rsid w:val="00F53CD8"/>
    <w:rsid w:val="00F715E8"/>
    <w:rsid w:val="00F73ED8"/>
    <w:rsid w:val="00F83769"/>
    <w:rsid w:val="00F859CD"/>
    <w:rsid w:val="00F95ABF"/>
    <w:rsid w:val="00FA6B54"/>
    <w:rsid w:val="00FB178F"/>
    <w:rsid w:val="00FD0DC2"/>
    <w:rsid w:val="00FE2C1E"/>
    <w:rsid w:val="00FE6B8B"/>
    <w:rsid w:val="00FF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D2A3A8"/>
  <w15:docId w15:val="{788DCC13-AF70-4DF6-8663-0D0C6439A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4CD4"/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next w:val="Normal"/>
    <w:uiPriority w:val="9"/>
    <w:qFormat/>
    <w:rsid w:val="00CD7369"/>
    <w:pPr>
      <w:jc w:val="center"/>
      <w:outlineLvl w:val="0"/>
    </w:pPr>
    <w:rPr>
      <w:rFonts w:eastAsia="Noto Sans" w:cs="Noto Sans"/>
      <w:b/>
      <w:color w:val="670E35"/>
    </w:rPr>
  </w:style>
  <w:style w:type="paragraph" w:styleId="Ttulo2">
    <w:name w:val="heading 2"/>
    <w:basedOn w:val="Normal"/>
    <w:next w:val="Normal"/>
    <w:uiPriority w:val="9"/>
    <w:unhideWhenUsed/>
    <w:qFormat/>
    <w:rsid w:val="00D70252"/>
    <w:pPr>
      <w:jc w:val="center"/>
      <w:outlineLvl w:val="1"/>
    </w:pPr>
    <w:rPr>
      <w:rFonts w:eastAsia="Montserrat Light" w:cs="Montserrat Light"/>
      <w:b/>
      <w:color w:val="666666"/>
    </w:rPr>
  </w:style>
  <w:style w:type="paragraph" w:styleId="Ttulo3">
    <w:name w:val="heading 3"/>
    <w:basedOn w:val="Normal"/>
    <w:next w:val="Normal"/>
    <w:uiPriority w:val="9"/>
    <w:unhideWhenUsed/>
    <w:qFormat/>
    <w:rsid w:val="00CD7369"/>
    <w:pPr>
      <w:shd w:val="clear" w:color="auto" w:fill="670E35"/>
      <w:outlineLvl w:val="2"/>
    </w:pPr>
    <w:rPr>
      <w:b/>
      <w:color w:val="FFFFFF"/>
    </w:rPr>
  </w:style>
  <w:style w:type="paragraph" w:styleId="Ttulo4">
    <w:name w:val="heading 4"/>
    <w:basedOn w:val="Normal"/>
    <w:next w:val="Normal"/>
    <w:uiPriority w:val="9"/>
    <w:unhideWhenUsed/>
    <w:qFormat/>
    <w:rsid w:val="00D70252"/>
    <w:pPr>
      <w:keepNext/>
      <w:keepLines/>
      <w:numPr>
        <w:numId w:val="1"/>
      </w:numPr>
      <w:spacing w:before="240" w:after="40"/>
      <w:ind w:left="709" w:hanging="709"/>
      <w:outlineLvl w:val="3"/>
    </w:pPr>
    <w:rPr>
      <w:b/>
    </w:rPr>
  </w:style>
  <w:style w:type="paragraph" w:styleId="Ttulo5">
    <w:name w:val="heading 5"/>
    <w:basedOn w:val="Ttulo2"/>
    <w:next w:val="Normal"/>
    <w:uiPriority w:val="9"/>
    <w:unhideWhenUsed/>
    <w:qFormat/>
    <w:rsid w:val="00D70252"/>
    <w:pPr>
      <w:jc w:val="right"/>
      <w:outlineLvl w:val="4"/>
    </w:pPr>
    <w:rPr>
      <w:b w:val="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84662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1E119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E119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E119D"/>
    <w:rPr>
      <w:rFonts w:ascii="Segoe UI" w:eastAsiaTheme="minorEastAsia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021984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8D09CA"/>
    <w:rPr>
      <w:b/>
      <w:bCs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09CA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09CA"/>
    <w:rPr>
      <w:rFonts w:ascii="Montserrat" w:eastAsia="Montserrat" w:hAnsi="Montserrat" w:cs="Montserrat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8D09CA"/>
    <w:rPr>
      <w:vertAlign w:val="superscript"/>
    </w:rPr>
  </w:style>
  <w:style w:type="table" w:styleId="Tablaconcuadrcula">
    <w:name w:val="Table Grid"/>
    <w:basedOn w:val="Tablanormal"/>
    <w:uiPriority w:val="39"/>
    <w:rsid w:val="00E764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3">
    <w:name w:val="Grid Table 4 Accent 3"/>
    <w:basedOn w:val="Tablanormal"/>
    <w:uiPriority w:val="49"/>
    <w:rsid w:val="00C176D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810EC6"/>
    <w:rPr>
      <w:color w:val="666666"/>
    </w:rPr>
  </w:style>
  <w:style w:type="character" w:styleId="Mencinsinresolver">
    <w:name w:val="Unresolved Mention"/>
    <w:basedOn w:val="Fuentedeprrafopredeter"/>
    <w:uiPriority w:val="99"/>
    <w:semiHidden/>
    <w:unhideWhenUsed/>
    <w:rsid w:val="0013733B"/>
    <w:rPr>
      <w:color w:val="605E5C"/>
      <w:shd w:val="clear" w:color="auto" w:fill="E1DFDD"/>
    </w:rPr>
  </w:style>
  <w:style w:type="paragraph" w:customStyle="1" w:styleId="n01">
    <w:name w:val="n01"/>
    <w:basedOn w:val="Normal"/>
    <w:rsid w:val="00431758"/>
    <w:pPr>
      <w:keepLines/>
      <w:spacing w:before="240"/>
      <w:ind w:left="720" w:hanging="720"/>
    </w:pPr>
    <w:rPr>
      <w:rFonts w:ascii="Univers (W1)" w:hAnsi="Univers (W1)" w:cs="Arial"/>
      <w:color w:val="800080"/>
      <w:lang w:val="es-ES_tradnl" w:eastAsia="es-ES"/>
    </w:rPr>
  </w:style>
  <w:style w:type="table" w:styleId="Tablaconcuadrcula1clara-nfasis6">
    <w:name w:val="Grid Table 1 Light Accent 6"/>
    <w:basedOn w:val="Tablanormal"/>
    <w:uiPriority w:val="46"/>
    <w:rsid w:val="00054FB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054FB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8544E1"/>
  </w:style>
  <w:style w:type="character" w:styleId="Hipervnculovisitado">
    <w:name w:val="FollowedHyperlink"/>
    <w:basedOn w:val="Fuentedeprrafopredeter"/>
    <w:uiPriority w:val="99"/>
    <w:semiHidden/>
    <w:unhideWhenUsed/>
    <w:rsid w:val="00502F3D"/>
    <w:rPr>
      <w:color w:val="96607D"/>
      <w:u w:val="single"/>
    </w:rPr>
  </w:style>
  <w:style w:type="paragraph" w:customStyle="1" w:styleId="msonormal0">
    <w:name w:val="msonormal"/>
    <w:basedOn w:val="Normal"/>
    <w:rsid w:val="00502F3D"/>
    <w:pPr>
      <w:spacing w:before="100" w:beforeAutospacing="1" w:after="100" w:afterAutospacing="1"/>
    </w:pPr>
  </w:style>
  <w:style w:type="paragraph" w:customStyle="1" w:styleId="xl65">
    <w:name w:val="xl65"/>
    <w:basedOn w:val="Normal"/>
    <w:rsid w:val="00502F3D"/>
    <w:pPr>
      <w:spacing w:before="100" w:beforeAutospacing="1" w:after="100" w:afterAutospacing="1"/>
    </w:pPr>
  </w:style>
  <w:style w:type="paragraph" w:customStyle="1" w:styleId="xl66">
    <w:name w:val="xl66"/>
    <w:basedOn w:val="Normal"/>
    <w:rsid w:val="00502F3D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table" w:styleId="Tablaconcuadrcula4-nfasis6">
    <w:name w:val="Grid Table 4 Accent 6"/>
    <w:basedOn w:val="Tablanormal"/>
    <w:uiPriority w:val="49"/>
    <w:rsid w:val="00502F3D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customStyle="1" w:styleId="xl67">
    <w:name w:val="xl67"/>
    <w:basedOn w:val="Normal"/>
    <w:rsid w:val="00E94CD4"/>
    <w:pPr>
      <w:spacing w:before="100" w:beforeAutospacing="1" w:after="100" w:afterAutospacing="1"/>
    </w:pPr>
  </w:style>
  <w:style w:type="paragraph" w:customStyle="1" w:styleId="xl68">
    <w:name w:val="xl68"/>
    <w:basedOn w:val="Normal"/>
    <w:rsid w:val="00E94CD4"/>
    <w:pPr>
      <w:spacing w:before="100" w:beforeAutospacing="1" w:after="100" w:afterAutospacing="1"/>
    </w:pPr>
    <w:rPr>
      <w:rFonts w:ascii="Calibri" w:hAnsi="Calibri" w:cs="Calibri"/>
      <w:color w:val="000000"/>
    </w:rPr>
  </w:style>
  <w:style w:type="paragraph" w:customStyle="1" w:styleId="pdq2pgselectionanchorcontainer">
    <w:name w:val="pdq2pg_selectionanchorcontainer"/>
    <w:basedOn w:val="Normal"/>
    <w:rsid w:val="00360F50"/>
    <w:pPr>
      <w:spacing w:before="100" w:beforeAutospacing="1" w:after="100" w:afterAutospacing="1"/>
    </w:pPr>
    <w:rPr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2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9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4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201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1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42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2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3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9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0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9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7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7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92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9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7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6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6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14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357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2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FpWPCfcsQFbrBypFpD4BWtRFLg==">CgMxLjA4AHIhMWpKWC1ZV1ZyUWxfelVTd2oxcUhWdVVqaW9sTHRWRGpD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E650B1B-CCB5-DC4F-AE51-B1F50CB890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599</Words>
  <Characters>3299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Ximena Escobedo Juárez</dc:creator>
  <cp:lastModifiedBy>maria eugenia garcia macias</cp:lastModifiedBy>
  <cp:revision>28</cp:revision>
  <cp:lastPrinted>2026-06-17T17:31:00Z</cp:lastPrinted>
  <dcterms:created xsi:type="dcterms:W3CDTF">2026-06-17T17:31:00Z</dcterms:created>
  <dcterms:modified xsi:type="dcterms:W3CDTF">2026-07-16T16:21:00Z</dcterms:modified>
</cp:coreProperties>
</file>