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B1507" w14:textId="7FD2ED55" w:rsidR="00981DEF" w:rsidRPr="004A1AF8" w:rsidRDefault="00981DEF" w:rsidP="009D770D">
      <w:pPr>
        <w:spacing w:before="160" w:after="40"/>
        <w:jc w:val="both"/>
        <w:rPr>
          <w:rFonts w:ascii="Noto Sans" w:hAnsi="Noto Sans" w:cs="Noto Sans"/>
          <w:color w:val="4C545B"/>
          <w:sz w:val="2"/>
          <w:szCs w:val="2"/>
          <w:lang w:val="es-ES"/>
        </w:rPr>
      </w:pPr>
    </w:p>
    <w:tbl>
      <w:tblPr>
        <w:tblStyle w:val="Tablaconcuadrcula"/>
        <w:tblW w:w="0" w:type="auto"/>
        <w:shd w:val="clear" w:color="auto" w:fill="10312B"/>
        <w:tblLook w:val="04A0" w:firstRow="1" w:lastRow="0" w:firstColumn="1" w:lastColumn="0" w:noHBand="0" w:noVBand="1"/>
      </w:tblPr>
      <w:tblGrid>
        <w:gridCol w:w="5524"/>
      </w:tblGrid>
      <w:tr w:rsidR="004A1AF8" w:rsidRPr="008B5571" w14:paraId="0499F0A2" w14:textId="77777777" w:rsidTr="004A1AF8">
        <w:tc>
          <w:tcPr>
            <w:tcW w:w="5524" w:type="dxa"/>
            <w:shd w:val="clear" w:color="auto" w:fill="10312B"/>
          </w:tcPr>
          <w:p w14:paraId="04567A2E" w14:textId="08ED1D6E" w:rsidR="004A1AF8" w:rsidRPr="008B5571" w:rsidRDefault="004A1AF8" w:rsidP="006D66E2">
            <w:pP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</w:pP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Boletín de Indicador del </w:t>
            </w:r>
            <w: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>3</w:t>
            </w: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 de </w:t>
            </w:r>
            <w: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>agosto</w:t>
            </w: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 de 2026 | INEGI</w:t>
            </w:r>
          </w:p>
        </w:tc>
      </w:tr>
    </w:tbl>
    <w:p w14:paraId="0B21DA09" w14:textId="77777777" w:rsidR="004A1AF8" w:rsidRPr="004A1AF8" w:rsidRDefault="004A1AF8" w:rsidP="004A1AF8">
      <w:pPr>
        <w:spacing w:after="40"/>
        <w:jc w:val="both"/>
        <w:rPr>
          <w:rFonts w:ascii="Noto Sans" w:hAnsi="Noto Sans" w:cs="Noto Sans"/>
          <w:color w:val="000000"/>
          <w:sz w:val="8"/>
          <w:szCs w:val="8"/>
        </w:rPr>
      </w:pPr>
    </w:p>
    <w:tbl>
      <w:tblPr>
        <w:tblW w:w="8828" w:type="dxa"/>
        <w:shd w:val="clear" w:color="auto" w:fill="235B4C"/>
        <w:tblLayout w:type="fixed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A1AF8" w14:paraId="41F3B734" w14:textId="77777777" w:rsidTr="006D66E2">
        <w:tc>
          <w:tcPr>
            <w:tcW w:w="8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14:paraId="2DF3E4D0" w14:textId="77777777" w:rsidR="004A1AF8" w:rsidRDefault="004A1AF8" w:rsidP="006D66E2">
            <w:pPr>
              <w:jc w:val="center"/>
            </w:pPr>
            <w:r>
              <w:rPr>
                <w:rFonts w:ascii="Noto Sans" w:hAnsi="Noto Sans" w:cs="Noto Sans"/>
                <w:color w:val="FFFFFF"/>
                <w:sz w:val="20"/>
              </w:rPr>
              <w:t>Encuesta Mensual de Opinión Empresarial</w:t>
            </w:r>
          </w:p>
          <w:p w14:paraId="3F3A7DAA" w14:textId="217ED47A" w:rsidR="004A1AF8" w:rsidRDefault="004A1AF8" w:rsidP="004A1AF8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40"/>
              </w:rPr>
              <w:t>EMOE · Julio 2026</w:t>
            </w:r>
          </w:p>
        </w:tc>
      </w:tr>
      <w:tr w:rsidR="004A1AF8" w14:paraId="3AA01220" w14:textId="77777777" w:rsidTr="006D66E2">
        <w:trPr>
          <w:trHeight w:val="1331"/>
        </w:trPr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4F4F2"/>
          </w:tcPr>
          <w:p w14:paraId="3DC82008" w14:textId="77777777" w:rsidR="004A1AF8" w:rsidRPr="00A45FB8" w:rsidRDefault="004A1AF8" w:rsidP="006D66E2">
            <w:pPr>
              <w:spacing w:before="60"/>
              <w:jc w:val="center"/>
              <w:rPr>
                <w:sz w:val="21"/>
              </w:rPr>
            </w:pPr>
            <w:r w:rsidRPr="00A45FB8">
              <w:rPr>
                <w:rFonts w:ascii="Noto Sans" w:hAnsi="Noto Sans" w:cs="Noto Sans"/>
                <w:b/>
                <w:color w:val="8C8C8C"/>
                <w:sz w:val="15"/>
              </w:rPr>
              <w:t>TENDENCIA EMPRESARIAL GLOBAL</w:t>
            </w:r>
          </w:p>
          <w:p w14:paraId="41819A17" w14:textId="77777777" w:rsidR="004A1AF8" w:rsidRPr="00DF1756" w:rsidRDefault="004A1AF8" w:rsidP="006D66E2">
            <w:pPr>
              <w:jc w:val="center"/>
            </w:pPr>
            <w:r>
              <w:rPr>
                <w:rFonts w:ascii="Noto Sans" w:hAnsi="Noto Sans" w:cs="Noto Sans"/>
                <w:b/>
                <w:color w:val="006341"/>
                <w:sz w:val="72"/>
              </w:rPr>
              <w:t>51.2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4F4F3"/>
          </w:tcPr>
          <w:p w14:paraId="24012D43" w14:textId="77777777" w:rsidR="004A1AF8" w:rsidRPr="00DF1756" w:rsidRDefault="004A1AF8" w:rsidP="006D66E2">
            <w:pPr>
              <w:spacing w:before="60"/>
              <w:jc w:val="center"/>
              <w:rPr>
                <w:rFonts w:ascii="Noto Sans" w:hAnsi="Noto Sans" w:cs="Noto Sans"/>
                <w:b/>
                <w:color w:val="8C8C8C"/>
                <w:sz w:val="15"/>
              </w:rPr>
            </w:pPr>
            <w:r w:rsidRPr="00DF1756">
              <w:rPr>
                <w:rFonts w:ascii="Noto Sans" w:hAnsi="Noto Sans" w:cs="Noto Sans"/>
                <w:b/>
                <w:color w:val="8C8C8C"/>
                <w:sz w:val="15"/>
              </w:rPr>
              <w:t>CONFIANZA EMPRESARIAL GLOBAL</w:t>
            </w:r>
          </w:p>
          <w:p w14:paraId="5C323310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color w:val="10312B"/>
                <w:sz w:val="72"/>
              </w:rPr>
            </w:pPr>
            <w:r w:rsidRPr="004A1AF8">
              <w:rPr>
                <w:rFonts w:ascii="Noto Sans" w:hAnsi="Noto Sans" w:cs="Noto Sans"/>
                <w:b/>
                <w:color w:val="006341"/>
                <w:sz w:val="72"/>
              </w:rPr>
              <w:t>48.2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4F4F2"/>
          </w:tcPr>
          <w:p w14:paraId="0CDDD0D8" w14:textId="77777777" w:rsidR="004A1AF8" w:rsidRPr="00A45FB8" w:rsidRDefault="004A1AF8" w:rsidP="006D66E2">
            <w:pPr>
              <w:spacing w:before="60"/>
              <w:jc w:val="center"/>
              <w:rPr>
                <w:sz w:val="21"/>
              </w:rPr>
            </w:pPr>
            <w:r w:rsidRPr="00A45FB8">
              <w:rPr>
                <w:rFonts w:ascii="Noto Sans" w:hAnsi="Noto Sans" w:cs="Noto Sans"/>
                <w:b/>
                <w:color w:val="8C8C8C"/>
                <w:sz w:val="15"/>
              </w:rPr>
              <w:t>PEDIDOS MANUFACTUREROS</w:t>
            </w:r>
          </w:p>
          <w:p w14:paraId="34A1B4C1" w14:textId="77777777" w:rsidR="004A1AF8" w:rsidRPr="00DF1756" w:rsidRDefault="004A1AF8" w:rsidP="006D66E2">
            <w:pPr>
              <w:spacing w:before="60"/>
              <w:jc w:val="center"/>
            </w:pPr>
            <w:r w:rsidRPr="004A1AF8">
              <w:rPr>
                <w:rFonts w:ascii="Noto Sans" w:hAnsi="Noto Sans" w:cs="Noto Sans"/>
                <w:b/>
                <w:color w:val="006341"/>
                <w:sz w:val="72"/>
              </w:rPr>
              <w:t>50.0</w:t>
            </w:r>
          </w:p>
        </w:tc>
      </w:tr>
    </w:tbl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2"/>
        <w:gridCol w:w="1471"/>
        <w:gridCol w:w="1472"/>
      </w:tblGrid>
      <w:tr w:rsidR="004A1AF8" w:rsidRPr="00E263B4" w14:paraId="668D1CDF" w14:textId="77777777" w:rsidTr="006D66E2">
        <w:tc>
          <w:tcPr>
            <w:tcW w:w="14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14:paraId="29E43071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Mensual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14:paraId="32231839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Anual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14:paraId="07650CE4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Mensual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14:paraId="4AAC338F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Anual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14:paraId="4B42DFA6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Mensual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4F4F2"/>
          </w:tcPr>
          <w:p w14:paraId="5F8AAFF4" w14:textId="77777777" w:rsidR="004A1AF8" w:rsidRPr="00DF1756" w:rsidRDefault="004A1AF8" w:rsidP="006D66E2">
            <w:pPr>
              <w:jc w:val="center"/>
              <w:rPr>
                <w:rFonts w:ascii="Noto Sans" w:hAnsi="Noto Sans" w:cs="Noto Sans"/>
                <w:b/>
                <w:sz w:val="22"/>
                <w:szCs w:val="22"/>
              </w:rPr>
            </w:pPr>
            <w:r w:rsidRPr="00DF1756">
              <w:rPr>
                <w:rFonts w:ascii="Noto Sans" w:hAnsi="Noto Sans" w:cs="Noto Sans"/>
                <w:b/>
                <w:sz w:val="22"/>
                <w:szCs w:val="22"/>
              </w:rPr>
              <w:t>Anual</w:t>
            </w:r>
          </w:p>
        </w:tc>
      </w:tr>
      <w:tr w:rsidR="004A1AF8" w:rsidRPr="00E263B4" w14:paraId="142E447B" w14:textId="77777777" w:rsidTr="006D66E2">
        <w:trPr>
          <w:trHeight w:val="170"/>
        </w:trPr>
        <w:tc>
          <w:tcPr>
            <w:tcW w:w="1471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14:paraId="4E99932B" w14:textId="77777777" w:rsidR="004A1AF8" w:rsidRPr="004A1AF8" w:rsidRDefault="004A1AF8" w:rsidP="006D66E2">
            <w:pPr>
              <w:jc w:val="center"/>
              <w:rPr>
                <w:rFonts w:ascii="Noto Sans" w:hAnsi="Noto Sans" w:cs="Noto Sans"/>
                <w:color w:val="1E6E5C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1E6E5C"/>
                <w:sz w:val="20"/>
              </w:rPr>
              <w:t>▲</w:t>
            </w:r>
            <w:r w:rsidRPr="004A1AF8">
              <w:rPr>
                <w:rFonts w:ascii="Noto Sans" w:hAnsi="Noto Sans" w:cs="Noto Sans"/>
                <w:b/>
                <w:color w:val="1E6E5C"/>
                <w:sz w:val="20"/>
              </w:rPr>
              <w:t xml:space="preserve"> +0.3 %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14:paraId="74AFB1A2" w14:textId="77777777" w:rsidR="004A1AF8" w:rsidRPr="004A1AF8" w:rsidRDefault="004A1AF8" w:rsidP="006D66E2">
            <w:pPr>
              <w:jc w:val="center"/>
              <w:rPr>
                <w:rFonts w:ascii="Noto Sans" w:hAnsi="Noto Sans" w:cs="Noto Sans"/>
                <w:color w:val="1E6E5C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1E6E5C"/>
                <w:sz w:val="20"/>
              </w:rPr>
              <w:t>▲</w:t>
            </w:r>
            <w:r w:rsidRPr="004A1AF8">
              <w:rPr>
                <w:rFonts w:ascii="Noto Sans" w:hAnsi="Noto Sans" w:cs="Noto Sans"/>
                <w:b/>
                <w:color w:val="1E6E5C"/>
                <w:sz w:val="20"/>
              </w:rPr>
              <w:t xml:space="preserve"> +0.5 %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14:paraId="133E8BF7" w14:textId="77777777" w:rsidR="004A1AF8" w:rsidRPr="004A1AF8" w:rsidRDefault="004A1AF8" w:rsidP="006D66E2">
            <w:pPr>
              <w:jc w:val="center"/>
              <w:rPr>
                <w:rFonts w:ascii="Noto Sans" w:hAnsi="Noto Sans" w:cs="Noto Sans"/>
                <w:color w:val="1E6E5C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1E6E5C"/>
                <w:sz w:val="20"/>
              </w:rPr>
              <w:t>▲</w:t>
            </w:r>
            <w:r w:rsidRPr="004A1AF8">
              <w:rPr>
                <w:rFonts w:ascii="Noto Sans" w:hAnsi="Noto Sans" w:cs="Noto Sans"/>
                <w:b/>
                <w:color w:val="1E6E5C"/>
                <w:sz w:val="20"/>
              </w:rPr>
              <w:t xml:space="preserve"> +0.1 %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14:paraId="618C3CCC" w14:textId="77777777" w:rsidR="004A1AF8" w:rsidRPr="004A1AF8" w:rsidRDefault="004A1AF8" w:rsidP="006D66E2">
            <w:pPr>
              <w:jc w:val="center"/>
              <w:rPr>
                <w:rFonts w:ascii="Noto Sans" w:hAnsi="Noto Sans" w:cs="Noto Sans"/>
                <w:color w:val="691C20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691C20"/>
                <w:sz w:val="20"/>
              </w:rPr>
              <w:t>▼</w:t>
            </w:r>
            <w:r w:rsidRPr="004A1AF8">
              <w:rPr>
                <w:rFonts w:ascii="Noto Sans" w:hAnsi="Noto Sans" w:cs="Noto Sans"/>
                <w:b/>
                <w:color w:val="691C20"/>
                <w:sz w:val="20"/>
              </w:rPr>
              <w:t xml:space="preserve"> -0.7 %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14:paraId="5C05558B" w14:textId="77777777" w:rsidR="004A1AF8" w:rsidRPr="004A1AF8" w:rsidRDefault="004A1AF8" w:rsidP="006D66E2">
            <w:pPr>
              <w:jc w:val="center"/>
              <w:rPr>
                <w:rFonts w:ascii="Noto Sans" w:hAnsi="Noto Sans" w:cs="Noto Sans"/>
                <w:color w:val="691C20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691C20"/>
                <w:sz w:val="20"/>
              </w:rPr>
              <w:t>▼</w:t>
            </w:r>
            <w:r w:rsidRPr="004A1AF8">
              <w:rPr>
                <w:rFonts w:ascii="Noto Sans" w:hAnsi="Noto Sans" w:cs="Noto Sans"/>
                <w:b/>
                <w:color w:val="691C20"/>
                <w:sz w:val="20"/>
              </w:rPr>
              <w:t xml:space="preserve"> -0.1 %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</w:tcBorders>
            <w:shd w:val="clear" w:color="auto" w:fill="F4F4F2"/>
          </w:tcPr>
          <w:p w14:paraId="53AFA3DD" w14:textId="77777777" w:rsidR="004A1AF8" w:rsidRPr="00E263B4" w:rsidRDefault="004A1AF8" w:rsidP="006D66E2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4A1AF8">
              <w:rPr>
                <w:rFonts w:ascii="Arial" w:hAnsi="Arial" w:cs="Arial"/>
                <w:b/>
                <w:color w:val="1E6E5C"/>
                <w:sz w:val="20"/>
              </w:rPr>
              <w:t>▲</w:t>
            </w:r>
            <w:r w:rsidRPr="004A1AF8">
              <w:rPr>
                <w:rFonts w:ascii="Noto Sans" w:hAnsi="Noto Sans" w:cs="Noto Sans"/>
                <w:b/>
                <w:color w:val="1E6E5C"/>
                <w:sz w:val="20"/>
              </w:rPr>
              <w:t xml:space="preserve"> +0.2 %</w:t>
            </w:r>
          </w:p>
        </w:tc>
      </w:tr>
    </w:tbl>
    <w:p w14:paraId="69693656" w14:textId="19AA1621" w:rsidR="004A1AF8" w:rsidRPr="004A1AF8" w:rsidRDefault="004A1AF8" w:rsidP="009D770D">
      <w:pPr>
        <w:spacing w:before="160" w:after="40"/>
        <w:jc w:val="both"/>
        <w:rPr>
          <w:rFonts w:ascii="Noto Sans" w:hAnsi="Noto Sans" w:cs="Noto Sans"/>
          <w:color w:val="4C545B"/>
          <w:sz w:val="16"/>
        </w:rPr>
      </w:pPr>
      <w:r>
        <w:rPr>
          <w:rFonts w:ascii="Noto Sans" w:hAnsi="Noto Sans" w:cs="Noto Sans"/>
          <w:color w:val="4C545B"/>
          <w:sz w:val="16"/>
        </w:rPr>
        <w:t xml:space="preserve">Nota: </w:t>
      </w:r>
      <w:r w:rsidRPr="00783447">
        <w:rPr>
          <w:rFonts w:ascii="Noto Sans" w:hAnsi="Noto Sans" w:cs="Noto Sans"/>
          <w:color w:val="4C545B"/>
          <w:sz w:val="16"/>
        </w:rPr>
        <w:t>Los indicadores de la Encuesta Mensual de Opinión Empresarial muestran oportunamente la percepción de las personas directivas sobre sus empresas y la economía. Utilizan 50 puntos como umbral: por arriba refleja una percepción favorable; por debajo, menos favorable; y 50 representa equilibrio</w:t>
      </w:r>
      <w:r w:rsidRPr="00430CE8">
        <w:rPr>
          <w:rFonts w:ascii="Noto Sans" w:hAnsi="Noto Sans" w:cs="Noto Sans"/>
          <w:color w:val="4C545B"/>
          <w:sz w:val="16"/>
        </w:rPr>
        <w:t>.</w:t>
      </w:r>
    </w:p>
    <w:p w14:paraId="7A13C367" w14:textId="77777777" w:rsidR="004A1AF8" w:rsidRDefault="004A1AF8" w:rsidP="004A1AF8">
      <w:pPr>
        <w:jc w:val="both"/>
        <w:rPr>
          <w:rFonts w:ascii="Noto Sans" w:hAnsi="Noto Sans" w:cs="Noto Sans"/>
          <w:color w:val="000000"/>
          <w:sz w:val="22"/>
        </w:rPr>
      </w:pPr>
    </w:p>
    <w:p w14:paraId="0DB35B06" w14:textId="633C46EB" w:rsidR="004A1AF8" w:rsidRDefault="007150D8" w:rsidP="004A1AF8">
      <w:pPr>
        <w:jc w:val="both"/>
        <w:rPr>
          <w:rFonts w:ascii="Noto Sans" w:hAnsi="Noto Sans" w:cs="Noto Sans"/>
          <w:color w:val="000000"/>
          <w:sz w:val="22"/>
        </w:rPr>
      </w:pPr>
      <w:r w:rsidRPr="007150D8">
        <w:rPr>
          <w:rFonts w:ascii="Noto Sans" w:hAnsi="Noto Sans" w:cs="Noto Sans"/>
          <w:color w:val="000000"/>
          <w:sz w:val="22"/>
        </w:rPr>
        <w:t>En julio de 2026, las perspectivas empresariales mejoraron gradualmente. La confianza permaneció cautelosa y los pedidos manufactureros se mantuvieron en equilibrio. Un nivel superior a 50 puntos refleja una percepción favorable</w:t>
      </w:r>
      <w:r w:rsidR="009D770D">
        <w:rPr>
          <w:rFonts w:ascii="Noto Sans" w:hAnsi="Noto Sans" w:cs="Noto Sans"/>
          <w:color w:val="000000"/>
          <w:sz w:val="22"/>
        </w:rPr>
        <w:t>.</w:t>
      </w:r>
    </w:p>
    <w:p w14:paraId="4508EA26" w14:textId="77777777" w:rsidR="004A1AF8" w:rsidRPr="004A1AF8" w:rsidRDefault="004A1AF8" w:rsidP="004A1AF8">
      <w:pPr>
        <w:jc w:val="both"/>
        <w:rPr>
          <w:rFonts w:ascii="Noto Sans" w:hAnsi="Noto Sans" w:cs="Noto Sans"/>
          <w:color w:val="000000"/>
          <w:sz w:val="22"/>
        </w:rPr>
      </w:pPr>
    </w:p>
    <w:tbl>
      <w:tblPr>
        <w:tblW w:w="8828" w:type="dxa"/>
        <w:tblLayout w:type="fixed"/>
        <w:tblLook w:val="04A0" w:firstRow="1" w:lastRow="0" w:firstColumn="1" w:lastColumn="0" w:noHBand="0" w:noVBand="1"/>
      </w:tblPr>
      <w:tblGrid>
        <w:gridCol w:w="8828"/>
      </w:tblGrid>
      <w:tr w:rsidR="00994DCF" w14:paraId="4C0A174A" w14:textId="77777777">
        <w:tc>
          <w:tcPr>
            <w:tcW w:w="8838" w:type="dxa"/>
            <w:shd w:val="clear" w:color="auto" w:fill="F4F4F2"/>
          </w:tcPr>
          <w:p w14:paraId="602AC04E" w14:textId="77777777" w:rsidR="00994DCF" w:rsidRDefault="00C74F1D">
            <w:pPr>
              <w:spacing w:before="120"/>
            </w:pPr>
            <w:r>
              <w:rPr>
                <w:rFonts w:ascii="Noto Sans" w:hAnsi="Noto Sans" w:cs="Noto Sans"/>
                <w:b/>
                <w:color w:val="10312B"/>
                <w:sz w:val="22"/>
              </w:rPr>
              <w:t>Resumen ejecutivo</w:t>
            </w:r>
          </w:p>
          <w:p w14:paraId="63204A79" w14:textId="77777777" w:rsidR="009D770D" w:rsidRPr="009D770D" w:rsidRDefault="00C74F1D" w:rsidP="00A723D6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</w:pPr>
            <w:r w:rsidRPr="009D770D">
              <w:rPr>
                <w:rFonts w:ascii="Noto Sans" w:hAnsi="Noto Sans" w:cs="Noto Sans"/>
                <w:color w:val="000000"/>
                <w:sz w:val="22"/>
              </w:rPr>
              <w:t xml:space="preserve">El indicador global de tendencia permaneció </w:t>
            </w:r>
            <w:r w:rsidRPr="009D770D">
              <w:rPr>
                <w:rFonts w:ascii="Noto Sans" w:hAnsi="Noto Sans" w:cs="Noto Sans"/>
                <w:b/>
                <w:color w:val="000000"/>
                <w:sz w:val="22"/>
              </w:rPr>
              <w:t>por quinto mes consecutivo por encima de 50 puntos</w:t>
            </w:r>
            <w:r w:rsidR="009D770D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  <w:p w14:paraId="68D5F180" w14:textId="77777777" w:rsidR="00994DCF" w:rsidRDefault="00C74F1D" w:rsidP="00A723D6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</w:pPr>
            <w:r w:rsidRPr="009D770D">
              <w:rPr>
                <w:rFonts w:ascii="Noto Sans" w:hAnsi="Noto Sans" w:cs="Noto Sans"/>
                <w:b/>
                <w:color w:val="000000"/>
                <w:sz w:val="22"/>
              </w:rPr>
              <w:t>Manufacturas, comercio y servicios</w:t>
            </w:r>
            <w:r w:rsidRPr="009D770D">
              <w:rPr>
                <w:rFonts w:ascii="Noto Sans" w:hAnsi="Noto Sans" w:cs="Noto Sans"/>
                <w:color w:val="000000"/>
                <w:sz w:val="22"/>
              </w:rPr>
              <w:t xml:space="preserve"> se ubicaron por encima del umbral de 50 puntos; </w:t>
            </w:r>
            <w:r w:rsidRPr="009D770D">
              <w:rPr>
                <w:rFonts w:ascii="Noto Sans" w:hAnsi="Noto Sans" w:cs="Noto Sans"/>
                <w:b/>
                <w:color w:val="000000"/>
                <w:sz w:val="22"/>
              </w:rPr>
              <w:t>construcción</w:t>
            </w:r>
            <w:r w:rsidRPr="009D770D">
              <w:rPr>
                <w:rFonts w:ascii="Noto Sans" w:hAnsi="Noto Sans" w:cs="Noto Sans"/>
                <w:color w:val="000000"/>
                <w:sz w:val="22"/>
              </w:rPr>
              <w:t xml:space="preserve"> permaneció por debajo.</w:t>
            </w:r>
          </w:p>
          <w:p w14:paraId="729EAAC4" w14:textId="77777777" w:rsidR="00994DCF" w:rsidRDefault="00C74F1D" w:rsidP="009D770D">
            <w:pPr>
              <w:pStyle w:val="Prrafodelista"/>
              <w:numPr>
                <w:ilvl w:val="0"/>
                <w:numId w:val="35"/>
              </w:numPr>
              <w:spacing w:before="40" w:after="20"/>
              <w:ind w:left="425" w:hanging="357"/>
              <w:jc w:val="both"/>
            </w:pPr>
            <w:r>
              <w:rPr>
                <w:rFonts w:ascii="Noto Sans" w:hAnsi="Noto Sans" w:cs="Noto Sans"/>
                <w:color w:val="000000"/>
                <w:sz w:val="22"/>
              </w:rPr>
              <w:t>La confianza empresarial mejoró marginalmente, pero la percepción sobre el momento adecuado para invertir continuó débil en los cuatro sectores.</w:t>
            </w:r>
          </w:p>
        </w:tc>
      </w:tr>
    </w:tbl>
    <w:p w14:paraId="3A2C55EA" w14:textId="77777777" w:rsidR="00994DCF" w:rsidRPr="00105FFE" w:rsidRDefault="00C74F1D" w:rsidP="007150D8">
      <w:pPr>
        <w:spacing w:before="120" w:after="60"/>
        <w:jc w:val="center"/>
        <w:rPr>
          <w:sz w:val="32"/>
        </w:rPr>
      </w:pPr>
      <w:r w:rsidRPr="00105FFE">
        <w:rPr>
          <w:rFonts w:ascii="Noto Sans" w:hAnsi="Noto Sans" w:cs="Noto Sans"/>
          <w:b/>
          <w:color w:val="10312B"/>
          <w:sz w:val="22"/>
        </w:rPr>
        <w:t>Indicadores empresariales, julio de 2026</w:t>
      </w:r>
    </w:p>
    <w:tbl>
      <w:tblPr>
        <w:tblW w:w="8789" w:type="dxa"/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1701"/>
        <w:gridCol w:w="1843"/>
      </w:tblGrid>
      <w:tr w:rsidR="00DF1756" w:rsidRPr="00105FFE" w14:paraId="270B768D" w14:textId="77777777" w:rsidTr="00DF1756">
        <w:tc>
          <w:tcPr>
            <w:tcW w:w="2977" w:type="dxa"/>
            <w:shd w:val="clear" w:color="auto" w:fill="235B4C"/>
            <w:vAlign w:val="center"/>
          </w:tcPr>
          <w:p w14:paraId="51E8B84A" w14:textId="77777777" w:rsidR="00DF1756" w:rsidRPr="00105FFE" w:rsidRDefault="00DF1756">
            <w:pPr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2268" w:type="dxa"/>
            <w:shd w:val="clear" w:color="auto" w:fill="235B4C"/>
            <w:vAlign w:val="center"/>
          </w:tcPr>
          <w:p w14:paraId="67F2D741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Julio 2026</w:t>
            </w:r>
          </w:p>
        </w:tc>
        <w:tc>
          <w:tcPr>
            <w:tcW w:w="1701" w:type="dxa"/>
            <w:shd w:val="clear" w:color="auto" w:fill="235B4C"/>
            <w:vAlign w:val="center"/>
          </w:tcPr>
          <w:p w14:paraId="6A38D9CA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Var. mensual</w:t>
            </w:r>
          </w:p>
        </w:tc>
        <w:tc>
          <w:tcPr>
            <w:tcW w:w="1843" w:type="dxa"/>
            <w:shd w:val="clear" w:color="auto" w:fill="235B4C"/>
            <w:vAlign w:val="center"/>
          </w:tcPr>
          <w:p w14:paraId="2207F9EB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Var. anual</w:t>
            </w:r>
          </w:p>
        </w:tc>
      </w:tr>
      <w:tr w:rsidR="00DF1756" w:rsidRPr="00105FFE" w14:paraId="4CCE3D8D" w14:textId="77777777" w:rsidTr="00DF1756">
        <w:tc>
          <w:tcPr>
            <w:tcW w:w="2977" w:type="dxa"/>
            <w:shd w:val="clear" w:color="auto" w:fill="F4F4F2"/>
            <w:vAlign w:val="center"/>
          </w:tcPr>
          <w:p w14:paraId="7DCFD251" w14:textId="77777777" w:rsidR="00DF1756" w:rsidRPr="00105FFE" w:rsidRDefault="00DF1756">
            <w:pPr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Tendencia empresarial global</w:t>
            </w:r>
          </w:p>
        </w:tc>
        <w:tc>
          <w:tcPr>
            <w:tcW w:w="2268" w:type="dxa"/>
            <w:shd w:val="clear" w:color="auto" w:fill="F4F4F2"/>
            <w:vAlign w:val="center"/>
          </w:tcPr>
          <w:p w14:paraId="28C45820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51.2</w:t>
            </w:r>
          </w:p>
        </w:tc>
        <w:tc>
          <w:tcPr>
            <w:tcW w:w="1701" w:type="dxa"/>
            <w:shd w:val="clear" w:color="auto" w:fill="F4F4F2"/>
            <w:vAlign w:val="center"/>
          </w:tcPr>
          <w:p w14:paraId="0F759048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000000"/>
                <w:sz w:val="16"/>
                <w:szCs w:val="16"/>
              </w:rPr>
              <w:t>+0.3</w:t>
            </w:r>
          </w:p>
        </w:tc>
        <w:tc>
          <w:tcPr>
            <w:tcW w:w="1843" w:type="dxa"/>
            <w:shd w:val="clear" w:color="auto" w:fill="F4F4F2"/>
            <w:vAlign w:val="center"/>
          </w:tcPr>
          <w:p w14:paraId="2C2CC6AA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000000"/>
                <w:sz w:val="16"/>
                <w:szCs w:val="16"/>
              </w:rPr>
              <w:t>+0.5</w:t>
            </w:r>
          </w:p>
        </w:tc>
      </w:tr>
      <w:tr w:rsidR="00DF1756" w:rsidRPr="00105FFE" w14:paraId="19E6EEB4" w14:textId="77777777" w:rsidTr="00DF1756">
        <w:tc>
          <w:tcPr>
            <w:tcW w:w="2977" w:type="dxa"/>
            <w:shd w:val="clear" w:color="auto" w:fill="F4F4F2"/>
            <w:vAlign w:val="center"/>
          </w:tcPr>
          <w:p w14:paraId="1F1C233D" w14:textId="77777777" w:rsidR="00DF1756" w:rsidRPr="00105FFE" w:rsidRDefault="00DF1756">
            <w:pPr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Confianza empresarial global</w:t>
            </w:r>
          </w:p>
        </w:tc>
        <w:tc>
          <w:tcPr>
            <w:tcW w:w="2268" w:type="dxa"/>
            <w:shd w:val="clear" w:color="auto" w:fill="F4F4F2"/>
            <w:vAlign w:val="center"/>
          </w:tcPr>
          <w:p w14:paraId="1580ACE9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48.2</w:t>
            </w:r>
          </w:p>
        </w:tc>
        <w:tc>
          <w:tcPr>
            <w:tcW w:w="1701" w:type="dxa"/>
            <w:shd w:val="clear" w:color="auto" w:fill="F4F4F2"/>
            <w:vAlign w:val="center"/>
          </w:tcPr>
          <w:p w14:paraId="047620A5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000000"/>
                <w:sz w:val="16"/>
                <w:szCs w:val="16"/>
              </w:rPr>
              <w:t>+0.1</w:t>
            </w:r>
          </w:p>
        </w:tc>
        <w:tc>
          <w:tcPr>
            <w:tcW w:w="1843" w:type="dxa"/>
            <w:shd w:val="clear" w:color="auto" w:fill="F4F4F2"/>
            <w:vAlign w:val="center"/>
          </w:tcPr>
          <w:p w14:paraId="42CEFDAF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C00000"/>
                <w:sz w:val="16"/>
                <w:szCs w:val="16"/>
              </w:rPr>
              <w:t>-0.7</w:t>
            </w:r>
          </w:p>
        </w:tc>
      </w:tr>
      <w:tr w:rsidR="00DF1756" w:rsidRPr="00105FFE" w14:paraId="3283A743" w14:textId="77777777" w:rsidTr="00DF1756">
        <w:tc>
          <w:tcPr>
            <w:tcW w:w="2977" w:type="dxa"/>
            <w:shd w:val="clear" w:color="auto" w:fill="F4F4F2"/>
            <w:vAlign w:val="center"/>
          </w:tcPr>
          <w:p w14:paraId="4B6037D9" w14:textId="77777777" w:rsidR="00DF1756" w:rsidRPr="00105FFE" w:rsidRDefault="00DF1756">
            <w:pPr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Pedidos manufactureros</w:t>
            </w:r>
          </w:p>
        </w:tc>
        <w:tc>
          <w:tcPr>
            <w:tcW w:w="2268" w:type="dxa"/>
            <w:shd w:val="clear" w:color="auto" w:fill="F4F4F2"/>
            <w:vAlign w:val="center"/>
          </w:tcPr>
          <w:p w14:paraId="454B4C1C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b/>
                <w:color w:val="10312B"/>
                <w:sz w:val="16"/>
                <w:szCs w:val="16"/>
              </w:rPr>
              <w:t>50.0</w:t>
            </w:r>
          </w:p>
        </w:tc>
        <w:tc>
          <w:tcPr>
            <w:tcW w:w="1701" w:type="dxa"/>
            <w:shd w:val="clear" w:color="auto" w:fill="F4F4F2"/>
            <w:vAlign w:val="center"/>
          </w:tcPr>
          <w:p w14:paraId="74B3A490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C00000"/>
                <w:sz w:val="16"/>
                <w:szCs w:val="16"/>
              </w:rPr>
              <w:t>-0.1</w:t>
            </w:r>
          </w:p>
        </w:tc>
        <w:tc>
          <w:tcPr>
            <w:tcW w:w="1843" w:type="dxa"/>
            <w:shd w:val="clear" w:color="auto" w:fill="F4F4F2"/>
            <w:vAlign w:val="center"/>
          </w:tcPr>
          <w:p w14:paraId="2ABD12B6" w14:textId="77777777" w:rsidR="00DF1756" w:rsidRPr="00105FFE" w:rsidRDefault="00DF1756">
            <w:pPr>
              <w:jc w:val="center"/>
              <w:rPr>
                <w:sz w:val="16"/>
                <w:szCs w:val="16"/>
              </w:rPr>
            </w:pPr>
            <w:r w:rsidRPr="00105FFE">
              <w:rPr>
                <w:rFonts w:ascii="Noto Sans" w:hAnsi="Noto Sans" w:cs="Noto Sans"/>
                <w:color w:val="000000"/>
                <w:sz w:val="16"/>
                <w:szCs w:val="16"/>
              </w:rPr>
              <w:t>+0.2</w:t>
            </w:r>
          </w:p>
        </w:tc>
      </w:tr>
    </w:tbl>
    <w:p w14:paraId="391C6A7C" w14:textId="77777777" w:rsidR="004A1AF8" w:rsidRDefault="004A1AF8" w:rsidP="004A1AF8">
      <w:pPr>
        <w:jc w:val="both"/>
        <w:rPr>
          <w:rFonts w:ascii="Noto Sans" w:hAnsi="Noto Sans" w:cs="Noto Sans"/>
          <w:b/>
          <w:color w:val="FFFFFF"/>
          <w:sz w:val="22"/>
        </w:rPr>
      </w:pPr>
    </w:p>
    <w:p w14:paraId="7FB47254" w14:textId="3A4D0DEF" w:rsidR="00994DCF" w:rsidRDefault="00C74F1D" w:rsidP="004A1AF8">
      <w:pPr>
        <w:shd w:val="clear" w:color="auto" w:fill="005E4C"/>
        <w:jc w:val="both"/>
      </w:pPr>
      <w:r>
        <w:rPr>
          <w:rFonts w:ascii="Noto Sans" w:hAnsi="Noto Sans" w:cs="Noto Sans"/>
          <w:b/>
          <w:color w:val="FFFFFF"/>
          <w:sz w:val="22"/>
        </w:rPr>
        <w:t>Actividad empresarial con avances diferenciados</w:t>
      </w:r>
    </w:p>
    <w:p w14:paraId="4892FB2C" w14:textId="77777777" w:rsidR="00994DCF" w:rsidRPr="00646D11" w:rsidRDefault="00C74F1D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sz w:val="28"/>
        </w:rPr>
      </w:pPr>
      <w:r w:rsidRPr="00646D11">
        <w:rPr>
          <w:rFonts w:ascii="Noto Sans" w:hAnsi="Noto Sans" w:cs="Noto Sans"/>
          <w:b/>
          <w:color w:val="000000"/>
          <w:sz w:val="22"/>
        </w:rPr>
        <w:t>Manufacturas</w:t>
      </w:r>
      <w:r w:rsidRPr="00646D11">
        <w:rPr>
          <w:rFonts w:ascii="Noto Sans" w:hAnsi="Noto Sans" w:cs="Noto Sans"/>
          <w:color w:val="000000"/>
          <w:sz w:val="22"/>
        </w:rPr>
        <w:t xml:space="preserve"> — el IAT se ubicó en 52.4 puntos (+0.2 mensual, +3.5 anual), impulsado por la producción (53.6) y la demanda nacional (56.0); el empleo se mantuvo en 49.3 puntos.</w:t>
      </w:r>
    </w:p>
    <w:p w14:paraId="49BAAE29" w14:textId="77777777" w:rsidR="00994DCF" w:rsidRPr="00646D11" w:rsidRDefault="00C74F1D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sz w:val="28"/>
        </w:rPr>
      </w:pPr>
      <w:r w:rsidRPr="00646D11">
        <w:rPr>
          <w:rFonts w:ascii="Noto Sans" w:hAnsi="Noto Sans" w:cs="Noto Sans"/>
          <w:b/>
          <w:color w:val="000000"/>
          <w:sz w:val="22"/>
        </w:rPr>
        <w:t>Comercio</w:t>
      </w:r>
      <w:r w:rsidRPr="00646D11">
        <w:rPr>
          <w:rFonts w:ascii="Noto Sans" w:hAnsi="Noto Sans" w:cs="Noto Sans"/>
          <w:color w:val="000000"/>
          <w:sz w:val="22"/>
        </w:rPr>
        <w:t xml:space="preserve"> — el IAT avanzó a 51.6 puntos (+0.8 mensual), con ventas netas (+4.8 puntos) e ingresos por comisión (+8.8 puntos) como principales impulsores; compras e inventarios registraron baja.</w:t>
      </w:r>
    </w:p>
    <w:p w14:paraId="19B8394F" w14:textId="77777777" w:rsidR="00994DCF" w:rsidRPr="00646D11" w:rsidRDefault="00C74F1D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sz w:val="28"/>
        </w:rPr>
      </w:pPr>
      <w:r w:rsidRPr="00646D11">
        <w:rPr>
          <w:rFonts w:ascii="Noto Sans" w:hAnsi="Noto Sans" w:cs="Noto Sans"/>
          <w:b/>
          <w:color w:val="000000"/>
          <w:sz w:val="22"/>
        </w:rPr>
        <w:lastRenderedPageBreak/>
        <w:t>Servicios privados no financieros</w:t>
      </w:r>
      <w:r w:rsidRPr="00646D11">
        <w:rPr>
          <w:rFonts w:ascii="Noto Sans" w:hAnsi="Noto Sans" w:cs="Noto Sans"/>
          <w:color w:val="000000"/>
          <w:sz w:val="22"/>
        </w:rPr>
        <w:t xml:space="preserve"> — IAT de 51.2 puntos (+0.5 mensual), con trece meses seguidos por encima de 50; ingresos, demanda nacional y gasto por consumo se mantuvieron por encima del umbral.</w:t>
      </w:r>
    </w:p>
    <w:p w14:paraId="4B7B3A14" w14:textId="77777777" w:rsidR="00994DCF" w:rsidRPr="00646D11" w:rsidRDefault="00C74F1D">
      <w:pPr>
        <w:pStyle w:val="Prrafodelista"/>
        <w:numPr>
          <w:ilvl w:val="0"/>
          <w:numId w:val="35"/>
        </w:numPr>
        <w:spacing w:before="40" w:after="20"/>
        <w:ind w:left="425" w:hanging="357"/>
        <w:jc w:val="both"/>
        <w:rPr>
          <w:sz w:val="28"/>
        </w:rPr>
      </w:pPr>
      <w:r w:rsidRPr="00646D11">
        <w:rPr>
          <w:rFonts w:ascii="Noto Sans" w:hAnsi="Noto Sans" w:cs="Noto Sans"/>
          <w:b/>
          <w:color w:val="000000"/>
          <w:sz w:val="22"/>
        </w:rPr>
        <w:t>Construcción</w:t>
      </w:r>
      <w:r w:rsidRPr="00646D11">
        <w:rPr>
          <w:rFonts w:ascii="Noto Sans" w:hAnsi="Noto Sans" w:cs="Noto Sans"/>
          <w:color w:val="000000"/>
          <w:sz w:val="22"/>
        </w:rPr>
        <w:t xml:space="preserve"> — el IAT retrocedió a 46.6 puntos (-1.4 mensual, +2.5 anual); contratos y subcontratos alcanzaron 54.3 puntos, aunque el valor de las obras y el empleo permanecieron débiles.</w:t>
      </w:r>
    </w:p>
    <w:p w14:paraId="516FFBD0" w14:textId="77777777" w:rsidR="00994DCF" w:rsidRPr="0021097E" w:rsidRDefault="00C74F1D">
      <w:pPr>
        <w:spacing w:before="80"/>
        <w:jc w:val="center"/>
        <w:rPr>
          <w:sz w:val="32"/>
        </w:rPr>
      </w:pPr>
      <w:r w:rsidRPr="0021097E">
        <w:rPr>
          <w:rFonts w:ascii="Noto Sans" w:hAnsi="Noto Sans" w:cs="Noto Sans"/>
          <w:b/>
          <w:color w:val="10312B"/>
          <w:sz w:val="22"/>
        </w:rPr>
        <w:t>Indicador Agregado de Tendencia por sector, julio de 2026</w:t>
      </w:r>
    </w:p>
    <w:p w14:paraId="501C3FA4" w14:textId="77777777" w:rsidR="00994DCF" w:rsidRPr="0021097E" w:rsidRDefault="00C74F1D">
      <w:pPr>
        <w:jc w:val="center"/>
        <w:rPr>
          <w:sz w:val="28"/>
        </w:rPr>
      </w:pPr>
      <w:r w:rsidRPr="0021097E">
        <w:rPr>
          <w:rFonts w:ascii="Noto Sans" w:hAnsi="Noto Sans" w:cs="Noto Sans"/>
          <w:i/>
          <w:color w:val="6B6864"/>
          <w:sz w:val="16"/>
        </w:rPr>
        <w:t>Cifras desestacionalizadas, puntos.</w:t>
      </w:r>
    </w:p>
    <w:p w14:paraId="66C251B0" w14:textId="77777777" w:rsidR="00994DCF" w:rsidRDefault="00C74F1D">
      <w:pPr>
        <w:jc w:val="center"/>
      </w:pPr>
      <w:r>
        <w:rPr>
          <w:noProof/>
        </w:rPr>
        <w:drawing>
          <wp:inline distT="0" distB="0" distL="0" distR="0" wp14:anchorId="377D0535" wp14:editId="00263B77">
            <wp:extent cx="3729941" cy="141285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iat_se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130" cy="14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858" w14:textId="77777777" w:rsidR="00C041DF" w:rsidRDefault="00C041DF">
      <w:pPr>
        <w:spacing w:before="20" w:after="20"/>
        <w:jc w:val="both"/>
        <w:rPr>
          <w:rFonts w:ascii="Noto Sans" w:hAnsi="Noto Sans" w:cs="Noto Sans"/>
          <w:b/>
          <w:color w:val="10312B"/>
          <w:sz w:val="22"/>
          <w:szCs w:val="22"/>
        </w:rPr>
      </w:pPr>
      <w:r w:rsidRPr="00C041DF">
        <w:rPr>
          <w:rFonts w:ascii="Noto Sans" w:hAnsi="Noto Sans" w:cs="Noto Sans"/>
          <w:b/>
          <w:color w:val="10312B"/>
          <w:sz w:val="22"/>
          <w:szCs w:val="22"/>
        </w:rPr>
        <w:t xml:space="preserve">Pedidos manufactureros: estabilidad con mejor producción </w:t>
      </w:r>
    </w:p>
    <w:p w14:paraId="6346B806" w14:textId="77777777" w:rsidR="00994DCF" w:rsidRDefault="00C74F1D">
      <w:pPr>
        <w:spacing w:before="20" w:after="20"/>
        <w:jc w:val="both"/>
        <w:rPr>
          <w:rFonts w:ascii="Noto Sans" w:hAnsi="Noto Sans" w:cs="Noto Sans"/>
          <w:color w:val="000000"/>
          <w:sz w:val="22"/>
          <w:szCs w:val="22"/>
        </w:rPr>
      </w:pPr>
      <w:r w:rsidRPr="0021097E">
        <w:rPr>
          <w:rFonts w:ascii="Noto Sans" w:hAnsi="Noto Sans" w:cs="Noto Sans"/>
          <w:color w:val="000000"/>
          <w:sz w:val="22"/>
          <w:szCs w:val="22"/>
        </w:rPr>
        <w:t xml:space="preserve">El IPM se ubicó en 50.0 puntos. </w:t>
      </w:r>
      <w:r w:rsidR="009A75BB" w:rsidRPr="0021097E">
        <w:rPr>
          <w:rFonts w:ascii="Noto Sans" w:hAnsi="Noto Sans" w:cs="Noto Sans"/>
          <w:color w:val="000000"/>
          <w:sz w:val="22"/>
          <w:szCs w:val="22"/>
        </w:rPr>
        <w:t>Los nuevos pedidos bajaron a 47.9 puntos (-5.7 mensual), mientras la producción avanzó a 52.5 y los inventarios de insumos a 52.6. La mejora productiva compensó parcialmente la debilidad de los pedidos</w:t>
      </w:r>
      <w:r w:rsidR="00AB7467">
        <w:rPr>
          <w:rFonts w:ascii="Noto Sans" w:hAnsi="Noto Sans" w:cs="Noto Sans"/>
          <w:color w:val="000000"/>
          <w:sz w:val="22"/>
          <w:szCs w:val="22"/>
        </w:rPr>
        <w:t>.</w:t>
      </w:r>
    </w:p>
    <w:p w14:paraId="36CA5472" w14:textId="77777777" w:rsidR="004A1AF8" w:rsidRPr="0021097E" w:rsidRDefault="004A1AF8">
      <w:pPr>
        <w:spacing w:before="20" w:after="20"/>
        <w:jc w:val="both"/>
        <w:rPr>
          <w:sz w:val="22"/>
          <w:szCs w:val="22"/>
        </w:rPr>
      </w:pPr>
    </w:p>
    <w:p w14:paraId="2B0EB923" w14:textId="77777777" w:rsidR="00994DCF" w:rsidRPr="0021097E" w:rsidRDefault="00C74F1D" w:rsidP="009A75BB">
      <w:pPr>
        <w:shd w:val="clear" w:color="auto" w:fill="005E4C"/>
        <w:spacing w:before="120"/>
        <w:jc w:val="both"/>
        <w:rPr>
          <w:sz w:val="22"/>
          <w:szCs w:val="22"/>
        </w:rPr>
      </w:pPr>
      <w:r w:rsidRPr="0021097E">
        <w:rPr>
          <w:rFonts w:ascii="Noto Sans" w:hAnsi="Noto Sans" w:cs="Noto Sans"/>
          <w:b/>
          <w:color w:val="FFFFFF"/>
          <w:sz w:val="22"/>
          <w:szCs w:val="22"/>
        </w:rPr>
        <w:t>Confianza y disposición para invertir</w:t>
      </w:r>
    </w:p>
    <w:p w14:paraId="6EE15053" w14:textId="77777777" w:rsidR="00994DCF" w:rsidRPr="0021097E" w:rsidRDefault="00C74F1D">
      <w:pPr>
        <w:spacing w:before="20" w:after="20"/>
        <w:jc w:val="both"/>
        <w:rPr>
          <w:sz w:val="22"/>
          <w:szCs w:val="22"/>
        </w:rPr>
      </w:pPr>
      <w:r w:rsidRPr="0021097E">
        <w:rPr>
          <w:rFonts w:ascii="Noto Sans" w:hAnsi="Noto Sans" w:cs="Noto Sans"/>
          <w:color w:val="000000"/>
          <w:sz w:val="22"/>
          <w:szCs w:val="22"/>
        </w:rPr>
        <w:t xml:space="preserve">La confianza empresarial acumula </w:t>
      </w:r>
      <w:r w:rsidRPr="0021097E">
        <w:rPr>
          <w:rFonts w:ascii="Noto Sans" w:hAnsi="Noto Sans" w:cs="Noto Sans"/>
          <w:b/>
          <w:color w:val="000000"/>
          <w:sz w:val="22"/>
          <w:szCs w:val="22"/>
        </w:rPr>
        <w:t>17 meses consecutivos por debajo de 50 puntos</w:t>
      </w:r>
      <w:r w:rsidRPr="0021097E">
        <w:rPr>
          <w:rFonts w:ascii="Noto Sans" w:hAnsi="Noto Sans" w:cs="Noto Sans"/>
          <w:color w:val="000000"/>
          <w:sz w:val="22"/>
          <w:szCs w:val="22"/>
        </w:rPr>
        <w:t xml:space="preserve">. Las expectativas futuras se mantuvieron por encima de 50 puntos en los cuatro sectores, frente a un “momento adecuado para invertir” de entre 23.8 y 32.9 puntos: las empresas anticipan una evolución favorable, pero aún muestran </w:t>
      </w:r>
      <w:r w:rsidRPr="0021097E">
        <w:rPr>
          <w:rFonts w:ascii="Noto Sans" w:hAnsi="Noto Sans" w:cs="Noto Sans"/>
          <w:b/>
          <w:color w:val="000000"/>
          <w:sz w:val="22"/>
          <w:szCs w:val="22"/>
        </w:rPr>
        <w:t>cautela para invertir</w:t>
      </w:r>
      <w:r w:rsidRPr="0021097E">
        <w:rPr>
          <w:rFonts w:ascii="Noto Sans" w:hAnsi="Noto Sans" w:cs="Noto Sans"/>
          <w:color w:val="000000"/>
          <w:sz w:val="22"/>
          <w:szCs w:val="22"/>
        </w:rPr>
        <w:t xml:space="preserve">. El balance de julio es </w:t>
      </w:r>
      <w:r w:rsidRPr="0021097E">
        <w:rPr>
          <w:rFonts w:ascii="Noto Sans" w:hAnsi="Noto Sans" w:cs="Noto Sans"/>
          <w:b/>
          <w:color w:val="000000"/>
          <w:sz w:val="22"/>
          <w:szCs w:val="22"/>
        </w:rPr>
        <w:t>moderadamente favorable</w:t>
      </w:r>
      <w:r w:rsidRPr="0021097E">
        <w:rPr>
          <w:rFonts w:ascii="Noto Sans" w:hAnsi="Noto Sans" w:cs="Noto Sans"/>
          <w:color w:val="000000"/>
          <w:sz w:val="22"/>
          <w:szCs w:val="22"/>
        </w:rPr>
        <w:t>: mejoran las perspectivas operativas, aunque la consolidación requiere confirmarse con la recuperación de la inversión, los pedidos y el empleo.</w:t>
      </w:r>
    </w:p>
    <w:p w14:paraId="54D36D79" w14:textId="77777777" w:rsidR="00994DCF" w:rsidRPr="0021097E" w:rsidRDefault="00C74F1D">
      <w:pPr>
        <w:spacing w:before="80"/>
        <w:jc w:val="center"/>
        <w:rPr>
          <w:sz w:val="32"/>
        </w:rPr>
      </w:pPr>
      <w:r w:rsidRPr="0021097E">
        <w:rPr>
          <w:rFonts w:ascii="Noto Sans" w:hAnsi="Noto Sans" w:cs="Noto Sans"/>
          <w:b/>
          <w:color w:val="10312B"/>
          <w:sz w:val="22"/>
        </w:rPr>
        <w:t>Expectativas empresariales y disposición para invertir, julio de 2026</w:t>
      </w:r>
    </w:p>
    <w:p w14:paraId="4E1B9565" w14:textId="77777777" w:rsidR="00994DCF" w:rsidRPr="0021097E" w:rsidRDefault="00C74F1D">
      <w:pPr>
        <w:jc w:val="center"/>
        <w:rPr>
          <w:sz w:val="28"/>
        </w:rPr>
      </w:pPr>
      <w:r w:rsidRPr="0021097E">
        <w:rPr>
          <w:rFonts w:ascii="Noto Sans" w:hAnsi="Noto Sans" w:cs="Noto Sans"/>
          <w:i/>
          <w:color w:val="6B6864"/>
          <w:sz w:val="16"/>
        </w:rPr>
        <w:t>Puntos; 50 indica el umbral de referencia.</w:t>
      </w:r>
    </w:p>
    <w:p w14:paraId="133F26C0" w14:textId="77777777" w:rsidR="00994DCF" w:rsidRDefault="00C74F1D">
      <w:pPr>
        <w:jc w:val="center"/>
      </w:pPr>
      <w:r>
        <w:rPr>
          <w:noProof/>
        </w:rPr>
        <w:drawing>
          <wp:inline distT="0" distB="0" distL="0" distR="0" wp14:anchorId="20049D1E" wp14:editId="2C2426E7">
            <wp:extent cx="3815256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expectativas_in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682" cy="17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C2B" w14:textId="77777777" w:rsidR="00994DCF" w:rsidRDefault="00C74F1D">
      <w:pPr>
        <w:spacing w:before="80"/>
      </w:pPr>
      <w:r>
        <w:rPr>
          <w:rFonts w:ascii="Noto Sans" w:hAnsi="Noto Sans" w:cs="Noto Sans"/>
          <w:color w:val="4C545B"/>
          <w:sz w:val="16"/>
        </w:rPr>
        <w:t xml:space="preserve">Fuente: </w:t>
      </w:r>
      <w:r w:rsidR="00ED7AE1" w:rsidRPr="00ED7AE1">
        <w:rPr>
          <w:rFonts w:ascii="Noto Sans" w:hAnsi="Noto Sans" w:cs="Noto Sans"/>
          <w:color w:val="4C545B"/>
          <w:sz w:val="16"/>
        </w:rPr>
        <w:t>INEGI, Encuesta Mensual de Opinión Empresarial; INEGI y Banco de México, Indicador de Pedidos Manufactureros, julio de 2026</w:t>
      </w:r>
      <w:r>
        <w:rPr>
          <w:rFonts w:ascii="Noto Sans" w:hAnsi="Noto Sans" w:cs="Noto Sans"/>
          <w:color w:val="4C545B"/>
          <w:sz w:val="16"/>
        </w:rPr>
        <w:t>.</w:t>
      </w:r>
    </w:p>
    <w:sectPr w:rsidR="00994DCF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4443B" w14:textId="77777777" w:rsidR="00155A77" w:rsidRDefault="00155A77" w:rsidP="00E32E74">
      <w:r>
        <w:separator/>
      </w:r>
    </w:p>
  </w:endnote>
  <w:endnote w:type="continuationSeparator" w:id="0">
    <w:p w14:paraId="223E84B4" w14:textId="77777777" w:rsidR="00155A77" w:rsidRDefault="00155A77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Content>
      <w:p w14:paraId="7C03D8A5" w14:textId="77777777"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A9B324B" w14:textId="77777777"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EF093" w14:textId="77777777"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1A7D8A66" wp14:editId="5D3339A7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C0289F" w14:textId="77777777" w:rsidR="00DB54A2" w:rsidRPr="00E7262E" w:rsidRDefault="00DB54A2" w:rsidP="00A27EAB">
    <w:pPr>
      <w:jc w:val="right"/>
    </w:pPr>
  </w:p>
  <w:p w14:paraId="49E320EC" w14:textId="77777777"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64647D" w14:textId="77777777" w:rsidR="00155A77" w:rsidRDefault="00155A77" w:rsidP="00E32E74">
      <w:r>
        <w:separator/>
      </w:r>
    </w:p>
  </w:footnote>
  <w:footnote w:type="continuationSeparator" w:id="0">
    <w:p w14:paraId="5BACD2E4" w14:textId="77777777" w:rsidR="00155A77" w:rsidRDefault="00155A77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BFD05" w14:textId="77777777"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21251FA6" wp14:editId="283BD595">
          <wp:simplePos x="0" y="0"/>
          <wp:positionH relativeFrom="page">
            <wp:posOffset>-12700</wp:posOffset>
          </wp:positionH>
          <wp:positionV relativeFrom="paragraph">
            <wp:posOffset>-532717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266B80" w14:textId="77777777" w:rsidR="00DB54A2" w:rsidRDefault="00DB54A2" w:rsidP="00E32E74"/>
  <w:p w14:paraId="69F700AA" w14:textId="77777777" w:rsidR="00F859CD" w:rsidRDefault="00F859CD" w:rsidP="00E32E74"/>
  <w:p w14:paraId="375F1A19" w14:textId="077EE434" w:rsidR="009966CB" w:rsidRPr="004A1AF8" w:rsidRDefault="00105FFE" w:rsidP="004A1AF8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Subsecretaría de Industria y Comercio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126927">
    <w:abstractNumId w:val="17"/>
  </w:num>
  <w:num w:numId="2" w16cid:durableId="532034349">
    <w:abstractNumId w:val="6"/>
  </w:num>
  <w:num w:numId="3" w16cid:durableId="284234063">
    <w:abstractNumId w:val="20"/>
  </w:num>
  <w:num w:numId="4" w16cid:durableId="129251692">
    <w:abstractNumId w:val="34"/>
  </w:num>
  <w:num w:numId="5" w16cid:durableId="596208277">
    <w:abstractNumId w:val="27"/>
  </w:num>
  <w:num w:numId="6" w16cid:durableId="2064480567">
    <w:abstractNumId w:val="10"/>
  </w:num>
  <w:num w:numId="7" w16cid:durableId="430323793">
    <w:abstractNumId w:val="30"/>
  </w:num>
  <w:num w:numId="8" w16cid:durableId="1747607157">
    <w:abstractNumId w:val="8"/>
  </w:num>
  <w:num w:numId="9" w16cid:durableId="455178033">
    <w:abstractNumId w:val="5"/>
  </w:num>
  <w:num w:numId="10" w16cid:durableId="209928114">
    <w:abstractNumId w:val="16"/>
  </w:num>
  <w:num w:numId="11" w16cid:durableId="1311404711">
    <w:abstractNumId w:val="19"/>
  </w:num>
  <w:num w:numId="12" w16cid:durableId="1996374917">
    <w:abstractNumId w:val="18"/>
  </w:num>
  <w:num w:numId="13" w16cid:durableId="528837717">
    <w:abstractNumId w:val="7"/>
  </w:num>
  <w:num w:numId="14" w16cid:durableId="1171722179">
    <w:abstractNumId w:val="14"/>
  </w:num>
  <w:num w:numId="15" w16cid:durableId="857086022">
    <w:abstractNumId w:val="31"/>
  </w:num>
  <w:num w:numId="16" w16cid:durableId="1223642267">
    <w:abstractNumId w:val="0"/>
  </w:num>
  <w:num w:numId="17" w16cid:durableId="2004313427">
    <w:abstractNumId w:val="24"/>
  </w:num>
  <w:num w:numId="18" w16cid:durableId="580018871">
    <w:abstractNumId w:val="15"/>
  </w:num>
  <w:num w:numId="19" w16cid:durableId="1754275412">
    <w:abstractNumId w:val="23"/>
  </w:num>
  <w:num w:numId="20" w16cid:durableId="1988779029">
    <w:abstractNumId w:val="26"/>
  </w:num>
  <w:num w:numId="21" w16cid:durableId="284193422">
    <w:abstractNumId w:val="12"/>
  </w:num>
  <w:num w:numId="22" w16cid:durableId="1348828971">
    <w:abstractNumId w:val="1"/>
  </w:num>
  <w:num w:numId="23" w16cid:durableId="323819386">
    <w:abstractNumId w:val="22"/>
  </w:num>
  <w:num w:numId="24" w16cid:durableId="963774824">
    <w:abstractNumId w:val="25"/>
  </w:num>
  <w:num w:numId="25" w16cid:durableId="1484541893">
    <w:abstractNumId w:val="3"/>
  </w:num>
  <w:num w:numId="26" w16cid:durableId="202714190">
    <w:abstractNumId w:val="4"/>
  </w:num>
  <w:num w:numId="27" w16cid:durableId="517891426">
    <w:abstractNumId w:val="29"/>
  </w:num>
  <w:num w:numId="28" w16cid:durableId="772437955">
    <w:abstractNumId w:val="9"/>
  </w:num>
  <w:num w:numId="29" w16cid:durableId="1142115555">
    <w:abstractNumId w:val="33"/>
  </w:num>
  <w:num w:numId="30" w16cid:durableId="690030894">
    <w:abstractNumId w:val="32"/>
  </w:num>
  <w:num w:numId="31" w16cid:durableId="2079665929">
    <w:abstractNumId w:val="2"/>
  </w:num>
  <w:num w:numId="32" w16cid:durableId="404567837">
    <w:abstractNumId w:val="21"/>
  </w:num>
  <w:num w:numId="33" w16cid:durableId="2009015617">
    <w:abstractNumId w:val="13"/>
  </w:num>
  <w:num w:numId="34" w16cid:durableId="1601252049">
    <w:abstractNumId w:val="11"/>
  </w:num>
  <w:num w:numId="35" w16cid:durableId="680667917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0C49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05FFE"/>
    <w:rsid w:val="001106F9"/>
    <w:rsid w:val="00113971"/>
    <w:rsid w:val="00113ADD"/>
    <w:rsid w:val="001259AE"/>
    <w:rsid w:val="00136317"/>
    <w:rsid w:val="0013733B"/>
    <w:rsid w:val="001410AA"/>
    <w:rsid w:val="00151B05"/>
    <w:rsid w:val="00153B11"/>
    <w:rsid w:val="00154DA5"/>
    <w:rsid w:val="00155A77"/>
    <w:rsid w:val="00155DFB"/>
    <w:rsid w:val="00167BCF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1097E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0CE8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1AF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94464"/>
    <w:rsid w:val="005A57CC"/>
    <w:rsid w:val="005A6B97"/>
    <w:rsid w:val="005C3EB9"/>
    <w:rsid w:val="005D105A"/>
    <w:rsid w:val="00625F36"/>
    <w:rsid w:val="00634088"/>
    <w:rsid w:val="00646C52"/>
    <w:rsid w:val="00646D11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1F60"/>
    <w:rsid w:val="006A3BB6"/>
    <w:rsid w:val="006E3E97"/>
    <w:rsid w:val="006F4646"/>
    <w:rsid w:val="00705DC8"/>
    <w:rsid w:val="007150D8"/>
    <w:rsid w:val="007462AF"/>
    <w:rsid w:val="007471F1"/>
    <w:rsid w:val="007759A6"/>
    <w:rsid w:val="007816C7"/>
    <w:rsid w:val="00783447"/>
    <w:rsid w:val="0078392B"/>
    <w:rsid w:val="0079704D"/>
    <w:rsid w:val="007B7560"/>
    <w:rsid w:val="007C74E0"/>
    <w:rsid w:val="007D06F1"/>
    <w:rsid w:val="007D3385"/>
    <w:rsid w:val="007F60B5"/>
    <w:rsid w:val="00810EC6"/>
    <w:rsid w:val="00812AED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6916"/>
    <w:rsid w:val="00897B8A"/>
    <w:rsid w:val="008A56B9"/>
    <w:rsid w:val="008B36BF"/>
    <w:rsid w:val="008B5764"/>
    <w:rsid w:val="008D09CA"/>
    <w:rsid w:val="008F0109"/>
    <w:rsid w:val="008F2DC2"/>
    <w:rsid w:val="008F54BD"/>
    <w:rsid w:val="009117FA"/>
    <w:rsid w:val="00927F12"/>
    <w:rsid w:val="00930605"/>
    <w:rsid w:val="009667A4"/>
    <w:rsid w:val="00981CAC"/>
    <w:rsid w:val="00981DEF"/>
    <w:rsid w:val="00994331"/>
    <w:rsid w:val="00994DCF"/>
    <w:rsid w:val="00995175"/>
    <w:rsid w:val="009966CB"/>
    <w:rsid w:val="00997820"/>
    <w:rsid w:val="009A75BB"/>
    <w:rsid w:val="009B2B04"/>
    <w:rsid w:val="009D1660"/>
    <w:rsid w:val="009D513B"/>
    <w:rsid w:val="009D662C"/>
    <w:rsid w:val="009D770D"/>
    <w:rsid w:val="009E6351"/>
    <w:rsid w:val="00A25E9B"/>
    <w:rsid w:val="00A27EAB"/>
    <w:rsid w:val="00A34818"/>
    <w:rsid w:val="00A45FB8"/>
    <w:rsid w:val="00A503BD"/>
    <w:rsid w:val="00A73CF4"/>
    <w:rsid w:val="00A84A08"/>
    <w:rsid w:val="00A8694C"/>
    <w:rsid w:val="00A87331"/>
    <w:rsid w:val="00A91676"/>
    <w:rsid w:val="00AA572B"/>
    <w:rsid w:val="00AA5821"/>
    <w:rsid w:val="00AB7467"/>
    <w:rsid w:val="00AE45C4"/>
    <w:rsid w:val="00B00ACC"/>
    <w:rsid w:val="00B109F8"/>
    <w:rsid w:val="00B131F1"/>
    <w:rsid w:val="00B23CE9"/>
    <w:rsid w:val="00B273F4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D38B1"/>
    <w:rsid w:val="00BE2C85"/>
    <w:rsid w:val="00BF5F01"/>
    <w:rsid w:val="00C0087D"/>
    <w:rsid w:val="00C041DF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5A1B"/>
    <w:rsid w:val="00C66897"/>
    <w:rsid w:val="00C74F1D"/>
    <w:rsid w:val="00C821D5"/>
    <w:rsid w:val="00C9207B"/>
    <w:rsid w:val="00C93B0C"/>
    <w:rsid w:val="00CA567C"/>
    <w:rsid w:val="00CB13F4"/>
    <w:rsid w:val="00CB38B3"/>
    <w:rsid w:val="00CB70C5"/>
    <w:rsid w:val="00CD4A23"/>
    <w:rsid w:val="00CD7369"/>
    <w:rsid w:val="00CE633D"/>
    <w:rsid w:val="00D10BEE"/>
    <w:rsid w:val="00D1508D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D2599"/>
    <w:rsid w:val="00DD4B7F"/>
    <w:rsid w:val="00DD6CF3"/>
    <w:rsid w:val="00DE76A7"/>
    <w:rsid w:val="00DF1756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ED7AE1"/>
    <w:rsid w:val="00F0340D"/>
    <w:rsid w:val="00F05F40"/>
    <w:rsid w:val="00F06026"/>
    <w:rsid w:val="00F16AAF"/>
    <w:rsid w:val="00F213F4"/>
    <w:rsid w:val="00F231FC"/>
    <w:rsid w:val="00F27FA5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BAA14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Props1.xml><?xml version="1.0" encoding="utf-8"?>
<ds:datastoreItem xmlns:ds="http://schemas.openxmlformats.org/officeDocument/2006/customXml" ds:itemID="{60C992A3-E2C3-4341-A5DB-7C0F149972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Fabiola Alejandra Abreu Iris</cp:lastModifiedBy>
  <cp:revision>24</cp:revision>
  <cp:lastPrinted>2026-06-17T17:31:00Z</cp:lastPrinted>
  <dcterms:created xsi:type="dcterms:W3CDTF">2026-07-24T04:18:00Z</dcterms:created>
  <dcterms:modified xsi:type="dcterms:W3CDTF">2026-08-03T15:52:00Z</dcterms:modified>
</cp:coreProperties>
</file>