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shd w:val="clear" w:color="auto" w:fill="235B4C"/>
        <w:tblCellMar>
          <w:top w:w="28" w:type="dxa"/>
          <w:left w:w="28" w:type="dxa"/>
          <w:bottom w:w="28" w:type="dxa"/>
          <w:right w:w="28" w:type="dxa"/>
        </w:tblCellMar>
        <w:tblLook w:val="04A0" w:firstRow="1" w:lastRow="0" w:firstColumn="1" w:lastColumn="0" w:noHBand="0" w:noVBand="1"/>
      </w:tblPr>
      <w:tblGrid>
        <w:gridCol w:w="4414"/>
        <w:gridCol w:w="4414"/>
      </w:tblGrid>
      <w:tr w:rsidR="005E4EF1" w14:paraId="7276CA63" w14:textId="77777777" w:rsidTr="005E4EF1">
        <w:tc>
          <w:tcPr>
            <w:tcW w:w="8828" w:type="dxa"/>
            <w:gridSpan w:val="2"/>
            <w:tcBorders>
              <w:top w:val="nil"/>
              <w:left w:val="nil"/>
              <w:bottom w:val="nil"/>
              <w:right w:val="nil"/>
            </w:tcBorders>
            <w:shd w:val="clear" w:color="auto" w:fill="235B4C"/>
          </w:tcPr>
          <w:p w14:paraId="7E7AD40E" w14:textId="77777777" w:rsidR="005E4EF1" w:rsidRPr="005E4EF1" w:rsidRDefault="005E4EF1" w:rsidP="005E4EF1">
            <w:pPr>
              <w:jc w:val="center"/>
              <w:rPr>
                <w:rFonts w:ascii="Noto Sans" w:hAnsi="Noto Sans" w:cs="Noto Sans"/>
                <w:color w:val="FFFFFF" w:themeColor="background1"/>
                <w:sz w:val="20"/>
                <w:szCs w:val="20"/>
              </w:rPr>
            </w:pPr>
            <w:r w:rsidRPr="005E4EF1">
              <w:rPr>
                <w:rFonts w:ascii="Noto Sans" w:hAnsi="Noto Sans" w:cs="Noto Sans"/>
                <w:color w:val="FFFFFF" w:themeColor="background1"/>
                <w:sz w:val="20"/>
                <w:szCs w:val="20"/>
              </w:rPr>
              <w:t>Estimación Oportuna del PIB Trimestral</w:t>
            </w:r>
          </w:p>
          <w:p w14:paraId="580A5CF0" w14:textId="24C91F40" w:rsidR="005E4EF1" w:rsidRPr="005E4EF1" w:rsidRDefault="005E4EF1" w:rsidP="005E4EF1">
            <w:pPr>
              <w:jc w:val="center"/>
              <w:rPr>
                <w:rFonts w:ascii="Noto Sans" w:hAnsi="Noto Sans" w:cs="Noto Sans"/>
                <w:b/>
                <w:bCs/>
                <w:color w:val="FFFFFF" w:themeColor="background1"/>
                <w:sz w:val="40"/>
                <w:szCs w:val="40"/>
              </w:rPr>
            </w:pPr>
            <w:r w:rsidRPr="005E4EF1">
              <w:rPr>
                <w:rFonts w:ascii="Noto Sans" w:hAnsi="Noto Sans" w:cs="Noto Sans"/>
                <w:b/>
                <w:bCs/>
                <w:color w:val="FFFFFF" w:themeColor="background1"/>
                <w:sz w:val="40"/>
                <w:szCs w:val="40"/>
              </w:rPr>
              <w:t xml:space="preserve">PIB Oportuno </w:t>
            </w:r>
            <w:r w:rsidRPr="005E4EF1">
              <w:rPr>
                <w:rFonts w:ascii="Noto Sans" w:eastAsia="Noto Sans" w:hAnsi="Noto Sans" w:cs="Noto Sans"/>
                <w:b/>
                <w:bCs/>
                <w:color w:val="FFFFFF" w:themeColor="background1"/>
                <w:sz w:val="40"/>
                <w:szCs w:val="40"/>
              </w:rPr>
              <w:t>·</w:t>
            </w:r>
            <w:r w:rsidRPr="005E4EF1">
              <w:rPr>
                <w:rFonts w:ascii="Noto Sans" w:eastAsia="Noto Sans" w:hAnsi="Noto Sans" w:cs="Noto Sans"/>
                <w:b/>
                <w:bCs/>
                <w:color w:val="FFFFFF" w:themeColor="background1"/>
                <w:sz w:val="40"/>
                <w:szCs w:val="40"/>
              </w:rPr>
              <w:t xml:space="preserve"> 1T 2026</w:t>
            </w:r>
          </w:p>
          <w:p w14:paraId="091B2C15" w14:textId="08C3E2A6" w:rsidR="005E4EF1" w:rsidRPr="005E4EF1" w:rsidRDefault="005E4EF1" w:rsidP="005E4EF1">
            <w:pPr>
              <w:jc w:val="center"/>
              <w:rPr>
                <w:sz w:val="20"/>
                <w:szCs w:val="20"/>
              </w:rPr>
            </w:pPr>
            <w:r w:rsidRPr="005E4EF1">
              <w:rPr>
                <w:rFonts w:ascii="Noto Sans" w:hAnsi="Noto Sans" w:cs="Noto Sans"/>
                <w:color w:val="FFFFFF" w:themeColor="background1"/>
                <w:sz w:val="20"/>
                <w:szCs w:val="20"/>
              </w:rPr>
              <w:t>Boletín del 30 de abril de 2026 | INEGI</w:t>
            </w:r>
          </w:p>
        </w:tc>
      </w:tr>
      <w:tr w:rsidR="005E4EF1" w14:paraId="14E8809D" w14:textId="77777777" w:rsidTr="005E4EF1">
        <w:tc>
          <w:tcPr>
            <w:tcW w:w="4414" w:type="dxa"/>
            <w:tcBorders>
              <w:top w:val="nil"/>
              <w:left w:val="nil"/>
              <w:bottom w:val="nil"/>
              <w:right w:val="nil"/>
            </w:tcBorders>
            <w:shd w:val="clear" w:color="auto" w:fill="611232"/>
          </w:tcPr>
          <w:p w14:paraId="49A09C26" w14:textId="77777777" w:rsidR="005E4EF1" w:rsidRPr="005E4EF1" w:rsidRDefault="005E4EF1" w:rsidP="005E4EF1">
            <w:pPr>
              <w:jc w:val="center"/>
              <w:rPr>
                <w:rFonts w:ascii="Noto Sans" w:hAnsi="Noto Sans" w:cs="Noto Sans"/>
              </w:rPr>
            </w:pPr>
            <w:r w:rsidRPr="005E4EF1">
              <w:rPr>
                <w:rFonts w:ascii="Noto Sans" w:eastAsia="Noto Sans" w:hAnsi="Noto Sans" w:cs="Noto Sans"/>
                <w:b/>
                <w:bCs/>
                <w:color w:val="D9C9A8"/>
                <w:spacing w:val="10"/>
                <w:sz w:val="17"/>
                <w:szCs w:val="17"/>
              </w:rPr>
              <w:t>VARIACIÓN TRIMESTRAL</w:t>
            </w:r>
          </w:p>
          <w:p w14:paraId="319337DF" w14:textId="77777777" w:rsidR="005E4EF1" w:rsidRPr="005E4EF1" w:rsidRDefault="005E4EF1" w:rsidP="005E4EF1">
            <w:pPr>
              <w:jc w:val="center"/>
              <w:rPr>
                <w:rFonts w:ascii="Noto Sans" w:hAnsi="Noto Sans" w:cs="Noto Sans"/>
              </w:rPr>
            </w:pPr>
            <w:r w:rsidRPr="005E4EF1">
              <w:rPr>
                <w:rFonts w:ascii="Arial" w:eastAsia="Noto Sans" w:hAnsi="Arial" w:cs="Arial"/>
                <w:b/>
                <w:bCs/>
                <w:color w:val="FFFFFF"/>
                <w:sz w:val="72"/>
                <w:szCs w:val="72"/>
              </w:rPr>
              <w:t>▼</w:t>
            </w:r>
            <w:r w:rsidRPr="005E4EF1">
              <w:rPr>
                <w:rFonts w:ascii="Noto Sans" w:eastAsia="Noto Sans" w:hAnsi="Noto Sans" w:cs="Noto Sans"/>
                <w:b/>
                <w:bCs/>
                <w:color w:val="FFFFFF"/>
                <w:sz w:val="72"/>
                <w:szCs w:val="72"/>
              </w:rPr>
              <w:t xml:space="preserve"> -0.8%</w:t>
            </w:r>
          </w:p>
          <w:p w14:paraId="6210A601" w14:textId="77D32639" w:rsidR="005E4EF1" w:rsidRPr="005E4EF1" w:rsidRDefault="005E4EF1" w:rsidP="005E4EF1">
            <w:pPr>
              <w:jc w:val="center"/>
              <w:rPr>
                <w:rFonts w:ascii="Noto Sans" w:hAnsi="Noto Sans" w:cs="Noto Sans"/>
                <w:color w:val="FFFFFF" w:themeColor="background1"/>
                <w:sz w:val="20"/>
                <w:szCs w:val="20"/>
              </w:rPr>
            </w:pPr>
            <w:r w:rsidRPr="005E4EF1">
              <w:rPr>
                <w:rFonts w:ascii="Noto Sans" w:eastAsia="Noto Sans" w:hAnsi="Noto Sans" w:cs="Noto Sans"/>
                <w:color w:val="E8DCC4"/>
                <w:sz w:val="16"/>
                <w:szCs w:val="16"/>
              </w:rPr>
              <w:t>Cifras desestacionalizadas · 1T2026</w:t>
            </w:r>
          </w:p>
        </w:tc>
        <w:tc>
          <w:tcPr>
            <w:tcW w:w="4414" w:type="dxa"/>
            <w:tcBorders>
              <w:top w:val="nil"/>
              <w:left w:val="nil"/>
              <w:bottom w:val="nil"/>
              <w:right w:val="nil"/>
            </w:tcBorders>
            <w:shd w:val="clear" w:color="auto" w:fill="F4F4F2"/>
          </w:tcPr>
          <w:p w14:paraId="64AA1195" w14:textId="77777777" w:rsidR="005E4EF1" w:rsidRPr="005E4EF1" w:rsidRDefault="005E4EF1" w:rsidP="005E4EF1">
            <w:pPr>
              <w:jc w:val="center"/>
              <w:rPr>
                <w:rFonts w:ascii="Noto Sans" w:hAnsi="Noto Sans" w:cs="Noto Sans"/>
              </w:rPr>
            </w:pPr>
            <w:r w:rsidRPr="005E4EF1">
              <w:rPr>
                <w:rFonts w:ascii="Noto Sans" w:eastAsia="Noto Sans" w:hAnsi="Noto Sans" w:cs="Noto Sans"/>
                <w:b/>
                <w:bCs/>
                <w:color w:val="8C8C8C"/>
                <w:spacing w:val="10"/>
                <w:sz w:val="17"/>
                <w:szCs w:val="17"/>
              </w:rPr>
              <w:t>VARIACIÓN ANUAL</w:t>
            </w:r>
          </w:p>
          <w:p w14:paraId="6B7169F4" w14:textId="77777777" w:rsidR="005E4EF1" w:rsidRPr="005E4EF1" w:rsidRDefault="005E4EF1" w:rsidP="005E4EF1">
            <w:pPr>
              <w:jc w:val="center"/>
              <w:rPr>
                <w:rFonts w:ascii="Noto Sans" w:hAnsi="Noto Sans" w:cs="Noto Sans"/>
              </w:rPr>
            </w:pPr>
            <w:r w:rsidRPr="005E4EF1">
              <w:rPr>
                <w:rFonts w:ascii="Arial" w:eastAsia="Noto Sans" w:hAnsi="Arial" w:cs="Arial"/>
                <w:b/>
                <w:bCs/>
                <w:color w:val="006341"/>
                <w:sz w:val="72"/>
                <w:szCs w:val="72"/>
              </w:rPr>
              <w:t>▲</w:t>
            </w:r>
            <w:r w:rsidRPr="005E4EF1">
              <w:rPr>
                <w:rFonts w:ascii="Noto Sans" w:eastAsia="Noto Sans" w:hAnsi="Noto Sans" w:cs="Noto Sans"/>
                <w:b/>
                <w:bCs/>
                <w:color w:val="006341"/>
                <w:sz w:val="72"/>
                <w:szCs w:val="72"/>
              </w:rPr>
              <w:t xml:space="preserve"> +0.2%</w:t>
            </w:r>
          </w:p>
          <w:p w14:paraId="7ACFE747" w14:textId="78FA93E6" w:rsidR="005E4EF1" w:rsidRPr="005E4EF1" w:rsidRDefault="005E4EF1" w:rsidP="005E4EF1">
            <w:pPr>
              <w:jc w:val="center"/>
              <w:rPr>
                <w:rFonts w:ascii="Noto Sans" w:hAnsi="Noto Sans" w:cs="Noto Sans"/>
                <w:color w:val="FFFFFF" w:themeColor="background1"/>
                <w:sz w:val="20"/>
                <w:szCs w:val="20"/>
              </w:rPr>
            </w:pPr>
            <w:r w:rsidRPr="005E4EF1">
              <w:rPr>
                <w:rFonts w:ascii="Noto Sans" w:eastAsia="Noto Sans" w:hAnsi="Noto Sans" w:cs="Noto Sans"/>
                <w:color w:val="6B6864"/>
                <w:sz w:val="16"/>
                <w:szCs w:val="16"/>
              </w:rPr>
              <w:t>Comparación 1T2026 vs 1T2025</w:t>
            </w:r>
          </w:p>
        </w:tc>
      </w:tr>
    </w:tbl>
    <w:p w14:paraId="0E62B40E" w14:textId="0820940C" w:rsidR="005E4EF1" w:rsidRPr="00863E15" w:rsidRDefault="005E4EF1" w:rsidP="00E263B4">
      <w:pPr>
        <w:spacing w:after="0" w:line="240" w:lineRule="auto"/>
        <w:rPr>
          <w:rFonts w:ascii="Noto Sans" w:eastAsia="Noto Sans" w:hAnsi="Noto Sans" w:cs="Noto Sans"/>
          <w:sz w:val="6"/>
          <w:szCs w:val="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4F4F2"/>
        <w:tblLook w:val="04A0" w:firstRow="1" w:lastRow="0" w:firstColumn="1" w:lastColumn="0" w:noHBand="0" w:noVBand="1"/>
      </w:tblPr>
      <w:tblGrid>
        <w:gridCol w:w="1471"/>
        <w:gridCol w:w="1471"/>
        <w:gridCol w:w="1471"/>
        <w:gridCol w:w="1472"/>
        <w:gridCol w:w="1471"/>
        <w:gridCol w:w="1472"/>
      </w:tblGrid>
      <w:tr w:rsidR="00EE383C" w:rsidRPr="00E263B4" w14:paraId="4DC29F11" w14:textId="77777777" w:rsidTr="00390772">
        <w:tc>
          <w:tcPr>
            <w:tcW w:w="2942" w:type="dxa"/>
            <w:gridSpan w:val="2"/>
            <w:shd w:val="clear" w:color="auto" w:fill="235B4C"/>
          </w:tcPr>
          <w:p w14:paraId="783515A1" w14:textId="29938620" w:rsidR="00EE383C" w:rsidRPr="00E263B4" w:rsidRDefault="00EE383C" w:rsidP="00EE383C">
            <w:pPr>
              <w:jc w:val="center"/>
              <w:rPr>
                <w:rFonts w:ascii="Noto Sans" w:hAnsi="Noto Sans" w:cs="Noto Sans"/>
                <w:b/>
                <w:bCs/>
                <w:color w:val="FFFFFF" w:themeColor="background1"/>
                <w:sz w:val="22"/>
                <w:szCs w:val="22"/>
              </w:rPr>
            </w:pPr>
            <w:r w:rsidRPr="00E263B4">
              <w:rPr>
                <w:rFonts w:ascii="Noto Sans" w:hAnsi="Noto Sans" w:cs="Noto Sans"/>
                <w:b/>
                <w:bCs/>
                <w:color w:val="FFFFFF" w:themeColor="background1"/>
                <w:sz w:val="22"/>
                <w:szCs w:val="22"/>
              </w:rPr>
              <w:t>Actividades primarias</w:t>
            </w:r>
          </w:p>
        </w:tc>
        <w:tc>
          <w:tcPr>
            <w:tcW w:w="2943" w:type="dxa"/>
            <w:gridSpan w:val="2"/>
            <w:shd w:val="clear" w:color="auto" w:fill="235B4C"/>
          </w:tcPr>
          <w:p w14:paraId="278BB9D3" w14:textId="1D0CC067" w:rsidR="00EE383C" w:rsidRPr="00E263B4" w:rsidRDefault="00EE383C" w:rsidP="00EE383C">
            <w:pPr>
              <w:jc w:val="center"/>
              <w:rPr>
                <w:rFonts w:ascii="Noto Sans" w:hAnsi="Noto Sans" w:cs="Noto Sans"/>
                <w:b/>
                <w:bCs/>
                <w:color w:val="FFFFFF" w:themeColor="background1"/>
                <w:sz w:val="22"/>
                <w:szCs w:val="22"/>
              </w:rPr>
            </w:pPr>
            <w:r w:rsidRPr="00E263B4">
              <w:rPr>
                <w:rFonts w:ascii="Noto Sans" w:hAnsi="Noto Sans" w:cs="Noto Sans"/>
                <w:b/>
                <w:bCs/>
                <w:color w:val="FFFFFF" w:themeColor="background1"/>
                <w:sz w:val="22"/>
                <w:szCs w:val="22"/>
              </w:rPr>
              <w:t>Actividades secundarias</w:t>
            </w:r>
          </w:p>
        </w:tc>
        <w:tc>
          <w:tcPr>
            <w:tcW w:w="2943" w:type="dxa"/>
            <w:gridSpan w:val="2"/>
            <w:shd w:val="clear" w:color="auto" w:fill="235B4C"/>
          </w:tcPr>
          <w:p w14:paraId="3664A2B4" w14:textId="486C761D" w:rsidR="00EE383C" w:rsidRPr="00E263B4" w:rsidRDefault="00EE383C" w:rsidP="00EE383C">
            <w:pPr>
              <w:jc w:val="center"/>
              <w:rPr>
                <w:rFonts w:ascii="Noto Sans" w:hAnsi="Noto Sans" w:cs="Noto Sans"/>
                <w:b/>
                <w:bCs/>
                <w:color w:val="FFFFFF" w:themeColor="background1"/>
                <w:sz w:val="22"/>
                <w:szCs w:val="22"/>
              </w:rPr>
            </w:pPr>
            <w:r w:rsidRPr="00E263B4">
              <w:rPr>
                <w:rFonts w:ascii="Noto Sans" w:hAnsi="Noto Sans" w:cs="Noto Sans"/>
                <w:b/>
                <w:bCs/>
                <w:color w:val="FFFFFF" w:themeColor="background1"/>
                <w:sz w:val="22"/>
                <w:szCs w:val="22"/>
              </w:rPr>
              <w:t>Actividades terciarias</w:t>
            </w:r>
          </w:p>
        </w:tc>
      </w:tr>
      <w:tr w:rsidR="00EE383C" w:rsidRPr="00E263B4" w14:paraId="39F775DC" w14:textId="77777777" w:rsidTr="00390772">
        <w:tc>
          <w:tcPr>
            <w:tcW w:w="1471" w:type="dxa"/>
            <w:tcBorders>
              <w:bottom w:val="single" w:sz="4" w:space="0" w:color="auto"/>
              <w:right w:val="single" w:sz="4" w:space="0" w:color="auto"/>
            </w:tcBorders>
            <w:shd w:val="clear" w:color="auto" w:fill="F4F4F2"/>
          </w:tcPr>
          <w:p w14:paraId="5021E3B7" w14:textId="536B5027" w:rsidR="00EE383C" w:rsidRPr="00E263B4" w:rsidRDefault="00EE383C" w:rsidP="00EE383C">
            <w:pPr>
              <w:jc w:val="center"/>
              <w:rPr>
                <w:rFonts w:ascii="Noto Sans" w:hAnsi="Noto Sans" w:cs="Noto Sans"/>
                <w:sz w:val="22"/>
                <w:szCs w:val="22"/>
              </w:rPr>
            </w:pPr>
            <w:r w:rsidRPr="00E263B4">
              <w:rPr>
                <w:rFonts w:ascii="Noto Sans" w:hAnsi="Noto Sans" w:cs="Noto Sans"/>
                <w:sz w:val="22"/>
                <w:szCs w:val="22"/>
              </w:rPr>
              <w:t>Trimestral</w:t>
            </w:r>
          </w:p>
        </w:tc>
        <w:tc>
          <w:tcPr>
            <w:tcW w:w="1471" w:type="dxa"/>
            <w:tcBorders>
              <w:left w:val="single" w:sz="4" w:space="0" w:color="auto"/>
              <w:bottom w:val="single" w:sz="4" w:space="0" w:color="auto"/>
              <w:right w:val="single" w:sz="4" w:space="0" w:color="auto"/>
            </w:tcBorders>
            <w:shd w:val="clear" w:color="auto" w:fill="F4F4F2"/>
          </w:tcPr>
          <w:p w14:paraId="51DB9FBB" w14:textId="7259A8B6" w:rsidR="00EE383C" w:rsidRPr="00E263B4" w:rsidRDefault="00EE383C" w:rsidP="00EE383C">
            <w:pPr>
              <w:jc w:val="center"/>
              <w:rPr>
                <w:rFonts w:ascii="Noto Sans" w:hAnsi="Noto Sans" w:cs="Noto Sans"/>
                <w:sz w:val="22"/>
                <w:szCs w:val="22"/>
              </w:rPr>
            </w:pPr>
            <w:r w:rsidRPr="00E263B4">
              <w:rPr>
                <w:rFonts w:ascii="Noto Sans" w:hAnsi="Noto Sans" w:cs="Noto Sans"/>
                <w:sz w:val="22"/>
                <w:szCs w:val="22"/>
              </w:rPr>
              <w:t>Anual</w:t>
            </w:r>
          </w:p>
        </w:tc>
        <w:tc>
          <w:tcPr>
            <w:tcW w:w="1471" w:type="dxa"/>
            <w:tcBorders>
              <w:left w:val="single" w:sz="4" w:space="0" w:color="auto"/>
              <w:bottom w:val="single" w:sz="4" w:space="0" w:color="auto"/>
              <w:right w:val="single" w:sz="4" w:space="0" w:color="auto"/>
            </w:tcBorders>
            <w:shd w:val="clear" w:color="auto" w:fill="F4F4F2"/>
          </w:tcPr>
          <w:p w14:paraId="373C8D8D" w14:textId="179F124E" w:rsidR="00EE383C" w:rsidRPr="00E263B4" w:rsidRDefault="00EE383C" w:rsidP="00EE383C">
            <w:pPr>
              <w:jc w:val="center"/>
              <w:rPr>
                <w:rFonts w:ascii="Noto Sans" w:hAnsi="Noto Sans" w:cs="Noto Sans"/>
                <w:sz w:val="22"/>
                <w:szCs w:val="22"/>
              </w:rPr>
            </w:pPr>
            <w:r w:rsidRPr="00E263B4">
              <w:rPr>
                <w:rFonts w:ascii="Noto Sans" w:hAnsi="Noto Sans" w:cs="Noto Sans"/>
                <w:sz w:val="22"/>
                <w:szCs w:val="22"/>
              </w:rPr>
              <w:t>Trimestral</w:t>
            </w:r>
          </w:p>
        </w:tc>
        <w:tc>
          <w:tcPr>
            <w:tcW w:w="1472" w:type="dxa"/>
            <w:tcBorders>
              <w:left w:val="single" w:sz="4" w:space="0" w:color="auto"/>
              <w:bottom w:val="single" w:sz="4" w:space="0" w:color="auto"/>
              <w:right w:val="single" w:sz="4" w:space="0" w:color="auto"/>
            </w:tcBorders>
            <w:shd w:val="clear" w:color="auto" w:fill="F4F4F2"/>
          </w:tcPr>
          <w:p w14:paraId="718BA491" w14:textId="172CFB35" w:rsidR="00EE383C" w:rsidRPr="00E263B4" w:rsidRDefault="00EE383C" w:rsidP="00EE383C">
            <w:pPr>
              <w:jc w:val="center"/>
              <w:rPr>
                <w:rFonts w:ascii="Noto Sans" w:hAnsi="Noto Sans" w:cs="Noto Sans"/>
                <w:sz w:val="22"/>
                <w:szCs w:val="22"/>
              </w:rPr>
            </w:pPr>
            <w:r w:rsidRPr="00E263B4">
              <w:rPr>
                <w:rFonts w:ascii="Noto Sans" w:hAnsi="Noto Sans" w:cs="Noto Sans"/>
                <w:sz w:val="22"/>
                <w:szCs w:val="22"/>
              </w:rPr>
              <w:t>Anual</w:t>
            </w:r>
          </w:p>
        </w:tc>
        <w:tc>
          <w:tcPr>
            <w:tcW w:w="1471" w:type="dxa"/>
            <w:tcBorders>
              <w:left w:val="single" w:sz="4" w:space="0" w:color="auto"/>
              <w:bottom w:val="single" w:sz="4" w:space="0" w:color="auto"/>
              <w:right w:val="single" w:sz="4" w:space="0" w:color="auto"/>
            </w:tcBorders>
            <w:shd w:val="clear" w:color="auto" w:fill="F4F4F2"/>
          </w:tcPr>
          <w:p w14:paraId="38612F5D" w14:textId="7815B04C" w:rsidR="00EE383C" w:rsidRPr="00E263B4" w:rsidRDefault="00EE383C" w:rsidP="00EE383C">
            <w:pPr>
              <w:jc w:val="center"/>
              <w:rPr>
                <w:rFonts w:ascii="Noto Sans" w:hAnsi="Noto Sans" w:cs="Noto Sans"/>
                <w:sz w:val="22"/>
                <w:szCs w:val="22"/>
              </w:rPr>
            </w:pPr>
            <w:r w:rsidRPr="00E263B4">
              <w:rPr>
                <w:rFonts w:ascii="Noto Sans" w:hAnsi="Noto Sans" w:cs="Noto Sans"/>
                <w:sz w:val="22"/>
                <w:szCs w:val="22"/>
              </w:rPr>
              <w:t>Trimestral</w:t>
            </w:r>
          </w:p>
        </w:tc>
        <w:tc>
          <w:tcPr>
            <w:tcW w:w="1472" w:type="dxa"/>
            <w:tcBorders>
              <w:left w:val="single" w:sz="4" w:space="0" w:color="auto"/>
              <w:bottom w:val="single" w:sz="4" w:space="0" w:color="auto"/>
            </w:tcBorders>
            <w:shd w:val="clear" w:color="auto" w:fill="F4F4F2"/>
          </w:tcPr>
          <w:p w14:paraId="15355480" w14:textId="315E18E6" w:rsidR="00EE383C" w:rsidRPr="00E263B4" w:rsidRDefault="00EE383C" w:rsidP="00EE383C">
            <w:pPr>
              <w:jc w:val="center"/>
              <w:rPr>
                <w:rFonts w:ascii="Noto Sans" w:hAnsi="Noto Sans" w:cs="Noto Sans"/>
                <w:sz w:val="22"/>
                <w:szCs w:val="22"/>
              </w:rPr>
            </w:pPr>
            <w:r w:rsidRPr="00E263B4">
              <w:rPr>
                <w:rFonts w:ascii="Noto Sans" w:hAnsi="Noto Sans" w:cs="Noto Sans"/>
                <w:sz w:val="22"/>
                <w:szCs w:val="22"/>
              </w:rPr>
              <w:t>Anual</w:t>
            </w:r>
          </w:p>
        </w:tc>
      </w:tr>
      <w:tr w:rsidR="00E263B4" w:rsidRPr="00E263B4" w14:paraId="5E7A8994" w14:textId="77777777" w:rsidTr="00390772">
        <w:trPr>
          <w:trHeight w:val="170"/>
        </w:trPr>
        <w:tc>
          <w:tcPr>
            <w:tcW w:w="1471" w:type="dxa"/>
            <w:tcBorders>
              <w:top w:val="single" w:sz="4" w:space="0" w:color="auto"/>
              <w:right w:val="single" w:sz="4" w:space="0" w:color="auto"/>
            </w:tcBorders>
            <w:shd w:val="clear" w:color="auto" w:fill="F4F4F2"/>
          </w:tcPr>
          <w:p w14:paraId="6D28866B" w14:textId="2D8E8961" w:rsidR="00E263B4" w:rsidRPr="00E263B4" w:rsidRDefault="00E263B4" w:rsidP="00E263B4">
            <w:pPr>
              <w:jc w:val="center"/>
              <w:rPr>
                <w:rFonts w:ascii="Noto Sans" w:hAnsi="Noto Sans" w:cs="Noto Sans"/>
                <w:sz w:val="22"/>
                <w:szCs w:val="22"/>
              </w:rPr>
            </w:pPr>
            <w:r w:rsidRPr="00E263B4">
              <w:rPr>
                <w:rFonts w:ascii="Arial" w:hAnsi="Arial" w:cs="Arial"/>
                <w:b/>
                <w:color w:val="C00000"/>
                <w:sz w:val="20"/>
              </w:rPr>
              <w:t>▼</w:t>
            </w:r>
            <w:r w:rsidRPr="00E263B4">
              <w:rPr>
                <w:rFonts w:ascii="Noto Sans" w:hAnsi="Noto Sans" w:cs="Noto Sans"/>
                <w:b/>
                <w:color w:val="C00000"/>
                <w:sz w:val="20"/>
              </w:rPr>
              <w:t xml:space="preserve"> -1.4 %</w:t>
            </w:r>
          </w:p>
        </w:tc>
        <w:tc>
          <w:tcPr>
            <w:tcW w:w="1471" w:type="dxa"/>
            <w:tcBorders>
              <w:top w:val="single" w:sz="4" w:space="0" w:color="auto"/>
              <w:left w:val="single" w:sz="4" w:space="0" w:color="auto"/>
              <w:right w:val="single" w:sz="4" w:space="0" w:color="auto"/>
            </w:tcBorders>
            <w:shd w:val="clear" w:color="auto" w:fill="F4F4F2"/>
          </w:tcPr>
          <w:p w14:paraId="46B99B5A" w14:textId="5039083B" w:rsidR="00E263B4" w:rsidRPr="00E263B4" w:rsidRDefault="00E263B4" w:rsidP="00E263B4">
            <w:pPr>
              <w:jc w:val="center"/>
              <w:rPr>
                <w:rFonts w:ascii="Noto Sans" w:hAnsi="Noto Sans" w:cs="Noto Sans"/>
                <w:sz w:val="22"/>
                <w:szCs w:val="22"/>
              </w:rPr>
            </w:pPr>
            <w:r w:rsidRPr="00E263B4">
              <w:rPr>
                <w:rFonts w:ascii="Arial" w:hAnsi="Arial" w:cs="Arial"/>
                <w:b/>
                <w:color w:val="C00000"/>
                <w:sz w:val="20"/>
              </w:rPr>
              <w:t>▼</w:t>
            </w:r>
            <w:r w:rsidRPr="00E263B4">
              <w:rPr>
                <w:rFonts w:ascii="Noto Sans" w:hAnsi="Noto Sans" w:cs="Noto Sans"/>
                <w:b/>
                <w:color w:val="C00000"/>
                <w:sz w:val="20"/>
              </w:rPr>
              <w:t xml:space="preserve"> -0.1 %</w:t>
            </w:r>
          </w:p>
        </w:tc>
        <w:tc>
          <w:tcPr>
            <w:tcW w:w="1471" w:type="dxa"/>
            <w:tcBorders>
              <w:top w:val="single" w:sz="4" w:space="0" w:color="auto"/>
              <w:left w:val="single" w:sz="4" w:space="0" w:color="auto"/>
              <w:right w:val="single" w:sz="4" w:space="0" w:color="auto"/>
            </w:tcBorders>
            <w:shd w:val="clear" w:color="auto" w:fill="F4F4F2"/>
          </w:tcPr>
          <w:p w14:paraId="59899580" w14:textId="687694E7" w:rsidR="00E263B4" w:rsidRPr="00E263B4" w:rsidRDefault="00E263B4" w:rsidP="00E263B4">
            <w:pPr>
              <w:jc w:val="center"/>
              <w:rPr>
                <w:rFonts w:ascii="Noto Sans" w:hAnsi="Noto Sans" w:cs="Noto Sans"/>
                <w:sz w:val="22"/>
                <w:szCs w:val="22"/>
              </w:rPr>
            </w:pPr>
            <w:r w:rsidRPr="00E263B4">
              <w:rPr>
                <w:rFonts w:ascii="Arial" w:hAnsi="Arial" w:cs="Arial"/>
                <w:b/>
                <w:color w:val="C00000"/>
                <w:sz w:val="20"/>
              </w:rPr>
              <w:t>▼</w:t>
            </w:r>
            <w:r w:rsidRPr="00E263B4">
              <w:rPr>
                <w:rFonts w:ascii="Noto Sans" w:hAnsi="Noto Sans" w:cs="Noto Sans"/>
                <w:b/>
                <w:color w:val="C00000"/>
                <w:sz w:val="20"/>
              </w:rPr>
              <w:t xml:space="preserve"> -1.1 %</w:t>
            </w:r>
          </w:p>
        </w:tc>
        <w:tc>
          <w:tcPr>
            <w:tcW w:w="1472" w:type="dxa"/>
            <w:tcBorders>
              <w:top w:val="single" w:sz="4" w:space="0" w:color="auto"/>
              <w:left w:val="single" w:sz="4" w:space="0" w:color="auto"/>
              <w:right w:val="single" w:sz="4" w:space="0" w:color="auto"/>
            </w:tcBorders>
            <w:shd w:val="clear" w:color="auto" w:fill="F4F4F2"/>
          </w:tcPr>
          <w:p w14:paraId="0E39261F" w14:textId="283B5815" w:rsidR="00E263B4" w:rsidRPr="00E263B4" w:rsidRDefault="00E263B4" w:rsidP="00E263B4">
            <w:pPr>
              <w:jc w:val="center"/>
              <w:rPr>
                <w:rFonts w:ascii="Noto Sans" w:hAnsi="Noto Sans" w:cs="Noto Sans"/>
                <w:sz w:val="22"/>
                <w:szCs w:val="22"/>
              </w:rPr>
            </w:pPr>
            <w:r w:rsidRPr="00E263B4">
              <w:rPr>
                <w:rFonts w:ascii="Arial" w:hAnsi="Arial" w:cs="Arial"/>
                <w:b/>
                <w:color w:val="C00000"/>
                <w:sz w:val="20"/>
              </w:rPr>
              <w:t>▼</w:t>
            </w:r>
            <w:r w:rsidRPr="00E263B4">
              <w:rPr>
                <w:rFonts w:ascii="Noto Sans" w:hAnsi="Noto Sans" w:cs="Noto Sans"/>
                <w:b/>
                <w:color w:val="C00000"/>
                <w:sz w:val="20"/>
              </w:rPr>
              <w:t xml:space="preserve"> -1.1 %</w:t>
            </w:r>
          </w:p>
        </w:tc>
        <w:tc>
          <w:tcPr>
            <w:tcW w:w="1471" w:type="dxa"/>
            <w:tcBorders>
              <w:top w:val="single" w:sz="4" w:space="0" w:color="auto"/>
              <w:left w:val="single" w:sz="4" w:space="0" w:color="auto"/>
              <w:right w:val="single" w:sz="4" w:space="0" w:color="auto"/>
            </w:tcBorders>
            <w:shd w:val="clear" w:color="auto" w:fill="F4F4F2"/>
          </w:tcPr>
          <w:p w14:paraId="417825D7" w14:textId="24CD5A81" w:rsidR="00E263B4" w:rsidRPr="00E263B4" w:rsidRDefault="00E263B4" w:rsidP="00E263B4">
            <w:pPr>
              <w:jc w:val="center"/>
              <w:rPr>
                <w:rFonts w:ascii="Noto Sans" w:hAnsi="Noto Sans" w:cs="Noto Sans"/>
                <w:sz w:val="22"/>
                <w:szCs w:val="22"/>
              </w:rPr>
            </w:pPr>
            <w:r w:rsidRPr="00E263B4">
              <w:rPr>
                <w:rFonts w:ascii="Arial" w:hAnsi="Arial" w:cs="Arial"/>
                <w:b/>
                <w:color w:val="C00000"/>
                <w:sz w:val="20"/>
              </w:rPr>
              <w:t>▼</w:t>
            </w:r>
            <w:r w:rsidRPr="00E263B4">
              <w:rPr>
                <w:rFonts w:ascii="Noto Sans" w:hAnsi="Noto Sans" w:cs="Noto Sans"/>
                <w:b/>
                <w:color w:val="C00000"/>
                <w:sz w:val="20"/>
              </w:rPr>
              <w:t xml:space="preserve"> -0.6 %</w:t>
            </w:r>
          </w:p>
        </w:tc>
        <w:tc>
          <w:tcPr>
            <w:tcW w:w="1472" w:type="dxa"/>
            <w:tcBorders>
              <w:top w:val="single" w:sz="4" w:space="0" w:color="auto"/>
              <w:left w:val="single" w:sz="4" w:space="0" w:color="auto"/>
            </w:tcBorders>
            <w:shd w:val="clear" w:color="auto" w:fill="F4F4F2"/>
          </w:tcPr>
          <w:p w14:paraId="395073E2" w14:textId="7515C50D" w:rsidR="00E263B4" w:rsidRPr="00E263B4" w:rsidRDefault="00E263B4" w:rsidP="00E263B4">
            <w:pPr>
              <w:jc w:val="center"/>
              <w:rPr>
                <w:rFonts w:ascii="Noto Sans" w:hAnsi="Noto Sans" w:cs="Noto Sans"/>
                <w:sz w:val="22"/>
                <w:szCs w:val="22"/>
              </w:rPr>
            </w:pPr>
            <w:r w:rsidRPr="00E263B4">
              <w:rPr>
                <w:rFonts w:ascii="Arial" w:hAnsi="Arial" w:cs="Arial"/>
                <w:b/>
                <w:color w:val="000000"/>
                <w:sz w:val="20"/>
              </w:rPr>
              <w:t>▲</w:t>
            </w:r>
            <w:r w:rsidRPr="00E263B4">
              <w:rPr>
                <w:rFonts w:ascii="Noto Sans" w:hAnsi="Noto Sans" w:cs="Noto Sans"/>
                <w:b/>
                <w:color w:val="000000"/>
                <w:sz w:val="20"/>
              </w:rPr>
              <w:t xml:space="preserve"> 0.9 %</w:t>
            </w:r>
          </w:p>
        </w:tc>
      </w:tr>
    </w:tbl>
    <w:p w14:paraId="2F662D28" w14:textId="77777777" w:rsidR="005E4EF1" w:rsidRPr="00863E15" w:rsidRDefault="005E4EF1" w:rsidP="005E4EF1">
      <w:pPr>
        <w:spacing w:after="0" w:line="240" w:lineRule="auto"/>
        <w:rPr>
          <w:rFonts w:ascii="Noto Sans" w:hAnsi="Noto Sans" w:cs="Noto Sans"/>
          <w:sz w:val="22"/>
          <w:szCs w:val="22"/>
        </w:rPr>
      </w:pPr>
    </w:p>
    <w:p w14:paraId="5043AE4B" w14:textId="28EB1728" w:rsidR="00E263B4" w:rsidRDefault="00E263B4" w:rsidP="00E263B4">
      <w:pPr>
        <w:spacing w:line="240" w:lineRule="auto"/>
        <w:rPr>
          <w:rFonts w:ascii="Noto Sans" w:eastAsia="Noto Sans" w:hAnsi="Noto Sans" w:cs="Noto Sans"/>
          <w:sz w:val="21"/>
          <w:szCs w:val="21"/>
        </w:rPr>
      </w:pPr>
      <w:r w:rsidRPr="00E263B4">
        <w:rPr>
          <w:rFonts w:ascii="Noto Sans" w:eastAsia="Noto Sans" w:hAnsi="Noto Sans" w:cs="Noto Sans"/>
          <w:b/>
          <w:bCs/>
          <w:color w:val="1A1A1A"/>
          <w:sz w:val="22"/>
          <w:szCs w:val="22"/>
        </w:rPr>
        <w:t>Es la segunda contracción trimestral más pronunciada desde 2023</w:t>
      </w:r>
      <w:r w:rsidRPr="00E263B4">
        <w:rPr>
          <w:rFonts w:ascii="Noto Sans" w:eastAsia="Noto Sans" w:hAnsi="Noto Sans" w:cs="Noto Sans"/>
          <w:b/>
          <w:bCs/>
          <w:sz w:val="22"/>
          <w:szCs w:val="22"/>
        </w:rPr>
        <w:t xml:space="preserve">. </w:t>
      </w:r>
      <w:r w:rsidRPr="00E263B4">
        <w:rPr>
          <w:rFonts w:ascii="Noto Sans" w:eastAsia="Noto Sans" w:hAnsi="Noto Sans" w:cs="Noto Sans"/>
          <w:sz w:val="21"/>
          <w:szCs w:val="21"/>
        </w:rPr>
        <w:t>El repunte del 4T2025 no se consolidó al inicio de 2026: a tasa anual el PIB oportuno aún creció, pero la secuencia trimestral ya está en terreno negativo.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4F4F2"/>
        <w:tblLook w:val="04A0" w:firstRow="1" w:lastRow="0" w:firstColumn="1" w:lastColumn="0" w:noHBand="0" w:noVBand="1"/>
      </w:tblPr>
      <w:tblGrid>
        <w:gridCol w:w="8828"/>
      </w:tblGrid>
      <w:tr w:rsidR="00E263B4" w14:paraId="0AFE73A9" w14:textId="77777777" w:rsidTr="00E263B4">
        <w:tc>
          <w:tcPr>
            <w:tcW w:w="8828" w:type="dxa"/>
            <w:shd w:val="clear" w:color="auto" w:fill="F4F4F2"/>
          </w:tcPr>
          <w:p w14:paraId="2D33E5EC" w14:textId="77777777" w:rsidR="00E263B4" w:rsidRPr="00E263B4" w:rsidRDefault="00E263B4" w:rsidP="00E263B4">
            <w:pPr>
              <w:shd w:val="clear" w:color="auto" w:fill="F4F4F2"/>
              <w:rPr>
                <w:rFonts w:ascii="Noto Sans" w:hAnsi="Noto Sans" w:cs="Noto Sans"/>
                <w:b/>
                <w:bCs/>
                <w:color w:val="10312B"/>
              </w:rPr>
            </w:pPr>
            <w:r w:rsidRPr="00E263B4">
              <w:rPr>
                <w:rFonts w:ascii="Noto Sans" w:hAnsi="Noto Sans" w:cs="Noto Sans"/>
                <w:b/>
                <w:bCs/>
                <w:color w:val="10312B"/>
              </w:rPr>
              <w:t>Resumen ejecutivo</w:t>
            </w:r>
          </w:p>
          <w:p w14:paraId="3B085FF5" w14:textId="77777777" w:rsidR="00E263B4" w:rsidRPr="00E263B4" w:rsidRDefault="00E263B4" w:rsidP="00E263B4">
            <w:pPr>
              <w:pStyle w:val="Prrafodelista"/>
              <w:numPr>
                <w:ilvl w:val="0"/>
                <w:numId w:val="2"/>
              </w:numPr>
              <w:shd w:val="clear" w:color="auto" w:fill="F4F4F2"/>
              <w:spacing w:before="30" w:after="30"/>
              <w:jc w:val="both"/>
              <w:rPr>
                <w:rFonts w:ascii="Noto Sans" w:hAnsi="Noto Sans" w:cs="Noto Sans"/>
                <w:color w:val="000000"/>
                <w:sz w:val="20"/>
              </w:rPr>
            </w:pPr>
            <w:r w:rsidRPr="00E263B4">
              <w:rPr>
                <w:rFonts w:ascii="Noto Sans" w:hAnsi="Noto Sans" w:cs="Noto Sans"/>
                <w:color w:val="000000"/>
                <w:sz w:val="20"/>
              </w:rPr>
              <w:t xml:space="preserve">El </w:t>
            </w:r>
            <w:r w:rsidRPr="00E263B4">
              <w:rPr>
                <w:rFonts w:ascii="Noto Sans" w:hAnsi="Noto Sans" w:cs="Noto Sans"/>
                <w:b/>
                <w:color w:val="000000"/>
                <w:sz w:val="20"/>
              </w:rPr>
              <w:t>PIB oportuno cayó</w:t>
            </w:r>
            <w:r w:rsidRPr="00E263B4">
              <w:rPr>
                <w:rFonts w:ascii="Noto Sans" w:hAnsi="Noto Sans" w:cs="Noto Sans"/>
                <w:color w:val="000000"/>
                <w:sz w:val="20"/>
              </w:rPr>
              <w:t xml:space="preserve"> </w:t>
            </w:r>
            <w:r w:rsidRPr="00E263B4">
              <w:rPr>
                <w:rFonts w:ascii="Noto Sans" w:hAnsi="Noto Sans" w:cs="Noto Sans"/>
                <w:b/>
                <w:color w:val="000000"/>
                <w:sz w:val="20"/>
              </w:rPr>
              <w:t>0.8% trimestral</w:t>
            </w:r>
            <w:r w:rsidRPr="00E263B4">
              <w:rPr>
                <w:rFonts w:ascii="Noto Sans" w:hAnsi="Noto Sans" w:cs="Noto Sans"/>
                <w:color w:val="000000"/>
                <w:sz w:val="20"/>
              </w:rPr>
              <w:t xml:space="preserve"> en el 1T2026, con cifras desestacionalizadas; es la segunda contracción trimestral más pronunciada del periodo, sólo detrás del -1.0% registrado en el 4T2024.</w:t>
            </w:r>
          </w:p>
          <w:p w14:paraId="4B560FF2" w14:textId="77777777" w:rsidR="00E263B4" w:rsidRPr="00E263B4" w:rsidRDefault="00E263B4" w:rsidP="00E263B4">
            <w:pPr>
              <w:pStyle w:val="Prrafodelista"/>
              <w:numPr>
                <w:ilvl w:val="0"/>
                <w:numId w:val="2"/>
              </w:numPr>
              <w:shd w:val="clear" w:color="auto" w:fill="F4F4F2"/>
              <w:spacing w:before="30" w:after="30"/>
              <w:jc w:val="both"/>
              <w:rPr>
                <w:rFonts w:ascii="Noto Sans" w:hAnsi="Noto Sans" w:cs="Noto Sans"/>
                <w:color w:val="000000"/>
                <w:sz w:val="20"/>
              </w:rPr>
            </w:pPr>
            <w:r w:rsidRPr="00E263B4">
              <w:rPr>
                <w:rFonts w:ascii="Noto Sans" w:hAnsi="Noto Sans" w:cs="Noto Sans"/>
                <w:color w:val="000000"/>
                <w:sz w:val="20"/>
              </w:rPr>
              <w:t xml:space="preserve">Aunque a </w:t>
            </w:r>
            <w:r w:rsidRPr="00E263B4">
              <w:rPr>
                <w:rFonts w:ascii="Noto Sans" w:hAnsi="Noto Sans" w:cs="Noto Sans"/>
                <w:b/>
                <w:color w:val="000000"/>
                <w:sz w:val="20"/>
              </w:rPr>
              <w:t>tasa anual el PIB oportuno creció 0.2%,</w:t>
            </w:r>
            <w:r w:rsidRPr="00E263B4">
              <w:rPr>
                <w:rFonts w:ascii="Noto Sans" w:hAnsi="Noto Sans" w:cs="Noto Sans"/>
                <w:color w:val="000000"/>
                <w:sz w:val="20"/>
              </w:rPr>
              <w:t xml:space="preserve"> el dato sugiere una pérdida de dinamismo frente al cierre de 2025 y se mantiene lejos de los crecimientos observados al inicio de 2023.</w:t>
            </w:r>
          </w:p>
          <w:p w14:paraId="59F444C1" w14:textId="451358B7" w:rsidR="00E263B4" w:rsidRPr="00E263B4" w:rsidRDefault="00E263B4" w:rsidP="00E263B4">
            <w:pPr>
              <w:pStyle w:val="Prrafodelista"/>
              <w:numPr>
                <w:ilvl w:val="0"/>
                <w:numId w:val="2"/>
              </w:numPr>
              <w:shd w:val="clear" w:color="auto" w:fill="F4F4F2"/>
              <w:spacing w:before="30" w:after="30"/>
              <w:jc w:val="both"/>
              <w:rPr>
                <w:rFonts w:ascii="Noto Sans" w:hAnsi="Noto Sans" w:cs="Noto Sans"/>
              </w:rPr>
            </w:pPr>
            <w:r w:rsidRPr="00E263B4">
              <w:rPr>
                <w:rFonts w:ascii="Noto Sans" w:hAnsi="Noto Sans" w:cs="Noto Sans"/>
                <w:color w:val="000000"/>
                <w:sz w:val="20"/>
              </w:rPr>
              <w:t>La contracción</w:t>
            </w:r>
            <w:r w:rsidRPr="00E263B4">
              <w:rPr>
                <w:rFonts w:ascii="Noto Sans" w:hAnsi="Noto Sans" w:cs="Noto Sans"/>
                <w:b/>
                <w:color w:val="000000"/>
                <w:sz w:val="20"/>
              </w:rPr>
              <w:t xml:space="preserve"> </w:t>
            </w:r>
            <w:r w:rsidRPr="00E263B4">
              <w:rPr>
                <w:rFonts w:ascii="Noto Sans" w:hAnsi="Noto Sans" w:cs="Noto Sans"/>
                <w:color w:val="000000"/>
                <w:sz w:val="20"/>
              </w:rPr>
              <w:t>trimestral</w:t>
            </w:r>
            <w:r w:rsidRPr="00E263B4">
              <w:rPr>
                <w:rFonts w:ascii="Noto Sans" w:hAnsi="Noto Sans" w:cs="Noto Sans"/>
                <w:b/>
                <w:color w:val="000000"/>
                <w:sz w:val="20"/>
              </w:rPr>
              <w:t xml:space="preserve"> </w:t>
            </w:r>
            <w:r w:rsidRPr="00E263B4">
              <w:rPr>
                <w:rFonts w:ascii="Noto Sans" w:hAnsi="Noto Sans" w:cs="Noto Sans"/>
                <w:color w:val="000000"/>
                <w:sz w:val="20"/>
              </w:rPr>
              <w:t>fue</w:t>
            </w:r>
            <w:r w:rsidRPr="00E263B4">
              <w:rPr>
                <w:rFonts w:ascii="Noto Sans" w:hAnsi="Noto Sans" w:cs="Noto Sans"/>
                <w:b/>
                <w:color w:val="000000"/>
                <w:sz w:val="20"/>
              </w:rPr>
              <w:t xml:space="preserve"> </w:t>
            </w:r>
            <w:r w:rsidRPr="00E263B4">
              <w:rPr>
                <w:rFonts w:ascii="Noto Sans" w:hAnsi="Noto Sans" w:cs="Noto Sans"/>
                <w:color w:val="000000"/>
                <w:sz w:val="20"/>
              </w:rPr>
              <w:t>generalizada: primarias -1.4%, secundarias -1.1% y terciarias -0.6%. Destaca la debilidad de las actividades secundarias, que también cayeron 1.1% anual.</w:t>
            </w:r>
          </w:p>
        </w:tc>
      </w:tr>
    </w:tbl>
    <w:p w14:paraId="37A3CBFD" w14:textId="77777777" w:rsidR="00E263B4" w:rsidRPr="00863E15" w:rsidRDefault="00E263B4" w:rsidP="00863E15">
      <w:pPr>
        <w:keepNext/>
        <w:spacing w:after="0"/>
        <w:jc w:val="both"/>
        <w:rPr>
          <w:rFonts w:ascii="Noto Sans" w:hAnsi="Noto Sans" w:cs="Noto Sans"/>
          <w:b/>
          <w:color w:val="000000" w:themeColor="text1"/>
          <w:sz w:val="22"/>
          <w:szCs w:val="22"/>
        </w:rPr>
      </w:pPr>
    </w:p>
    <w:p w14:paraId="16BEC063" w14:textId="242BDA70" w:rsidR="00E263B4" w:rsidRPr="00863E15" w:rsidRDefault="00E263B4" w:rsidP="00863E15">
      <w:pPr>
        <w:keepNext/>
        <w:spacing w:after="0" w:line="240" w:lineRule="auto"/>
        <w:jc w:val="center"/>
        <w:rPr>
          <w:rFonts w:ascii="Noto Sans" w:hAnsi="Noto Sans" w:cs="Noto Sans"/>
          <w:b/>
          <w:color w:val="10312B"/>
          <w:sz w:val="22"/>
          <w:szCs w:val="22"/>
        </w:rPr>
      </w:pPr>
      <w:r w:rsidRPr="00863E15">
        <w:rPr>
          <w:rFonts w:ascii="Noto Sans" w:hAnsi="Noto Sans" w:cs="Noto Sans"/>
          <w:b/>
          <w:color w:val="10312B"/>
          <w:sz w:val="22"/>
          <w:szCs w:val="22"/>
        </w:rPr>
        <w:t>Variación trimestral del PIB, cifras desestacionalizadas, 1T2023–1T2026</w:t>
      </w:r>
    </w:p>
    <w:p w14:paraId="550AF92A" w14:textId="77777777" w:rsidR="00863E15" w:rsidRDefault="00E263B4" w:rsidP="00863E15">
      <w:pPr>
        <w:spacing w:line="240" w:lineRule="auto"/>
        <w:jc w:val="center"/>
        <w:rPr>
          <w:rFonts w:ascii="Noto Sans" w:hAnsi="Noto Sans" w:cs="Noto Sans"/>
          <w:color w:val="10312B"/>
          <w:sz w:val="22"/>
          <w:szCs w:val="22"/>
        </w:rPr>
      </w:pPr>
      <w:r>
        <w:rPr>
          <w:noProof/>
        </w:rPr>
        <w:drawing>
          <wp:inline distT="0" distB="0" distL="0" distR="0" wp14:anchorId="361C8D98" wp14:editId="24C1E062">
            <wp:extent cx="4872609" cy="193357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a1.png"/>
                    <pic:cNvPicPr/>
                  </pic:nvPicPr>
                  <pic:blipFill>
                    <a:blip r:embed="rId8"/>
                    <a:stretch>
                      <a:fillRect/>
                    </a:stretch>
                  </pic:blipFill>
                  <pic:spPr>
                    <a:xfrm>
                      <a:off x="0" y="0"/>
                      <a:ext cx="4983612" cy="1977624"/>
                    </a:xfrm>
                    <a:prstGeom prst="rect">
                      <a:avLst/>
                    </a:prstGeom>
                  </pic:spPr>
                </pic:pic>
              </a:graphicData>
            </a:graphic>
          </wp:inline>
        </w:drawing>
      </w:r>
    </w:p>
    <w:p w14:paraId="024FA487" w14:textId="3CC9C746" w:rsidR="00E263B4" w:rsidRDefault="00863E15" w:rsidP="00863E15">
      <w:pPr>
        <w:spacing w:after="0" w:line="240" w:lineRule="auto"/>
        <w:jc w:val="both"/>
        <w:rPr>
          <w:rFonts w:ascii="Noto Sans" w:hAnsi="Noto Sans" w:cs="Noto Sans"/>
          <w:color w:val="10312B"/>
          <w:sz w:val="22"/>
          <w:szCs w:val="22"/>
        </w:rPr>
      </w:pPr>
      <w:r w:rsidRPr="00E263B4">
        <w:rPr>
          <w:rFonts w:ascii="Noto Sans" w:hAnsi="Noto Sans" w:cs="Noto Sans"/>
          <w:color w:val="10312B"/>
          <w:sz w:val="22"/>
          <w:szCs w:val="22"/>
        </w:rPr>
        <w:t>La caída de 0.8 % en el 1T2026 (barra roja) es la segunda más pronunciada de la serie, y rompe con dos trimestres consecutivos de crecimiento.</w:t>
      </w:r>
    </w:p>
    <w:p w14:paraId="3E2C6B38" w14:textId="77777777" w:rsidR="00863E15" w:rsidRPr="00863E15" w:rsidRDefault="00863E15" w:rsidP="00863E15">
      <w:pPr>
        <w:shd w:val="clear" w:color="auto" w:fill="005E4C"/>
        <w:spacing w:after="0" w:line="240" w:lineRule="auto"/>
        <w:jc w:val="both"/>
        <w:rPr>
          <w:rFonts w:ascii="Noto Sans" w:hAnsi="Noto Sans" w:cs="Noto Sans"/>
          <w:b/>
          <w:bCs/>
          <w:color w:val="FFFFFF" w:themeColor="background1"/>
          <w:sz w:val="22"/>
          <w:szCs w:val="22"/>
        </w:rPr>
      </w:pPr>
      <w:r w:rsidRPr="00863E15">
        <w:rPr>
          <w:rFonts w:ascii="Noto Sans" w:hAnsi="Noto Sans" w:cs="Noto Sans"/>
          <w:b/>
          <w:bCs/>
          <w:color w:val="FFFFFF" w:themeColor="background1"/>
          <w:sz w:val="22"/>
          <w:szCs w:val="22"/>
        </w:rPr>
        <w:lastRenderedPageBreak/>
        <w:t>Análisis</w:t>
      </w:r>
    </w:p>
    <w:p w14:paraId="491A0A27" w14:textId="61047D5C" w:rsidR="00863E15" w:rsidRPr="00863E15" w:rsidRDefault="00863E15" w:rsidP="00863E15">
      <w:pPr>
        <w:pStyle w:val="pdq2pgselectionanchorcontainer"/>
        <w:numPr>
          <w:ilvl w:val="0"/>
          <w:numId w:val="5"/>
        </w:numPr>
        <w:spacing w:before="0" w:beforeAutospacing="0" w:after="0" w:afterAutospacing="0"/>
        <w:jc w:val="both"/>
        <w:rPr>
          <w:rFonts w:ascii="Noto Sans" w:hAnsi="Noto Sans" w:cs="Noto Sans"/>
          <w:color w:val="000000"/>
          <w:sz w:val="22"/>
          <w:szCs w:val="22"/>
          <w:lang w:eastAsia="es-MX"/>
        </w:rPr>
      </w:pPr>
      <w:r>
        <w:rPr>
          <w:rFonts w:ascii="Noto Sans" w:hAnsi="Noto Sans" w:cs="Noto Sans"/>
          <w:color w:val="000000"/>
          <w:sz w:val="22"/>
          <w:szCs w:val="22"/>
          <w:lang w:eastAsia="es-MX"/>
        </w:rPr>
        <w:t xml:space="preserve">El componente de </w:t>
      </w:r>
      <w:r w:rsidRPr="00863E15">
        <w:rPr>
          <w:rFonts w:ascii="Noto Sans" w:hAnsi="Noto Sans" w:cs="Noto Sans"/>
          <w:b/>
          <w:bCs/>
          <w:color w:val="000000"/>
          <w:sz w:val="22"/>
          <w:szCs w:val="22"/>
          <w:lang w:eastAsia="es-MX"/>
        </w:rPr>
        <w:t>actividades secundarias</w:t>
      </w:r>
      <w:r w:rsidRPr="00863E15">
        <w:rPr>
          <w:rFonts w:ascii="Noto Sans" w:hAnsi="Noto Sans" w:cs="Noto Sans"/>
          <w:color w:val="000000"/>
          <w:sz w:val="22"/>
          <w:szCs w:val="22"/>
          <w:lang w:eastAsia="es-MX"/>
        </w:rPr>
        <w:t>, que agrupan industria, construcción, minería y energía</w:t>
      </w:r>
      <w:r>
        <w:rPr>
          <w:rFonts w:ascii="Noto Sans" w:hAnsi="Noto Sans" w:cs="Noto Sans"/>
          <w:color w:val="000000"/>
          <w:sz w:val="22"/>
          <w:szCs w:val="22"/>
          <w:lang w:eastAsia="es-MX"/>
        </w:rPr>
        <w:t>,</w:t>
      </w:r>
      <w:r w:rsidRPr="00863E15">
        <w:rPr>
          <w:rFonts w:ascii="Noto Sans" w:hAnsi="Noto Sans" w:cs="Noto Sans"/>
          <w:color w:val="000000"/>
          <w:sz w:val="22"/>
          <w:szCs w:val="22"/>
          <w:lang w:eastAsia="es-MX"/>
        </w:rPr>
        <w:t xml:space="preserve"> cayó tanto en términos trimestrales como anuales, lo que apunta a una debilidad persistente en la producción de bienes.</w:t>
      </w:r>
    </w:p>
    <w:p w14:paraId="07044699" w14:textId="044A1734" w:rsidR="00863E15" w:rsidRPr="00863E15" w:rsidRDefault="00863E15" w:rsidP="00863E15">
      <w:pPr>
        <w:pStyle w:val="pdq2pgselectionanchorcontainer"/>
        <w:numPr>
          <w:ilvl w:val="0"/>
          <w:numId w:val="5"/>
        </w:numPr>
        <w:spacing w:before="0" w:beforeAutospacing="0" w:after="0" w:afterAutospacing="0"/>
        <w:jc w:val="both"/>
        <w:rPr>
          <w:rFonts w:ascii="Noto Sans" w:hAnsi="Noto Sans" w:cs="Noto Sans"/>
          <w:color w:val="000000"/>
          <w:sz w:val="22"/>
          <w:szCs w:val="22"/>
          <w:lang w:eastAsia="es-MX"/>
        </w:rPr>
      </w:pPr>
      <w:r w:rsidRPr="00863E15">
        <w:rPr>
          <w:rFonts w:ascii="Noto Sans" w:hAnsi="Noto Sans" w:cs="Noto Sans"/>
          <w:color w:val="000000"/>
          <w:sz w:val="22"/>
          <w:szCs w:val="22"/>
        </w:rPr>
        <w:t xml:space="preserve">El crecimiento anual del PIB se mantiene positivo, pero se explica principalmente por las </w:t>
      </w:r>
      <w:r w:rsidRPr="00863E15">
        <w:rPr>
          <w:rFonts w:ascii="Noto Sans" w:hAnsi="Noto Sans" w:cs="Noto Sans"/>
          <w:b/>
          <w:bCs/>
          <w:color w:val="000000"/>
          <w:sz w:val="22"/>
          <w:szCs w:val="22"/>
        </w:rPr>
        <w:t>actividades terciarias</w:t>
      </w:r>
      <w:r w:rsidRPr="00863E15">
        <w:rPr>
          <w:rFonts w:ascii="Noto Sans" w:hAnsi="Noto Sans" w:cs="Noto Sans"/>
          <w:color w:val="000000"/>
          <w:sz w:val="22"/>
          <w:szCs w:val="22"/>
        </w:rPr>
        <w:t>, es decir, comercio y servicios. Esto sugiere que la economía sigue apoyándose más en el consumo de servicios que en una recuperación clara de la actividad productiva.</w:t>
      </w:r>
    </w:p>
    <w:p w14:paraId="4A15198C" w14:textId="77777777" w:rsidR="00863E15" w:rsidRPr="00863E15" w:rsidRDefault="00863E15" w:rsidP="00863E15">
      <w:pPr>
        <w:pStyle w:val="NormalWeb"/>
        <w:numPr>
          <w:ilvl w:val="0"/>
          <w:numId w:val="5"/>
        </w:numPr>
        <w:spacing w:before="0" w:beforeAutospacing="0" w:after="0" w:afterAutospacing="0"/>
        <w:jc w:val="both"/>
        <w:rPr>
          <w:rFonts w:ascii="Noto Sans" w:hAnsi="Noto Sans" w:cs="Noto Sans"/>
          <w:color w:val="000000"/>
          <w:sz w:val="22"/>
          <w:szCs w:val="22"/>
        </w:rPr>
      </w:pPr>
      <w:r w:rsidRPr="00863E15">
        <w:rPr>
          <w:rFonts w:ascii="Noto Sans" w:hAnsi="Noto Sans" w:cs="Noto Sans"/>
          <w:color w:val="000000"/>
          <w:sz w:val="22"/>
          <w:szCs w:val="22"/>
        </w:rPr>
        <w:t>Para la agenda de política industrial, el dato exige cautela: la recuperación asociada a inversión, manufactura y relocalización todavía no se refleja con fuerza en las actividades secundarias.</w:t>
      </w:r>
    </w:p>
    <w:p w14:paraId="63984723" w14:textId="77777777" w:rsidR="00863E15" w:rsidRDefault="00863E15" w:rsidP="00863E15">
      <w:pPr>
        <w:keepNext/>
        <w:spacing w:after="0" w:line="240" w:lineRule="auto"/>
        <w:jc w:val="both"/>
        <w:rPr>
          <w:rFonts w:ascii="Noto Sans" w:hAnsi="Noto Sans" w:cs="Noto Sans"/>
          <w:b/>
          <w:color w:val="000000" w:themeColor="text1"/>
          <w:sz w:val="22"/>
          <w:szCs w:val="22"/>
        </w:rPr>
      </w:pPr>
    </w:p>
    <w:p w14:paraId="6B65FE90" w14:textId="0381B57D" w:rsidR="00863E15" w:rsidRPr="00863E15" w:rsidRDefault="00863E15" w:rsidP="00863E15">
      <w:pPr>
        <w:keepNext/>
        <w:spacing w:after="0" w:line="240" w:lineRule="auto"/>
        <w:jc w:val="center"/>
        <w:rPr>
          <w:rFonts w:ascii="Noto Sans" w:hAnsi="Noto Sans" w:cs="Noto Sans"/>
          <w:color w:val="000000" w:themeColor="text1"/>
          <w:sz w:val="22"/>
          <w:szCs w:val="22"/>
        </w:rPr>
      </w:pPr>
      <w:r w:rsidRPr="00863E15">
        <w:rPr>
          <w:rFonts w:ascii="Noto Sans" w:hAnsi="Noto Sans" w:cs="Noto Sans"/>
          <w:b/>
          <w:color w:val="10312B"/>
          <w:sz w:val="22"/>
          <w:szCs w:val="22"/>
        </w:rPr>
        <w:t>Variación anual del PIB, cifras originales, 1T2023–1T2026</w:t>
      </w:r>
    </w:p>
    <w:p w14:paraId="05EA6A9B" w14:textId="77777777" w:rsidR="00863E15" w:rsidRDefault="00863E15" w:rsidP="00863E15">
      <w:pPr>
        <w:spacing w:after="0" w:line="240" w:lineRule="auto"/>
        <w:jc w:val="center"/>
        <w:rPr>
          <w:rFonts w:ascii="Noto Sans" w:hAnsi="Noto Sans" w:cs="Noto Sans"/>
          <w:color w:val="4C545B"/>
          <w:sz w:val="22"/>
          <w:szCs w:val="22"/>
        </w:rPr>
      </w:pPr>
      <w:r w:rsidRPr="00863E15">
        <w:rPr>
          <w:rFonts w:ascii="Noto Sans" w:hAnsi="Noto Sans" w:cs="Noto Sans"/>
          <w:noProof/>
          <w:sz w:val="22"/>
          <w:szCs w:val="22"/>
        </w:rPr>
        <w:drawing>
          <wp:inline distT="0" distB="0" distL="0" distR="0" wp14:anchorId="2F4CA5F0" wp14:editId="2A86B571">
            <wp:extent cx="5120640" cy="20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a2.png"/>
                    <pic:cNvPicPr/>
                  </pic:nvPicPr>
                  <pic:blipFill>
                    <a:blip r:embed="rId9"/>
                    <a:stretch>
                      <a:fillRect/>
                    </a:stretch>
                  </pic:blipFill>
                  <pic:spPr>
                    <a:xfrm>
                      <a:off x="0" y="0"/>
                      <a:ext cx="5120640" cy="2032000"/>
                    </a:xfrm>
                    <a:prstGeom prst="rect">
                      <a:avLst/>
                    </a:prstGeom>
                  </pic:spPr>
                </pic:pic>
              </a:graphicData>
            </a:graphic>
          </wp:inline>
        </w:drawing>
      </w:r>
    </w:p>
    <w:p w14:paraId="119F2782" w14:textId="77777777" w:rsidR="00863E15" w:rsidRPr="00863E15" w:rsidRDefault="00863E15" w:rsidP="00863E15">
      <w:pPr>
        <w:keepNext/>
        <w:spacing w:after="0" w:line="240" w:lineRule="auto"/>
        <w:jc w:val="both"/>
        <w:rPr>
          <w:rFonts w:ascii="Noto Sans" w:hAnsi="Noto Sans" w:cs="Noto Sans"/>
          <w:color w:val="10312B"/>
          <w:sz w:val="22"/>
          <w:szCs w:val="22"/>
        </w:rPr>
      </w:pPr>
      <w:r w:rsidRPr="00863E15">
        <w:rPr>
          <w:rFonts w:ascii="Noto Sans" w:hAnsi="Noto Sans" w:cs="Noto Sans"/>
          <w:color w:val="10312B"/>
          <w:sz w:val="22"/>
          <w:szCs w:val="22"/>
        </w:rPr>
        <w:t>El crecimiento anual muestra una desaceleración sostenida; el repunte del 4T2025 no se mantuvo en el 1T2026.</w:t>
      </w:r>
    </w:p>
    <w:p w14:paraId="0D0880CC" w14:textId="77777777" w:rsidR="00863E15" w:rsidRPr="00863E15" w:rsidRDefault="00863E15" w:rsidP="00863E15">
      <w:pPr>
        <w:spacing w:after="0" w:line="240" w:lineRule="auto"/>
        <w:rPr>
          <w:rFonts w:ascii="Noto Sans" w:hAnsi="Noto Sans" w:cs="Noto Sans"/>
          <w:color w:val="4C545B"/>
          <w:sz w:val="22"/>
          <w:szCs w:val="22"/>
        </w:rPr>
      </w:pPr>
    </w:p>
    <w:p w14:paraId="1A41C656" w14:textId="77777777" w:rsidR="00863E15" w:rsidRPr="00863E15" w:rsidRDefault="00863E15" w:rsidP="00863E15">
      <w:pPr>
        <w:shd w:val="clear" w:color="auto" w:fill="005E4C"/>
        <w:spacing w:after="0" w:line="240" w:lineRule="auto"/>
        <w:jc w:val="both"/>
        <w:rPr>
          <w:rFonts w:ascii="Noto Sans" w:hAnsi="Noto Sans" w:cs="Noto Sans"/>
          <w:b/>
          <w:bCs/>
          <w:color w:val="FFFFFF" w:themeColor="background1"/>
          <w:sz w:val="22"/>
          <w:szCs w:val="22"/>
        </w:rPr>
      </w:pPr>
      <w:r w:rsidRPr="00863E15">
        <w:rPr>
          <w:rFonts w:ascii="Noto Sans" w:hAnsi="Noto Sans" w:cs="Noto Sans"/>
          <w:b/>
          <w:bCs/>
          <w:color w:val="FFFFFF" w:themeColor="background1"/>
          <w:sz w:val="22"/>
          <w:szCs w:val="22"/>
        </w:rPr>
        <w:t>Implicaciones</w:t>
      </w:r>
    </w:p>
    <w:p w14:paraId="3F70698F" w14:textId="221C2074" w:rsidR="00863E15" w:rsidRPr="00863E15" w:rsidRDefault="00863E15" w:rsidP="00863E15">
      <w:pPr>
        <w:spacing w:after="0" w:line="240" w:lineRule="auto"/>
        <w:jc w:val="both"/>
        <w:rPr>
          <w:rFonts w:ascii="Noto Sans" w:hAnsi="Noto Sans" w:cs="Noto Sans"/>
          <w:sz w:val="22"/>
          <w:szCs w:val="22"/>
        </w:rPr>
      </w:pPr>
      <w:r w:rsidRPr="00863E15">
        <w:rPr>
          <w:rStyle w:val="Fuerte"/>
          <w:rFonts w:ascii="Noto Sans" w:hAnsi="Noto Sans" w:cs="Noto Sans"/>
          <w:sz w:val="22"/>
          <w:szCs w:val="22"/>
        </w:rPr>
        <w:t>El mensaje central es de desaceleración generalizada, sin configurar todavía una recesión técnica.</w:t>
      </w:r>
      <w:r w:rsidRPr="00863E15">
        <w:rPr>
          <w:rFonts w:ascii="Noto Sans" w:hAnsi="Noto Sans" w:cs="Noto Sans"/>
          <w:sz w:val="22"/>
          <w:szCs w:val="22"/>
        </w:rPr>
        <w:t xml:space="preserve"> El crecimiento anual se mantiene apenas positivo y se apoya principalmente en servicios, mientras que las actividades secundarias muestran debilidad tanto trimestral como anual. El repunte observado en el 4T2025 no se mantuvo al inicio de 2026, por lo que conviene dar seguimiento cercano al próximo boletín del </w:t>
      </w:r>
      <w:r w:rsidRPr="00863E15">
        <w:rPr>
          <w:rStyle w:val="Fuerte"/>
          <w:rFonts w:ascii="Noto Sans" w:hAnsi="Noto Sans" w:cs="Noto Sans"/>
          <w:sz w:val="22"/>
          <w:szCs w:val="22"/>
        </w:rPr>
        <w:t>30 de julio</w:t>
      </w:r>
      <w:r w:rsidRPr="00863E15">
        <w:rPr>
          <w:rFonts w:ascii="Noto Sans" w:hAnsi="Noto Sans" w:cs="Noto Sans"/>
          <w:sz w:val="22"/>
          <w:szCs w:val="22"/>
        </w:rPr>
        <w:t>, especialmente a la evolución de las actividades secundarias. Para la agenda de política industrial y atracción de inversión, el dato sugiere mantener una lectura prudente bajo un escenario de crecimiento débil y recuperación aún no consolidada.</w:t>
      </w:r>
    </w:p>
    <w:p w14:paraId="2D306BC3" w14:textId="77777777" w:rsidR="00863E15" w:rsidRDefault="00863E15" w:rsidP="00863E15">
      <w:pPr>
        <w:spacing w:after="0" w:line="240" w:lineRule="auto"/>
        <w:jc w:val="both"/>
        <w:rPr>
          <w:rFonts w:ascii="Arial" w:hAnsi="Arial"/>
          <w:color w:val="4C545B"/>
          <w:sz w:val="15"/>
        </w:rPr>
      </w:pPr>
    </w:p>
    <w:p w14:paraId="4213CBF3" w14:textId="77777777" w:rsidR="00863E15" w:rsidRDefault="00863E15" w:rsidP="00863E15">
      <w:pPr>
        <w:spacing w:after="0" w:line="240" w:lineRule="auto"/>
        <w:jc w:val="both"/>
        <w:rPr>
          <w:rFonts w:ascii="Arial" w:hAnsi="Arial"/>
          <w:color w:val="4C545B"/>
          <w:sz w:val="15"/>
        </w:rPr>
      </w:pPr>
    </w:p>
    <w:p w14:paraId="40BD38F5" w14:textId="77777777" w:rsidR="00863E15" w:rsidRDefault="00863E15" w:rsidP="00863E15">
      <w:pPr>
        <w:spacing w:after="0" w:line="240" w:lineRule="auto"/>
        <w:jc w:val="both"/>
        <w:rPr>
          <w:rFonts w:ascii="Arial" w:hAnsi="Arial"/>
          <w:color w:val="4C545B"/>
          <w:sz w:val="15"/>
        </w:rPr>
      </w:pPr>
    </w:p>
    <w:p w14:paraId="1497A575" w14:textId="0C840B96" w:rsidR="00863E15" w:rsidRPr="00863E15" w:rsidRDefault="00863E15" w:rsidP="00863E15">
      <w:pPr>
        <w:spacing w:after="0" w:line="240" w:lineRule="auto"/>
        <w:jc w:val="both"/>
        <w:rPr>
          <w:rFonts w:ascii="Noto Sans" w:eastAsia="Noto Sans" w:hAnsi="Noto Sans" w:cs="Noto Sans"/>
          <w:sz w:val="21"/>
          <w:szCs w:val="21"/>
        </w:rPr>
      </w:pPr>
      <w:r>
        <w:rPr>
          <w:rFonts w:ascii="Arial" w:hAnsi="Arial"/>
          <w:color w:val="4C545B"/>
          <w:sz w:val="15"/>
        </w:rPr>
        <w:t>Fuente: INEGI, Sistema de Cuentas Nacionales de México (SCNM), Estimación Oportuna del Producto Interno Bruto Trimestral (EOPIBT), Boletín de Indicador 268/26, 30 de abril de 2026 (cifras del 1T2026). Próxima publicación: 30 de julio de 2026 (2T2026). La EOPIBT no sustituye la estimación tradicional del PIB y está sujeta a revisión</w:t>
      </w:r>
    </w:p>
    <w:sectPr w:rsidR="00863E15" w:rsidRPr="00863E15">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91BEE" w14:textId="77777777" w:rsidR="002B4C10" w:rsidRDefault="002B4C10" w:rsidP="005E4EF1">
      <w:pPr>
        <w:spacing w:after="0" w:line="240" w:lineRule="auto"/>
      </w:pPr>
      <w:r>
        <w:separator/>
      </w:r>
    </w:p>
  </w:endnote>
  <w:endnote w:type="continuationSeparator" w:id="0">
    <w:p w14:paraId="7C5AC601" w14:textId="77777777" w:rsidR="002B4C10" w:rsidRDefault="002B4C10" w:rsidP="005E4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0FD3" w14:textId="012E2CEE" w:rsidR="00863E15" w:rsidRDefault="00863E15">
    <w:pPr>
      <w:pStyle w:val="Piedepgina"/>
      <w:rPr>
        <w:noProof/>
        <w:color w:val="000000"/>
      </w:rPr>
    </w:pPr>
    <w:r>
      <w:rPr>
        <w:noProof/>
        <w:color w:val="000000"/>
      </w:rPr>
      <w:drawing>
        <wp:anchor distT="0" distB="0" distL="114300" distR="114300" simplePos="0" relativeHeight="251661312" behindDoc="1" locked="0" layoutInCell="1" allowOverlap="1" wp14:anchorId="163ED61F" wp14:editId="6F37EF7C">
          <wp:simplePos x="0" y="0"/>
          <wp:positionH relativeFrom="page">
            <wp:posOffset>-121920</wp:posOffset>
          </wp:positionH>
          <wp:positionV relativeFrom="paragraph">
            <wp:posOffset>-45085</wp:posOffset>
          </wp:positionV>
          <wp:extent cx="7894873" cy="1293628"/>
          <wp:effectExtent l="0" t="0" r="0" b="1905"/>
          <wp:wrapNone/>
          <wp:docPr id="441815502" name="Imagen 1" descr="Imagen que contiene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35576" name="Imagen 1" descr="Imagen que contiene Aplicación  El contenido generado por IA puede ser incorrecto."/>
                  <pic:cNvPicPr/>
                </pic:nvPicPr>
                <pic:blipFill rotWithShape="1">
                  <a:blip r:embed="rId1">
                    <a:extLst>
                      <a:ext uri="{28A0092B-C50C-407E-A947-70E740481C1C}">
                        <a14:useLocalDpi xmlns:a14="http://schemas.microsoft.com/office/drawing/2010/main" val="0"/>
                      </a:ext>
                    </a:extLst>
                  </a:blip>
                  <a:srcRect t="88139"/>
                  <a:stretch>
                    <a:fillRect/>
                  </a:stretch>
                </pic:blipFill>
                <pic:spPr bwMode="auto">
                  <a:xfrm>
                    <a:off x="0" y="0"/>
                    <a:ext cx="7894873" cy="12936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037173" w14:textId="05AD175A" w:rsidR="00863E15" w:rsidRDefault="00863E15">
    <w:pPr>
      <w:pStyle w:val="Piedepgina"/>
      <w:rPr>
        <w:noProof/>
        <w:color w:val="000000"/>
      </w:rPr>
    </w:pPr>
  </w:p>
  <w:p w14:paraId="28F123DD" w14:textId="444B6EBD" w:rsidR="00863E15" w:rsidRDefault="00863E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C7B02" w14:textId="77777777" w:rsidR="002B4C10" w:rsidRDefault="002B4C10" w:rsidP="005E4EF1">
      <w:pPr>
        <w:spacing w:after="0" w:line="240" w:lineRule="auto"/>
      </w:pPr>
      <w:r>
        <w:separator/>
      </w:r>
    </w:p>
  </w:footnote>
  <w:footnote w:type="continuationSeparator" w:id="0">
    <w:p w14:paraId="4E8ECE32" w14:textId="77777777" w:rsidR="002B4C10" w:rsidRDefault="002B4C10" w:rsidP="005E4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306A" w14:textId="3FE40654" w:rsidR="005E4EF1" w:rsidRDefault="005E4EF1">
    <w:pPr>
      <w:pStyle w:val="Encabezado"/>
      <w:rPr>
        <w:noProof/>
      </w:rPr>
    </w:pPr>
    <w:r>
      <w:rPr>
        <w:noProof/>
      </w:rPr>
      <w:drawing>
        <wp:anchor distT="0" distB="0" distL="0" distR="0" simplePos="0" relativeHeight="251659264" behindDoc="1" locked="0" layoutInCell="1" hidden="0" allowOverlap="1" wp14:anchorId="232A0099" wp14:editId="70D9951A">
          <wp:simplePos x="0" y="0"/>
          <wp:positionH relativeFrom="page">
            <wp:posOffset>19050</wp:posOffset>
          </wp:positionH>
          <wp:positionV relativeFrom="paragraph">
            <wp:posOffset>-440902</wp:posOffset>
          </wp:positionV>
          <wp:extent cx="7753939" cy="1257300"/>
          <wp:effectExtent l="0" t="0" r="0" b="0"/>
          <wp:wrapNone/>
          <wp:docPr id="1637245364"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b="16596"/>
                  <a:stretch>
                    <a:fillRect/>
                  </a:stretch>
                </pic:blipFill>
                <pic:spPr>
                  <a:xfrm>
                    <a:off x="0" y="0"/>
                    <a:ext cx="7753939" cy="1257300"/>
                  </a:xfrm>
                  <a:prstGeom prst="rect">
                    <a:avLst/>
                  </a:prstGeom>
                  <a:ln/>
                </pic:spPr>
              </pic:pic>
            </a:graphicData>
          </a:graphic>
          <wp14:sizeRelH relativeFrom="margin">
            <wp14:pctWidth>0</wp14:pctWidth>
          </wp14:sizeRelH>
          <wp14:sizeRelV relativeFrom="margin">
            <wp14:pctHeight>0</wp14:pctHeight>
          </wp14:sizeRelV>
        </wp:anchor>
      </w:drawing>
    </w:r>
  </w:p>
  <w:p w14:paraId="29FA2472" w14:textId="614F795B" w:rsidR="005E4EF1" w:rsidRDefault="005E4EF1">
    <w:pPr>
      <w:pStyle w:val="Encabezado"/>
      <w:rPr>
        <w:noProof/>
      </w:rPr>
    </w:pPr>
  </w:p>
  <w:p w14:paraId="30961308" w14:textId="6EDD6E79" w:rsidR="005E4EF1" w:rsidRDefault="005E4EF1">
    <w:pPr>
      <w:pStyle w:val="Encabezado"/>
    </w:pPr>
  </w:p>
  <w:p w14:paraId="43B4EC85" w14:textId="11DD6C8E" w:rsidR="005E4EF1" w:rsidRDefault="005E4EF1" w:rsidP="005E4EF1">
    <w:pPr>
      <w:pStyle w:val="Encabezado"/>
      <w:ind w:left="-426"/>
      <w:rPr>
        <w:rFonts w:ascii="Noto Sans" w:hAnsi="Noto Sans" w:cs="Noto Sans"/>
        <w:b/>
        <w:bCs/>
        <w:sz w:val="20"/>
        <w:szCs w:val="20"/>
      </w:rPr>
    </w:pPr>
    <w:r w:rsidRPr="005E4EF1">
      <w:rPr>
        <w:rFonts w:ascii="Noto Sans" w:hAnsi="Noto Sans" w:cs="Noto Sans"/>
        <w:b/>
        <w:bCs/>
        <w:sz w:val="20"/>
        <w:szCs w:val="20"/>
      </w:rPr>
      <w:t xml:space="preserve">  Subsecretaría de Industria y Comercio</w:t>
    </w:r>
  </w:p>
  <w:p w14:paraId="22D4E4A4" w14:textId="77777777" w:rsidR="005E4EF1" w:rsidRPr="005E4EF1" w:rsidRDefault="005E4EF1" w:rsidP="005E4EF1">
    <w:pPr>
      <w:pStyle w:val="Encabezado"/>
      <w:ind w:left="-426"/>
      <w:rPr>
        <w:rFonts w:ascii="Noto Sans" w:hAnsi="Noto Sans" w:cs="Noto Sans"/>
        <w:b/>
        <w:bCs/>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7DA"/>
    <w:multiLevelType w:val="hybridMultilevel"/>
    <w:tmpl w:val="C9881CB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92E6AF9"/>
    <w:multiLevelType w:val="hybridMultilevel"/>
    <w:tmpl w:val="47145E4A"/>
    <w:lvl w:ilvl="0" w:tplc="080A0001">
      <w:start w:val="1"/>
      <w:numFmt w:val="bullet"/>
      <w:lvlText w:val=""/>
      <w:lvlJc w:val="left"/>
      <w:pPr>
        <w:ind w:left="360" w:hanging="360"/>
      </w:pPr>
      <w:rPr>
        <w:rFonts w:ascii="Symbol" w:hAnsi="Symbol"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3AD523C"/>
    <w:multiLevelType w:val="hybridMultilevel"/>
    <w:tmpl w:val="3CDE8794"/>
    <w:lvl w:ilvl="0" w:tplc="AC36181E">
      <w:numFmt w:val="bullet"/>
      <w:lvlText w:val="•"/>
      <w:lvlJc w:val="left"/>
      <w:pPr>
        <w:ind w:left="864" w:hanging="360"/>
      </w:pPr>
      <w:rPr>
        <w:rFonts w:ascii="Arial" w:eastAsia="Times New Roman" w:hAnsi="Arial" w:cs="Arial" w:hint="default"/>
        <w:sz w:val="20"/>
        <w:szCs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35E01880"/>
    <w:multiLevelType w:val="hybridMultilevel"/>
    <w:tmpl w:val="BD62FC74"/>
    <w:lvl w:ilvl="0" w:tplc="AC36181E">
      <w:numFmt w:val="bullet"/>
      <w:lvlText w:val="•"/>
      <w:lvlJc w:val="left"/>
      <w:pPr>
        <w:ind w:left="864" w:hanging="360"/>
      </w:pPr>
      <w:rPr>
        <w:rFonts w:ascii="Arial" w:eastAsia="Times New Roman" w:hAnsi="Arial" w:cs="Arial" w:hint="default"/>
        <w:sz w:val="20"/>
        <w:szCs w:val="20"/>
      </w:rPr>
    </w:lvl>
    <w:lvl w:ilvl="1" w:tplc="040A0003" w:tentative="1">
      <w:start w:val="1"/>
      <w:numFmt w:val="bullet"/>
      <w:lvlText w:val="o"/>
      <w:lvlJc w:val="left"/>
      <w:pPr>
        <w:ind w:left="1584" w:hanging="360"/>
      </w:pPr>
      <w:rPr>
        <w:rFonts w:ascii="Courier New" w:hAnsi="Courier New" w:cs="Courier New" w:hint="default"/>
      </w:rPr>
    </w:lvl>
    <w:lvl w:ilvl="2" w:tplc="040A0005" w:tentative="1">
      <w:start w:val="1"/>
      <w:numFmt w:val="bullet"/>
      <w:lvlText w:val=""/>
      <w:lvlJc w:val="left"/>
      <w:pPr>
        <w:ind w:left="2304" w:hanging="360"/>
      </w:pPr>
      <w:rPr>
        <w:rFonts w:ascii="Wingdings" w:hAnsi="Wingdings" w:hint="default"/>
      </w:rPr>
    </w:lvl>
    <w:lvl w:ilvl="3" w:tplc="040A0001" w:tentative="1">
      <w:start w:val="1"/>
      <w:numFmt w:val="bullet"/>
      <w:lvlText w:val=""/>
      <w:lvlJc w:val="left"/>
      <w:pPr>
        <w:ind w:left="3024" w:hanging="360"/>
      </w:pPr>
      <w:rPr>
        <w:rFonts w:ascii="Symbol" w:hAnsi="Symbol" w:hint="default"/>
      </w:rPr>
    </w:lvl>
    <w:lvl w:ilvl="4" w:tplc="040A0003" w:tentative="1">
      <w:start w:val="1"/>
      <w:numFmt w:val="bullet"/>
      <w:lvlText w:val="o"/>
      <w:lvlJc w:val="left"/>
      <w:pPr>
        <w:ind w:left="3744" w:hanging="360"/>
      </w:pPr>
      <w:rPr>
        <w:rFonts w:ascii="Courier New" w:hAnsi="Courier New" w:cs="Courier New" w:hint="default"/>
      </w:rPr>
    </w:lvl>
    <w:lvl w:ilvl="5" w:tplc="040A0005" w:tentative="1">
      <w:start w:val="1"/>
      <w:numFmt w:val="bullet"/>
      <w:lvlText w:val=""/>
      <w:lvlJc w:val="left"/>
      <w:pPr>
        <w:ind w:left="4464" w:hanging="360"/>
      </w:pPr>
      <w:rPr>
        <w:rFonts w:ascii="Wingdings" w:hAnsi="Wingdings" w:hint="default"/>
      </w:rPr>
    </w:lvl>
    <w:lvl w:ilvl="6" w:tplc="040A0001" w:tentative="1">
      <w:start w:val="1"/>
      <w:numFmt w:val="bullet"/>
      <w:lvlText w:val=""/>
      <w:lvlJc w:val="left"/>
      <w:pPr>
        <w:ind w:left="5184" w:hanging="360"/>
      </w:pPr>
      <w:rPr>
        <w:rFonts w:ascii="Symbol" w:hAnsi="Symbol" w:hint="default"/>
      </w:rPr>
    </w:lvl>
    <w:lvl w:ilvl="7" w:tplc="040A0003" w:tentative="1">
      <w:start w:val="1"/>
      <w:numFmt w:val="bullet"/>
      <w:lvlText w:val="o"/>
      <w:lvlJc w:val="left"/>
      <w:pPr>
        <w:ind w:left="5904" w:hanging="360"/>
      </w:pPr>
      <w:rPr>
        <w:rFonts w:ascii="Courier New" w:hAnsi="Courier New" w:cs="Courier New" w:hint="default"/>
      </w:rPr>
    </w:lvl>
    <w:lvl w:ilvl="8" w:tplc="040A0005" w:tentative="1">
      <w:start w:val="1"/>
      <w:numFmt w:val="bullet"/>
      <w:lvlText w:val=""/>
      <w:lvlJc w:val="left"/>
      <w:pPr>
        <w:ind w:left="6624" w:hanging="360"/>
      </w:pPr>
      <w:rPr>
        <w:rFonts w:ascii="Wingdings" w:hAnsi="Wingdings" w:hint="default"/>
      </w:rPr>
    </w:lvl>
  </w:abstractNum>
  <w:abstractNum w:abstractNumId="4" w15:restartNumberingAfterBreak="0">
    <w:nsid w:val="39860191"/>
    <w:multiLevelType w:val="hybridMultilevel"/>
    <w:tmpl w:val="7A3CF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31423457">
    <w:abstractNumId w:val="3"/>
  </w:num>
  <w:num w:numId="2" w16cid:durableId="871040234">
    <w:abstractNumId w:val="1"/>
  </w:num>
  <w:num w:numId="3" w16cid:durableId="970940659">
    <w:abstractNumId w:val="2"/>
  </w:num>
  <w:num w:numId="4" w16cid:durableId="1214462036">
    <w:abstractNumId w:val="4"/>
  </w:num>
  <w:num w:numId="5" w16cid:durableId="182689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EF1"/>
    <w:rsid w:val="002B4C10"/>
    <w:rsid w:val="00381629"/>
    <w:rsid w:val="00390772"/>
    <w:rsid w:val="005E4EF1"/>
    <w:rsid w:val="00863E15"/>
    <w:rsid w:val="00C84342"/>
    <w:rsid w:val="00D35FB2"/>
    <w:rsid w:val="00DB1DF0"/>
    <w:rsid w:val="00E263B4"/>
    <w:rsid w:val="00EE38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10ED"/>
  <w15:chartTrackingRefBased/>
  <w15:docId w15:val="{9104A20B-CAB9-4A91-9DE6-4CAF6BEE6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4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4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4E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4E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4E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4E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4E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4E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4E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4E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4E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4E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4E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4E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4E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4E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4E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4EF1"/>
    <w:rPr>
      <w:rFonts w:eastAsiaTheme="majorEastAsia" w:cstheme="majorBidi"/>
      <w:color w:val="272727" w:themeColor="text1" w:themeTint="D8"/>
    </w:rPr>
  </w:style>
  <w:style w:type="paragraph" w:styleId="Ttulo">
    <w:name w:val="Title"/>
    <w:basedOn w:val="Normal"/>
    <w:next w:val="Normal"/>
    <w:link w:val="TtuloCar"/>
    <w:uiPriority w:val="10"/>
    <w:qFormat/>
    <w:rsid w:val="005E4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4E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4E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4E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4EF1"/>
    <w:pPr>
      <w:spacing w:before="160"/>
      <w:jc w:val="center"/>
    </w:pPr>
    <w:rPr>
      <w:i/>
      <w:iCs/>
      <w:color w:val="404040" w:themeColor="text1" w:themeTint="BF"/>
    </w:rPr>
  </w:style>
  <w:style w:type="character" w:customStyle="1" w:styleId="CitaCar">
    <w:name w:val="Cita Car"/>
    <w:basedOn w:val="Fuentedeprrafopredeter"/>
    <w:link w:val="Cita"/>
    <w:uiPriority w:val="29"/>
    <w:rsid w:val="005E4EF1"/>
    <w:rPr>
      <w:i/>
      <w:iCs/>
      <w:color w:val="404040" w:themeColor="text1" w:themeTint="BF"/>
    </w:rPr>
  </w:style>
  <w:style w:type="paragraph" w:styleId="Prrafodelista">
    <w:name w:val="List Paragraph"/>
    <w:basedOn w:val="Normal"/>
    <w:uiPriority w:val="34"/>
    <w:qFormat/>
    <w:rsid w:val="005E4EF1"/>
    <w:pPr>
      <w:ind w:left="720"/>
      <w:contextualSpacing/>
    </w:pPr>
  </w:style>
  <w:style w:type="character" w:styleId="nfasisintenso">
    <w:name w:val="Intense Emphasis"/>
    <w:basedOn w:val="Fuentedeprrafopredeter"/>
    <w:uiPriority w:val="21"/>
    <w:qFormat/>
    <w:rsid w:val="005E4EF1"/>
    <w:rPr>
      <w:i/>
      <w:iCs/>
      <w:color w:val="0F4761" w:themeColor="accent1" w:themeShade="BF"/>
    </w:rPr>
  </w:style>
  <w:style w:type="paragraph" w:styleId="Citadestacada">
    <w:name w:val="Intense Quote"/>
    <w:basedOn w:val="Normal"/>
    <w:next w:val="Normal"/>
    <w:link w:val="CitadestacadaCar"/>
    <w:uiPriority w:val="30"/>
    <w:qFormat/>
    <w:rsid w:val="005E4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4EF1"/>
    <w:rPr>
      <w:i/>
      <w:iCs/>
      <w:color w:val="0F4761" w:themeColor="accent1" w:themeShade="BF"/>
    </w:rPr>
  </w:style>
  <w:style w:type="character" w:styleId="Referenciaintensa">
    <w:name w:val="Intense Reference"/>
    <w:basedOn w:val="Fuentedeprrafopredeter"/>
    <w:uiPriority w:val="32"/>
    <w:qFormat/>
    <w:rsid w:val="005E4EF1"/>
    <w:rPr>
      <w:b/>
      <w:bCs/>
      <w:smallCaps/>
      <w:color w:val="0F4761" w:themeColor="accent1" w:themeShade="BF"/>
      <w:spacing w:val="5"/>
    </w:rPr>
  </w:style>
  <w:style w:type="paragraph" w:styleId="Encabezado">
    <w:name w:val="header"/>
    <w:basedOn w:val="Normal"/>
    <w:link w:val="EncabezadoCar"/>
    <w:uiPriority w:val="99"/>
    <w:unhideWhenUsed/>
    <w:rsid w:val="005E4E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4EF1"/>
  </w:style>
  <w:style w:type="paragraph" w:styleId="Piedepgina">
    <w:name w:val="footer"/>
    <w:basedOn w:val="Normal"/>
    <w:link w:val="PiedepginaCar"/>
    <w:uiPriority w:val="99"/>
    <w:unhideWhenUsed/>
    <w:rsid w:val="005E4E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4EF1"/>
  </w:style>
  <w:style w:type="table" w:styleId="Tablaconcuadrcula">
    <w:name w:val="Table Grid"/>
    <w:basedOn w:val="Tablanormal"/>
    <w:uiPriority w:val="39"/>
    <w:rsid w:val="005E4E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63E1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863E15"/>
    <w:rPr>
      <w:b/>
      <w:bCs/>
    </w:rPr>
  </w:style>
  <w:style w:type="paragraph" w:customStyle="1" w:styleId="pdq2pgselectionanchorcontainer">
    <w:name w:val="pdq2pg_selectionanchorcontainer"/>
    <w:basedOn w:val="Normal"/>
    <w:rsid w:val="00863E15"/>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09F20-FFD6-47D0-BCF0-8FD389B25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487</Words>
  <Characters>2829</Characters>
  <Application>Microsoft Office Word</Application>
  <DocSecurity>0</DocSecurity>
  <Lines>117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Fabiola Alejandra Abreu Iris</dc:creator>
  <cp:keywords/>
  <dc:description/>
  <cp:lastModifiedBy>Fabiola Alejandra Abreu Iris</cp:lastModifiedBy>
  <cp:revision>1</cp:revision>
  <dcterms:created xsi:type="dcterms:W3CDTF">2026-07-15T17:45:00Z</dcterms:created>
  <dcterms:modified xsi:type="dcterms:W3CDTF">2026-07-15T18:38:00Z</dcterms:modified>
</cp:coreProperties>
</file>