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10312B"/>
        <w:tblLook w:val="04A0" w:firstRow="1" w:lastRow="0" w:firstColumn="1" w:lastColumn="0" w:noHBand="0" w:noVBand="1"/>
      </w:tblPr>
      <w:tblGrid>
        <w:gridCol w:w="4414"/>
        <w:gridCol w:w="1110"/>
        <w:gridCol w:w="3304"/>
      </w:tblGrid>
      <w:tr w:rsidR="00DA44B8" w:rsidRPr="008B5571" w:rsidTr="00E3596B">
        <w:trPr>
          <w:gridAfter w:val="1"/>
          <w:wAfter w:w="3304" w:type="dxa"/>
        </w:trPr>
        <w:tc>
          <w:tcPr>
            <w:tcW w:w="5524" w:type="dxa"/>
            <w:gridSpan w:val="2"/>
            <w:shd w:val="clear" w:color="auto" w:fill="10312B"/>
          </w:tcPr>
          <w:p w:rsidR="00DA44B8" w:rsidRPr="008B5571" w:rsidRDefault="00DA44B8" w:rsidP="00E3596B">
            <w:pP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Noto Sans" w:hAnsi="Noto Sans" w:cs="Noto Sans"/>
                <w:b/>
                <w:color w:val="FFFFFF"/>
                <w:sz w:val="20"/>
              </w:rPr>
              <w:t>Boletín de Indicador del 27 de agosto de 2026 | INEGI</w:t>
            </w:r>
          </w:p>
        </w:tc>
      </w:tr>
      <w:tr w:rsidR="00246E09" w:rsidRPr="006A3BB6">
        <w:tblPrEx>
          <w:shd w:val="clear" w:color="auto" w:fill="235B4C"/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8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FFFFFF"/>
                <w:sz w:val="20"/>
              </w:rPr>
              <w:t>Encuesta Nacional de Ocupación y Empleo</w:t>
            </w:r>
          </w:p>
          <w:p w:rsidR="009966CB" w:rsidRPr="00DA44B8" w:rsidRDefault="00465707" w:rsidP="00DA44B8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40"/>
              </w:rPr>
              <w:t>ENOE · Julio 2026</w:t>
            </w:r>
          </w:p>
        </w:tc>
      </w:tr>
      <w:tr w:rsidR="00246E09" w:rsidRPr="006A3BB6" w:rsidTr="00BC2D1D">
        <w:tblPrEx>
          <w:shd w:val="clear" w:color="auto" w:fill="235B4C"/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8C8C8C"/>
                <w:sz w:val="17"/>
              </w:rPr>
              <w:t>TASA DE DESOCUPACIÓN</w:t>
            </w:r>
          </w:p>
          <w:p w:rsidR="00246E09" w:rsidRPr="00BA690B" w:rsidRDefault="00465707">
            <w:pPr>
              <w:jc w:val="center"/>
              <w:rPr>
                <w:rFonts w:ascii="Noto Sans" w:hAnsi="Noto Sans" w:cs="Noto Sans"/>
              </w:rPr>
            </w:pPr>
            <w:r w:rsidRPr="00BA690B">
              <w:rPr>
                <w:rFonts w:ascii="Noto Sans" w:hAnsi="Noto Sans" w:cs="Noto Sans"/>
                <w:b/>
                <w:color w:val="006341"/>
                <w:sz w:val="72"/>
              </w:rPr>
              <w:t>2.9%</w:t>
            </w:r>
          </w:p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6B6864"/>
                <w:sz w:val="16"/>
              </w:rPr>
              <w:t>Julio 2026 · variación anual +0.1 pp</w:t>
            </w:r>
          </w:p>
        </w:tc>
        <w:tc>
          <w:tcPr>
            <w:tcW w:w="44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38135" w:themeFill="accent6" w:themeFillShade="BF"/>
          </w:tcPr>
          <w:p w:rsidR="00246E09" w:rsidRPr="006A3BB6" w:rsidRDefault="009755F8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 xml:space="preserve">TASA DE </w:t>
            </w:r>
            <w:r w:rsidRPr="009755F8">
              <w:rPr>
                <w:rFonts w:ascii="Noto Sans" w:hAnsi="Noto Sans" w:cs="Noto Sans"/>
                <w:b/>
                <w:color w:val="FFFFFF"/>
                <w:sz w:val="17"/>
              </w:rPr>
              <w:t xml:space="preserve">SUBOCUPACIÓN </w:t>
            </w:r>
          </w:p>
          <w:p w:rsidR="00246E09" w:rsidRPr="00BA690B" w:rsidRDefault="009755F8">
            <w:pPr>
              <w:jc w:val="center"/>
              <w:rPr>
                <w:rFonts w:ascii="Noto Sans" w:hAnsi="Noto Sans" w:cs="Noto Sans"/>
                <w:sz w:val="28"/>
              </w:rPr>
            </w:pPr>
            <w:r w:rsidRPr="009755F8">
              <w:rPr>
                <w:rFonts w:ascii="Noto Sans" w:hAnsi="Noto Sans" w:cs="Noto Sans"/>
                <w:b/>
                <w:color w:val="FFFFFF"/>
                <w:sz w:val="72"/>
              </w:rPr>
              <w:t>6.7 %</w:t>
            </w:r>
            <w:r>
              <w:rPr>
                <w:rFonts w:ascii="Noto Sans" w:hAnsi="Noto Sans" w:cs="Noto Sans"/>
                <w:b/>
                <w:color w:val="FFFFFF"/>
                <w:sz w:val="72"/>
              </w:rPr>
              <w:t xml:space="preserve"> </w:t>
            </w:r>
          </w:p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FFFFFF"/>
                <w:sz w:val="16"/>
              </w:rPr>
              <w:t xml:space="preserve">Julio 2026 · variación anual </w:t>
            </w:r>
            <w:r w:rsidR="009755F8">
              <w:rPr>
                <w:rFonts w:ascii="Noto Sans" w:hAnsi="Noto Sans" w:cs="Noto Sans"/>
                <w:color w:val="FFFFFF"/>
                <w:sz w:val="16"/>
              </w:rPr>
              <w:t>-</w:t>
            </w:r>
            <w:r w:rsidRPr="006A3BB6">
              <w:rPr>
                <w:rFonts w:ascii="Noto Sans" w:hAnsi="Noto Sans" w:cs="Noto Sans"/>
                <w:color w:val="FFFFFF"/>
                <w:sz w:val="16"/>
              </w:rPr>
              <w:t>0.</w:t>
            </w:r>
            <w:r w:rsidR="009755F8">
              <w:rPr>
                <w:rFonts w:ascii="Noto Sans" w:hAnsi="Noto Sans" w:cs="Noto Sans"/>
                <w:color w:val="FFFFFF"/>
                <w:sz w:val="16"/>
              </w:rPr>
              <w:t>7</w:t>
            </w:r>
            <w:r w:rsidRPr="006A3BB6">
              <w:rPr>
                <w:rFonts w:ascii="Noto Sans" w:hAnsi="Noto Sans" w:cs="Noto Sans"/>
                <w:color w:val="FFFFFF"/>
                <w:sz w:val="16"/>
              </w:rPr>
              <w:t xml:space="preserve"> pp</w:t>
            </w:r>
          </w:p>
        </w:tc>
      </w:tr>
    </w:tbl>
    <w:p w:rsidR="00246E09" w:rsidRPr="006A3BB6" w:rsidRDefault="00246E09">
      <w:pPr>
        <w:spacing w:line="80" w:lineRule="exact"/>
        <w:rPr>
          <w:rFonts w:ascii="Noto Sans" w:hAnsi="Noto Sans" w:cs="Noto Sans"/>
          <w:sz w:val="6"/>
          <w:szCs w:val="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3817DF" w:rsidRPr="006A3BB6" w:rsidTr="009966CB"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PEA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Participación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9755F8" w:rsidP="009966CB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color w:val="FFFFFF"/>
                <w:sz w:val="16"/>
              </w:rPr>
              <w:t>Informalidad Laboral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Cond. críticas ocup.*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Sector informal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Trabajo asalariado</w:t>
            </w:r>
          </w:p>
        </w:tc>
      </w:tr>
      <w:tr w:rsidR="003817DF" w:rsidRPr="006A3BB6"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62.6 M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+34 mil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59.2 %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-1.0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9755F8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color w:val="000000"/>
                <w:sz w:val="20"/>
              </w:rPr>
              <w:t>56.2</w:t>
            </w:r>
            <w:r w:rsidR="005C3EB9" w:rsidRPr="006A3BB6">
              <w:rPr>
                <w:rFonts w:ascii="Noto Sans" w:hAnsi="Noto Sans" w:cs="Noto Sans"/>
                <w:b/>
                <w:color w:val="000000"/>
                <w:sz w:val="20"/>
              </w:rPr>
              <w:t xml:space="preserve"> %</w:t>
            </w:r>
          </w:p>
          <w:p w:rsidR="003817DF" w:rsidRPr="006A3BB6" w:rsidRDefault="009755F8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color w:val="4C545B"/>
                <w:sz w:val="15"/>
              </w:rPr>
              <w:t>+</w:t>
            </w:r>
            <w:r w:rsidR="005C3EB9" w:rsidRPr="006A3BB6">
              <w:rPr>
                <w:rFonts w:ascii="Noto Sans" w:hAnsi="Noto Sans" w:cs="Noto Sans"/>
                <w:color w:val="4C545B"/>
                <w:sz w:val="15"/>
              </w:rPr>
              <w:t>0.</w:t>
            </w:r>
            <w:r>
              <w:rPr>
                <w:rFonts w:ascii="Noto Sans" w:hAnsi="Noto Sans" w:cs="Noto Sans"/>
                <w:color w:val="4C545B"/>
                <w:sz w:val="15"/>
              </w:rPr>
              <w:t>1</w:t>
            </w:r>
            <w:r w:rsidR="005C3EB9" w:rsidRPr="006A3BB6">
              <w:rPr>
                <w:rFonts w:ascii="Noto Sans" w:hAnsi="Noto Sans" w:cs="Noto Sans"/>
                <w:color w:val="4C545B"/>
                <w:sz w:val="15"/>
              </w:rPr>
              <w:t xml:space="preserve">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38.9 %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+1.6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31.1 %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+1.2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65.4 %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+0.5 pp</w:t>
            </w:r>
          </w:p>
        </w:tc>
      </w:tr>
    </w:tbl>
    <w:p w:rsidR="0075390E" w:rsidRPr="0075390E" w:rsidRDefault="0075390E" w:rsidP="00BA690B">
      <w:pPr>
        <w:spacing w:before="120"/>
        <w:jc w:val="both"/>
        <w:rPr>
          <w:rFonts w:ascii="Noto Sans" w:hAnsi="Noto Sans" w:cs="Noto Sans"/>
          <w:color w:val="808080" w:themeColor="background1" w:themeShade="80"/>
          <w:sz w:val="16"/>
          <w:szCs w:val="16"/>
        </w:rPr>
      </w:pPr>
      <w:r w:rsidRPr="0075390E">
        <w:rPr>
          <w:rFonts w:ascii="Noto Sans" w:hAnsi="Noto Sans" w:cs="Noto Sans"/>
          <w:color w:val="808080" w:themeColor="background1" w:themeShade="80"/>
          <w:sz w:val="16"/>
          <w:szCs w:val="16"/>
        </w:rPr>
        <w:t>Nota: La ENOE estima las condiciones del mercado laboral mediante una encuesta probabilística, bietápica, estratificada y por conglomerados, con levantamiento semanal continuo.</w:t>
      </w:r>
    </w:p>
    <w:p w:rsidR="00BC0BB8" w:rsidRPr="003E400C" w:rsidRDefault="00593D76" w:rsidP="00BA690B">
      <w:pPr>
        <w:spacing w:before="120"/>
        <w:jc w:val="both"/>
        <w:rPr>
          <w:rFonts w:ascii="Noto Sans" w:hAnsi="Noto Sans" w:cs="Noto Sans"/>
          <w:sz w:val="22"/>
          <w:szCs w:val="22"/>
        </w:rPr>
      </w:pPr>
      <w:r w:rsidRPr="00593D76">
        <w:rPr>
          <w:rFonts w:ascii="Noto Sans" w:hAnsi="Noto Sans" w:cs="Noto Sans"/>
          <w:color w:val="000000"/>
          <w:sz w:val="22"/>
        </w:rPr>
        <w:t>En julio de 2026, el mercado laboral registró una menor tasa de subocupación respecto a un año antes y una mayor proporción de trabajo asalariado. La población ocupada se mantuvo prácticamente sin cambio anual, mientras que la tasa de desocupación presentó una variación de 0.1 puntos porcentuales</w:t>
      </w:r>
      <w:r w:rsidR="00B449E9">
        <w:rPr>
          <w:rFonts w:ascii="Noto Sans" w:hAnsi="Noto Sans" w:cs="Noto Sans"/>
          <w:color w:val="000000"/>
          <w:sz w:val="22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 w:rsidRPr="006A3BB6" w:rsidTr="005A6B97">
        <w:trPr>
          <w:trHeight w:val="1623"/>
        </w:trPr>
        <w:tc>
          <w:tcPr>
            <w:tcW w:w="8828" w:type="dxa"/>
            <w:shd w:val="clear" w:color="auto" w:fill="F4F4F2"/>
          </w:tcPr>
          <w:p w:rsidR="00246E09" w:rsidRPr="006A3BB6" w:rsidRDefault="00465707" w:rsidP="005A6B97">
            <w:pPr>
              <w:shd w:val="clear" w:color="auto" w:fill="F4F4F2"/>
              <w:spacing w:before="120"/>
              <w:rPr>
                <w:rFonts w:ascii="Noto Sans" w:hAnsi="Noto Sans" w:cs="Noto Sans"/>
                <w:sz w:val="22"/>
                <w:szCs w:val="22"/>
              </w:rPr>
            </w:pPr>
            <w:r w:rsidRPr="006A3BB6">
              <w:rPr>
                <w:rFonts w:ascii="Noto Sans" w:hAnsi="Noto Sans" w:cs="Noto Sans"/>
                <w:b/>
                <w:bCs/>
                <w:color w:val="10312B"/>
                <w:sz w:val="22"/>
                <w:szCs w:val="22"/>
              </w:rPr>
              <w:t>Resumen ejecutivo</w:t>
            </w:r>
          </w:p>
          <w:p w:rsidR="00A03BBA" w:rsidRPr="00A03BBA" w:rsidRDefault="00A03BBA" w:rsidP="00A03BBA">
            <w:pPr>
              <w:pStyle w:val="pdq2pgselectionanchorcontainer"/>
              <w:numPr>
                <w:ilvl w:val="0"/>
                <w:numId w:val="34"/>
              </w:numPr>
              <w:spacing w:before="120"/>
              <w:ind w:left="315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A03BBA">
              <w:rPr>
                <w:rFonts w:ascii="Noto Sans" w:hAnsi="Noto Sans" w:cs="Noto Sans"/>
                <w:color w:val="000000"/>
                <w:sz w:val="22"/>
              </w:rPr>
              <w:t>La población subocupada disminuyó en 421 mil personas respecto a julio de 2025 y su tasa pasó de 7.3% a 6.7%, el menor registro para un mes de julio entre 2021 y 2026.</w:t>
            </w:r>
          </w:p>
          <w:p w:rsidR="00A03BBA" w:rsidRPr="00A03BBA" w:rsidRDefault="00A03BBA" w:rsidP="00A03BBA">
            <w:pPr>
              <w:pStyle w:val="pdq2pgselectionanchorcontainer"/>
              <w:numPr>
                <w:ilvl w:val="0"/>
                <w:numId w:val="34"/>
              </w:numPr>
              <w:spacing w:before="120"/>
              <w:ind w:left="315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A03BBA">
              <w:rPr>
                <w:rFonts w:ascii="Noto Sans" w:hAnsi="Noto Sans" w:cs="Noto Sans"/>
                <w:color w:val="000000"/>
                <w:sz w:val="22"/>
              </w:rPr>
              <w:t>La tasa de trabajo asalariado aumentó de 64.9% a 65.4%, mientras que la informalidad laboral se ubicó en 56.2%, prácticamente sin cambio anual.</w:t>
            </w:r>
          </w:p>
          <w:p w:rsidR="00246E09" w:rsidRPr="003E400C" w:rsidRDefault="00A03BBA" w:rsidP="00A03BBA">
            <w:pPr>
              <w:pStyle w:val="pdq2pgselectionanchorcontainer"/>
              <w:numPr>
                <w:ilvl w:val="0"/>
                <w:numId w:val="34"/>
              </w:numPr>
              <w:spacing w:after="0" w:afterAutospacing="0"/>
              <w:ind w:left="315"/>
              <w:jc w:val="both"/>
              <w:rPr>
                <w:rFonts w:ascii="Noto Sans" w:hAnsi="Noto Sans" w:cs="Noto Sans"/>
                <w:color w:val="000000"/>
                <w:sz w:val="22"/>
                <w:szCs w:val="22"/>
              </w:rPr>
            </w:pPr>
            <w:r w:rsidRPr="00A03BBA">
              <w:rPr>
                <w:rFonts w:ascii="Noto Sans" w:hAnsi="Noto Sans" w:cs="Noto Sans"/>
                <w:color w:val="000000"/>
                <w:sz w:val="22"/>
              </w:rPr>
              <w:t>Por actividad económica, la construcción registró el mayor incremento de población ocupada, con 523 mil personas adicionales; servicios diversos aumentó en 139 mil</w:t>
            </w:r>
            <w:r w:rsidR="00F26202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</w:tc>
      </w:tr>
    </w:tbl>
    <w:p w:rsidR="005A6B97" w:rsidRPr="006A3BB6" w:rsidRDefault="005A6B97" w:rsidP="005A6B97">
      <w:pPr>
        <w:spacing w:line="80" w:lineRule="exact"/>
        <w:rPr>
          <w:rFonts w:ascii="Noto Sans" w:hAnsi="Noto Sans" w:cs="Noto Sans"/>
          <w:b/>
          <w:color w:val="10312B"/>
          <w:sz w:val="22"/>
          <w:szCs w:val="22"/>
        </w:rPr>
      </w:pPr>
    </w:p>
    <w:p w:rsidR="00B449E9" w:rsidRPr="00B449E9" w:rsidRDefault="00B449E9" w:rsidP="00815835">
      <w:pPr>
        <w:spacing w:after="120"/>
        <w:jc w:val="center"/>
        <w:rPr>
          <w:rFonts w:ascii="Noto Sans" w:hAnsi="Noto Sans" w:cs="Noto Sans"/>
          <w:b/>
          <w:color w:val="10312B"/>
          <w:sz w:val="11"/>
          <w:szCs w:val="22"/>
        </w:rPr>
      </w:pPr>
      <w:bookmarkStart w:id="0" w:name="_GoBack"/>
      <w:bookmarkEnd w:id="0"/>
    </w:p>
    <w:p w:rsidR="00246E09" w:rsidRPr="006A3BB6" w:rsidRDefault="00465707" w:rsidP="00815835">
      <w:pPr>
        <w:keepNext/>
        <w:spacing w:after="120"/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b/>
          <w:color w:val="10312B"/>
          <w:sz w:val="22"/>
          <w:szCs w:val="22"/>
        </w:rPr>
        <w:t>Tasa de desocupación y tasa de subocupación, julio de cada año, 2021-2026</w:t>
      </w:r>
    </w:p>
    <w:p w:rsidR="00BA690B" w:rsidRDefault="00465707" w:rsidP="007462AF">
      <w:pPr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noProof/>
          <w:sz w:val="22"/>
          <w:szCs w:val="22"/>
        </w:rPr>
        <w:lastRenderedPageBreak/>
        <w:drawing>
          <wp:inline distT="0" distB="0" distL="0" distR="0">
            <wp:extent cx="5155625" cy="1845169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1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5759" cy="18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44" w:rsidRPr="006A3BB6" w:rsidRDefault="00BB3B44" w:rsidP="007462AF">
      <w:pPr>
        <w:spacing w:line="80" w:lineRule="exact"/>
        <w:jc w:val="center"/>
        <w:rPr>
          <w:rFonts w:ascii="Noto Sans" w:hAnsi="Noto Sans" w:cs="Noto Sans"/>
          <w:sz w:val="22"/>
          <w:szCs w:val="22"/>
        </w:rPr>
      </w:pPr>
    </w:p>
    <w:p w:rsidR="00246E09" w:rsidRPr="006A3BB6" w:rsidRDefault="00465707">
      <w:pPr>
        <w:shd w:val="clear" w:color="auto" w:fill="005E4C"/>
        <w:jc w:val="both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Análisis</w:t>
      </w:r>
    </w:p>
    <w:p w:rsidR="00F26202" w:rsidRPr="00F26202" w:rsidRDefault="00F26202" w:rsidP="00F26202">
      <w:pPr>
        <w:pStyle w:val="Prrafodelista"/>
        <w:numPr>
          <w:ilvl w:val="0"/>
          <w:numId w:val="35"/>
        </w:numPr>
        <w:spacing w:before="120"/>
        <w:ind w:left="426"/>
        <w:jc w:val="both"/>
        <w:rPr>
          <w:rFonts w:ascii="Noto Sans" w:hAnsi="Noto Sans" w:cs="Noto Sans"/>
          <w:color w:val="000000"/>
          <w:sz w:val="22"/>
        </w:rPr>
      </w:pPr>
      <w:r>
        <w:rPr>
          <w:rFonts w:ascii="Noto Sans" w:hAnsi="Noto Sans" w:cs="Noto Sans"/>
          <w:color w:val="000000"/>
          <w:sz w:val="22"/>
        </w:rPr>
        <w:t>La reducción de la subocupación y el aumento de la tasa de trabajo asalariado fueron los principales avances frente a julio de 2025, en un contexto de relativa estabilidad de la población ocupada.</w:t>
      </w:r>
    </w:p>
    <w:p w:rsidR="00BA690B" w:rsidRDefault="00F26202" w:rsidP="00F26202">
      <w:pPr>
        <w:pStyle w:val="Prrafodelista"/>
        <w:numPr>
          <w:ilvl w:val="0"/>
          <w:numId w:val="35"/>
        </w:numPr>
        <w:spacing w:before="120"/>
        <w:ind w:left="426"/>
        <w:jc w:val="both"/>
        <w:rPr>
          <w:rFonts w:ascii="Noto Sans" w:hAnsi="Noto Sans" w:cs="Noto Sans"/>
          <w:color w:val="000000"/>
          <w:sz w:val="22"/>
          <w:szCs w:val="22"/>
        </w:rPr>
      </w:pPr>
      <w:r>
        <w:rPr>
          <w:rFonts w:ascii="Noto Sans" w:hAnsi="Noto Sans" w:cs="Noto Sans"/>
          <w:color w:val="000000"/>
          <w:sz w:val="22"/>
        </w:rPr>
        <w:t>El comportamiento sectorial fue diferenciado: la construcción presentó el mayor incremento anual de ocupación, mientras que el sector agropecuario registró la mayor disminución.</w:t>
      </w:r>
    </w:p>
    <w:p w:rsidR="00815835" w:rsidRDefault="00815835" w:rsidP="00815835">
      <w:pPr>
        <w:spacing w:line="80" w:lineRule="exact"/>
      </w:pPr>
    </w:p>
    <w:p w:rsidR="00B449E9" w:rsidRPr="00B449E9" w:rsidRDefault="00B449E9" w:rsidP="00F26202">
      <w:pPr>
        <w:jc w:val="center"/>
        <w:rPr>
          <w:rFonts w:ascii="Noto Sans" w:hAnsi="Noto Sans" w:cs="Noto Sans"/>
          <w:b/>
          <w:color w:val="10312B"/>
          <w:sz w:val="16"/>
          <w:szCs w:val="22"/>
        </w:rPr>
      </w:pPr>
    </w:p>
    <w:p w:rsidR="00F26202" w:rsidRPr="00F26202" w:rsidRDefault="00F26202" w:rsidP="00F26202">
      <w:pPr>
        <w:jc w:val="center"/>
        <w:rPr>
          <w:rFonts w:ascii="Noto Sans" w:hAnsi="Noto Sans" w:cs="Noto Sans"/>
          <w:b/>
          <w:color w:val="10312B"/>
          <w:sz w:val="22"/>
          <w:szCs w:val="22"/>
        </w:rPr>
      </w:pPr>
      <w:r w:rsidRPr="00F26202">
        <w:rPr>
          <w:rFonts w:ascii="Noto Sans" w:hAnsi="Noto Sans" w:cs="Noto Sans"/>
          <w:b/>
          <w:color w:val="10312B"/>
          <w:sz w:val="22"/>
          <w:szCs w:val="22"/>
        </w:rPr>
        <w:t>Variación anual de la población ocupada por actividad económica</w:t>
      </w:r>
    </w:p>
    <w:p w:rsidR="00BA690B" w:rsidRPr="00F26202" w:rsidRDefault="00F26202" w:rsidP="00F26202">
      <w:pPr>
        <w:jc w:val="center"/>
        <w:rPr>
          <w:rFonts w:ascii="Noto Sans" w:hAnsi="Noto Sans" w:cs="Noto Sans"/>
          <w:sz w:val="22"/>
          <w:szCs w:val="22"/>
        </w:rPr>
      </w:pPr>
      <w:r w:rsidRPr="00F26202">
        <w:rPr>
          <w:rFonts w:ascii="Noto Sans" w:hAnsi="Noto Sans" w:cs="Noto Sans"/>
          <w:b/>
          <w:color w:val="10312B"/>
          <w:sz w:val="22"/>
          <w:szCs w:val="22"/>
        </w:rPr>
        <w:t>julio 2025-2026 (miles de personas)</w:t>
      </w:r>
      <w:r w:rsidR="00465707" w:rsidRPr="006A3BB6">
        <w:rPr>
          <w:rFonts w:ascii="Noto Sans" w:hAnsi="Noto Sans" w:cs="Noto Sans"/>
          <w:noProof/>
          <w:sz w:val="22"/>
          <w:szCs w:val="22"/>
        </w:rPr>
        <w:drawing>
          <wp:inline distT="0" distB="0" distL="0" distR="0">
            <wp:extent cx="5575665" cy="2376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2_sector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348" cy="23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34" w:rsidRDefault="003F7434">
      <w:pPr>
        <w:jc w:val="both"/>
        <w:rPr>
          <w:rFonts w:ascii="Noto Sans" w:hAnsi="Noto Sans" w:cs="Noto Sans"/>
          <w:color w:val="4C545B"/>
          <w:sz w:val="16"/>
        </w:rPr>
      </w:pPr>
      <w:r>
        <w:rPr>
          <w:rFonts w:ascii="Noto Sans" w:hAnsi="Noto Sans" w:cs="Noto Sans"/>
          <w:color w:val="4C545B"/>
          <w:sz w:val="16"/>
        </w:rPr>
        <w:t>Nota: Las cifras corresponden a variaciones anuales de julio, salvo donde se indique. Para la comparación temporal de la TCCO, INEGI utiliza salarios mínimos equivalentes con base enero de 2026.</w:t>
      </w:r>
    </w:p>
    <w:p w:rsidR="00964ACF" w:rsidRPr="00F3290F" w:rsidRDefault="00964ACF">
      <w:pPr>
        <w:jc w:val="both"/>
        <w:rPr>
          <w:rFonts w:ascii="Noto Sans" w:hAnsi="Noto Sans" w:cs="Noto Sans"/>
          <w:color w:val="4C545B"/>
          <w:sz w:val="16"/>
          <w:szCs w:val="22"/>
        </w:rPr>
      </w:pPr>
    </w:p>
    <w:p w:rsidR="003F7434" w:rsidRPr="00F3290F" w:rsidRDefault="003F7434">
      <w:pPr>
        <w:jc w:val="both"/>
        <w:rPr>
          <w:rFonts w:ascii="Noto Sans" w:hAnsi="Noto Sans" w:cs="Noto Sans"/>
          <w:color w:val="4C545B"/>
          <w:sz w:val="16"/>
          <w:szCs w:val="22"/>
        </w:rPr>
      </w:pPr>
      <w:r>
        <w:rPr>
          <w:rFonts w:ascii="Noto Sans" w:hAnsi="Noto Sans" w:cs="Noto Sans"/>
          <w:color w:val="4C545B"/>
          <w:sz w:val="16"/>
        </w:rPr>
        <w:t>Fuente: INEGI, Encuesta Nacional de Ocupación y Empleo (ENOE), Boletín de Indicador del 27 de agosto de 2026, julio de 2026. Próxima publicación: 25 de septiembre de 2026.</w:t>
      </w:r>
    </w:p>
    <w:p w:rsidR="003F7434" w:rsidRPr="006A3BB6" w:rsidRDefault="003F7434">
      <w:pPr>
        <w:spacing w:line="80" w:lineRule="exact"/>
        <w:jc w:val="both"/>
        <w:rPr>
          <w:rFonts w:ascii="Noto Sans" w:hAnsi="Noto Sans" w:cs="Noto Sans"/>
          <w:color w:val="4C545B"/>
          <w:sz w:val="22"/>
          <w:szCs w:val="22"/>
        </w:rPr>
      </w:pPr>
    </w:p>
    <w:p w:rsidR="00246E09" w:rsidRPr="006A3BB6" w:rsidRDefault="00246E09">
      <w:pPr>
        <w:spacing w:line="80" w:lineRule="exact"/>
        <w:jc w:val="both"/>
        <w:rPr>
          <w:rFonts w:ascii="Noto Sans" w:hAnsi="Noto Sans" w:cs="Noto Sans"/>
          <w:sz w:val="16"/>
          <w:szCs w:val="16"/>
        </w:rPr>
      </w:pPr>
    </w:p>
    <w:sectPr w:rsidR="00246E09" w:rsidRPr="006A3BB6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0811" w:rsidRDefault="006A0811" w:rsidP="00E32E74">
      <w:r>
        <w:separator/>
      </w:r>
    </w:p>
  </w:endnote>
  <w:endnote w:type="continuationSeparator" w:id="0">
    <w:p w:rsidR="006A0811" w:rsidRDefault="006A0811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0811" w:rsidRDefault="006A0811" w:rsidP="00E32E74">
      <w:r>
        <w:separator/>
      </w:r>
    </w:p>
  </w:footnote>
  <w:footnote w:type="continuationSeparator" w:id="0">
    <w:p w:rsidR="006A0811" w:rsidRDefault="006A0811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6317"/>
    <w:rsid w:val="0013733B"/>
    <w:rsid w:val="001410AA"/>
    <w:rsid w:val="00151B05"/>
    <w:rsid w:val="00153B11"/>
    <w:rsid w:val="00154DA5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A56B9"/>
    <w:rsid w:val="008B36BF"/>
    <w:rsid w:val="008B5764"/>
    <w:rsid w:val="008D09CA"/>
    <w:rsid w:val="008F0109"/>
    <w:rsid w:val="008F2DC2"/>
    <w:rsid w:val="008F54BD"/>
    <w:rsid w:val="009117FA"/>
    <w:rsid w:val="00927F12"/>
    <w:rsid w:val="00930605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3CE9"/>
    <w:rsid w:val="00B273F4"/>
    <w:rsid w:val="00B449E9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76A7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B326C2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F29817-4E0C-2244-92DE-A680EB772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368</Words>
  <Characters>2028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18</cp:revision>
  <cp:lastPrinted>2026-06-17T17:31:00Z</cp:lastPrinted>
  <dcterms:created xsi:type="dcterms:W3CDTF">2026-07-24T04:18:00Z</dcterms:created>
  <dcterms:modified xsi:type="dcterms:W3CDTF">2026-08-27T03:21:00Z</dcterms:modified>
</cp:coreProperties>
</file>