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3EA0" w:rsidRDefault="00FF0630" w:rsidP="00CE633D">
      <w:pPr>
        <w:jc w:val="center"/>
        <w:rPr>
          <w:rFonts w:ascii="Arial" w:hAnsi="Arial" w:cs="Arial"/>
          <w:b/>
          <w:bCs/>
          <w:color w:val="10312B"/>
        </w:rPr>
      </w:pPr>
      <w:r>
        <w:rPr>
          <w:rFonts w:ascii="Arial" w:hAnsi="Arial" w:cs="Arial"/>
          <w:b/>
          <w:color w:val="10312B"/>
        </w:rPr>
        <w:t>INDICADOR GLOBAL DE LA ACTIVIDAD ECONÓMICA (IGAE)</w:t>
      </w:r>
      <w:r w:rsidR="00CE633D" w:rsidRPr="00CE633D">
        <w:rPr>
          <w:rFonts w:ascii="Arial" w:hAnsi="Arial" w:cs="Arial"/>
          <w:b/>
          <w:color w:val="10312B"/>
        </w:rPr>
        <w:t xml:space="preserve"> </w:t>
      </w:r>
      <w:r w:rsidR="00CE633D" w:rsidRPr="00F64D89">
        <w:rPr>
          <w:rFonts w:ascii="Arial" w:hAnsi="Arial" w:cs="Arial"/>
          <w:b/>
          <w:color w:val="10312B"/>
        </w:rPr>
        <w:t>— REPORTE 2</w:t>
      </w:r>
      <w:r w:rsidR="00CE633D">
        <w:rPr>
          <w:rFonts w:ascii="Arial" w:hAnsi="Arial" w:cs="Arial"/>
          <w:b/>
          <w:color w:val="10312B"/>
        </w:rPr>
        <w:t>3</w:t>
      </w:r>
      <w:r w:rsidR="00CE633D" w:rsidRPr="00F64D89">
        <w:rPr>
          <w:rFonts w:ascii="Arial" w:hAnsi="Arial" w:cs="Arial"/>
          <w:b/>
          <w:color w:val="10312B"/>
        </w:rPr>
        <w:t xml:space="preserve"> </w:t>
      </w:r>
      <w:r w:rsidR="00CE633D">
        <w:rPr>
          <w:rFonts w:ascii="Arial" w:hAnsi="Arial" w:cs="Arial"/>
          <w:b/>
          <w:color w:val="10312B"/>
        </w:rPr>
        <w:t>JUNIO</w:t>
      </w:r>
      <w:r w:rsidR="00CE633D" w:rsidRPr="00F64D89">
        <w:rPr>
          <w:rFonts w:ascii="Arial" w:hAnsi="Arial" w:cs="Arial"/>
          <w:b/>
          <w:color w:val="10312B"/>
        </w:rPr>
        <w:t xml:space="preserve"> DE 2026 —</w:t>
      </w:r>
    </w:p>
    <w:p w:rsidR="00003EA0" w:rsidRDefault="00003EA0">
      <w:pPr>
        <w:jc w:val="center"/>
        <w:rPr>
          <w:rFonts w:ascii="Arial" w:hAnsi="Arial" w:cs="Arial"/>
          <w:b/>
          <w:bCs/>
          <w:color w:val="10312B"/>
        </w:rPr>
      </w:pPr>
    </w:p>
    <w:tbl>
      <w:tblPr>
        <w:tblStyle w:val="Tablaconcuadrcula"/>
        <w:tblW w:w="3734" w:type="dxa"/>
        <w:jc w:val="center"/>
        <w:tblLook w:val="04A0" w:firstRow="1" w:lastRow="0" w:firstColumn="1" w:lastColumn="0" w:noHBand="0" w:noVBand="1"/>
      </w:tblPr>
      <w:tblGrid>
        <w:gridCol w:w="2400"/>
        <w:gridCol w:w="1334"/>
      </w:tblGrid>
      <w:tr w:rsidR="00003EA0">
        <w:trPr>
          <w:jc w:val="center"/>
        </w:trPr>
        <w:tc>
          <w:tcPr>
            <w:tcW w:w="3734" w:type="dxa"/>
            <w:gridSpan w:val="2"/>
            <w:shd w:val="clear" w:color="auto" w:fill="005E4C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IGAE TOTAL — ABRIL 2026</w:t>
            </w:r>
          </w:p>
        </w:tc>
      </w:tr>
      <w:tr w:rsidR="00003EA0">
        <w:trPr>
          <w:jc w:val="center"/>
        </w:trPr>
        <w:tc>
          <w:tcPr>
            <w:tcW w:w="2400" w:type="dxa"/>
            <w:shd w:val="clear" w:color="auto" w:fill="F2F2F2"/>
          </w:tcPr>
          <w:p w:rsidR="00003EA0" w:rsidRDefault="00FF0630">
            <w:r>
              <w:rPr>
                <w:rFonts w:ascii="Arial" w:hAnsi="Arial" w:cs="Arial"/>
                <w:color w:val="000000"/>
                <w:sz w:val="16"/>
              </w:rPr>
              <w:t>Índice (2018=100)</w:t>
            </w:r>
          </w:p>
        </w:tc>
        <w:tc>
          <w:tcPr>
            <w:tcW w:w="1334" w:type="dxa"/>
            <w:shd w:val="clear" w:color="auto" w:fill="F2F2F2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106.9</w:t>
            </w:r>
          </w:p>
        </w:tc>
      </w:tr>
      <w:tr w:rsidR="00003EA0">
        <w:trPr>
          <w:jc w:val="center"/>
        </w:trPr>
        <w:tc>
          <w:tcPr>
            <w:tcW w:w="2400" w:type="dxa"/>
          </w:tcPr>
          <w:p w:rsidR="00003EA0" w:rsidRDefault="00FF0630">
            <w:r>
              <w:rPr>
                <w:rFonts w:ascii="Arial" w:hAnsi="Arial" w:cs="Arial"/>
                <w:color w:val="000000"/>
                <w:sz w:val="16"/>
              </w:rPr>
              <w:t>Variación mensual</w:t>
            </w:r>
            <w:r>
              <w:rPr>
                <w:rFonts w:ascii="Arial" w:hAnsi="Arial" w:cs="Arial"/>
                <w:color w:val="000000"/>
                <w:sz w:val="16"/>
                <w:vertAlign w:val="superscript"/>
              </w:rPr>
              <w:t>1</w:t>
            </w:r>
          </w:p>
        </w:tc>
        <w:tc>
          <w:tcPr>
            <w:tcW w:w="1334" w:type="dxa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▲ 1.2 %</w:t>
            </w:r>
          </w:p>
        </w:tc>
      </w:tr>
      <w:tr w:rsidR="00003EA0">
        <w:trPr>
          <w:jc w:val="center"/>
        </w:trPr>
        <w:tc>
          <w:tcPr>
            <w:tcW w:w="2400" w:type="dxa"/>
            <w:shd w:val="clear" w:color="auto" w:fill="F2F2F2"/>
          </w:tcPr>
          <w:p w:rsidR="00003EA0" w:rsidRDefault="00FF0630">
            <w:r>
              <w:rPr>
                <w:rFonts w:ascii="Arial" w:hAnsi="Arial" w:cs="Arial"/>
                <w:color w:val="000000"/>
                <w:sz w:val="16"/>
              </w:rPr>
              <w:t>Variación anual</w:t>
            </w:r>
            <w:r>
              <w:rPr>
                <w:rFonts w:ascii="Arial" w:hAnsi="Arial" w:cs="Arial"/>
                <w:color w:val="000000"/>
                <w:sz w:val="16"/>
                <w:vertAlign w:val="superscript"/>
              </w:rPr>
              <w:t>1</w:t>
            </w:r>
          </w:p>
        </w:tc>
        <w:tc>
          <w:tcPr>
            <w:tcW w:w="1334" w:type="dxa"/>
            <w:shd w:val="clear" w:color="auto" w:fill="F2F2F2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▲ 2.2 %</w:t>
            </w:r>
          </w:p>
        </w:tc>
      </w:tr>
      <w:tr w:rsidR="00003EA0">
        <w:trPr>
          <w:jc w:val="center"/>
        </w:trPr>
        <w:tc>
          <w:tcPr>
            <w:tcW w:w="2400" w:type="dxa"/>
          </w:tcPr>
          <w:p w:rsidR="00003EA0" w:rsidRDefault="00FF0630">
            <w:r>
              <w:rPr>
                <w:rFonts w:ascii="Arial" w:hAnsi="Arial" w:cs="Arial"/>
                <w:color w:val="000000"/>
                <w:sz w:val="16"/>
              </w:rPr>
              <w:t>Acumulado enero-abril</w:t>
            </w:r>
            <w:r>
              <w:rPr>
                <w:rFonts w:ascii="Arial" w:hAnsi="Arial" w:cs="Arial"/>
                <w:color w:val="000000"/>
                <w:sz w:val="16"/>
                <w:vertAlign w:val="superscript"/>
              </w:rPr>
              <w:t>2</w:t>
            </w:r>
          </w:p>
        </w:tc>
        <w:tc>
          <w:tcPr>
            <w:tcW w:w="1334" w:type="dxa"/>
          </w:tcPr>
          <w:p w:rsidR="00003EA0" w:rsidRDefault="00FF0630">
            <w:pPr>
              <w:jc w:val="center"/>
            </w:pPr>
            <w:r w:rsidRPr="000E1551">
              <w:rPr>
                <w:rFonts w:ascii="Arial" w:hAnsi="Arial" w:cs="Arial"/>
                <w:b/>
                <w:color w:val="00B050"/>
                <w:sz w:val="17"/>
              </w:rPr>
              <w:t>▲ 0.7 %</w:t>
            </w:r>
          </w:p>
        </w:tc>
      </w:tr>
    </w:tbl>
    <w:p w:rsidR="00003EA0" w:rsidRDefault="00FF0630">
      <w:pPr>
        <w:spacing w:before="20" w:after="60"/>
        <w:jc w:val="center"/>
      </w:pPr>
      <w:r>
        <w:rPr>
          <w:rFonts w:ascii="Arial" w:hAnsi="Arial" w:cs="Arial"/>
          <w:i/>
          <w:color w:val="4C545B"/>
          <w:sz w:val="14"/>
        </w:rPr>
        <w:t>¹ Cifras desestacionalizadas.  ² Cifras originales (no desestacionalizadas).</w:t>
      </w:r>
    </w:p>
    <w:p w:rsidR="00003EA0" w:rsidRDefault="00FF0630">
      <w:pPr>
        <w:spacing w:before="20" w:after="40"/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b/>
          <w:color w:val="000000"/>
          <w:sz w:val="22"/>
        </w:rPr>
        <w:t xml:space="preserve">El IGAE registró un avance mensual de 1.2% y un crecimiento anual de 2.2% en abril de 2026, con cifras desestacionalizadas. </w:t>
      </w:r>
      <w:r>
        <w:rPr>
          <w:rFonts w:ascii="Arial" w:hAnsi="Arial" w:cs="Arial"/>
          <w:color w:val="000000"/>
          <w:sz w:val="22"/>
        </w:rPr>
        <w:t>El dato muestra una mejora relevante al inicio del se</w:t>
      </w:r>
      <w:r>
        <w:rPr>
          <w:rFonts w:ascii="Arial" w:hAnsi="Arial" w:cs="Arial"/>
          <w:color w:val="000000"/>
          <w:sz w:val="22"/>
        </w:rPr>
        <w:t>gundo trimestre; sin embargo, debe leerse con cautela, ya que el acumulado enero-abril, con cifras originales, creció apenas 0.7% real anual. En este sentido, abril mejora la lectura de corto plazo, pero aún no revierte plenamente el bajo dinamismo observa</w:t>
      </w:r>
      <w:r>
        <w:rPr>
          <w:rFonts w:ascii="Arial" w:hAnsi="Arial" w:cs="Arial"/>
          <w:color w:val="000000"/>
          <w:sz w:val="22"/>
        </w:rPr>
        <w:t>do al inicio del año.</w:t>
      </w:r>
    </w:p>
    <w:p w:rsidR="00591B3A" w:rsidRDefault="00591B3A">
      <w:pPr>
        <w:spacing w:before="20" w:after="40"/>
        <w:jc w:val="both"/>
      </w:pPr>
    </w:p>
    <w:p w:rsidR="00003EA0" w:rsidRDefault="00FF0630">
      <w:pPr>
        <w:shd w:val="clear" w:color="auto" w:fill="005E4C"/>
        <w:spacing w:before="30" w:after="20" w:line="276" w:lineRule="auto"/>
        <w:jc w:val="both"/>
      </w:pPr>
      <w:r>
        <w:rPr>
          <w:rFonts w:ascii="Arial" w:hAnsi="Arial" w:cs="Arial"/>
          <w:b/>
          <w:bCs/>
          <w:color w:val="FFFFFF"/>
          <w:sz w:val="18"/>
        </w:rPr>
        <w:t>Resumen ejecutivo</w:t>
      </w:r>
    </w:p>
    <w:p w:rsidR="000E1551" w:rsidRPr="000E1551" w:rsidRDefault="000E1551">
      <w:pPr>
        <w:pStyle w:val="Prrafodelista"/>
        <w:numPr>
          <w:ilvl w:val="0"/>
          <w:numId w:val="32"/>
        </w:numPr>
        <w:spacing w:before="45" w:after="30"/>
        <w:jc w:val="both"/>
      </w:pPr>
      <w:r w:rsidRPr="000E1551">
        <w:rPr>
          <w:rFonts w:ascii="Arial" w:hAnsi="Arial" w:cs="Arial"/>
          <w:color w:val="000000"/>
          <w:sz w:val="22"/>
        </w:rPr>
        <w:t xml:space="preserve">En abril de 2026, el IGAE desestacionalizado </w:t>
      </w:r>
      <w:r w:rsidRPr="000E1551">
        <w:rPr>
          <w:rFonts w:ascii="Arial" w:hAnsi="Arial" w:cs="Arial"/>
          <w:b/>
          <w:color w:val="000000"/>
          <w:sz w:val="22"/>
        </w:rPr>
        <w:t>avanzó 1.2%</w:t>
      </w:r>
      <w:r w:rsidRPr="000E1551">
        <w:rPr>
          <w:rFonts w:ascii="Arial" w:hAnsi="Arial" w:cs="Arial"/>
          <w:color w:val="000000"/>
          <w:sz w:val="22"/>
        </w:rPr>
        <w:t xml:space="preserve"> respecto al mes previo y </w:t>
      </w:r>
      <w:r w:rsidRPr="000E1551">
        <w:rPr>
          <w:rFonts w:ascii="Arial" w:hAnsi="Arial" w:cs="Arial"/>
          <w:b/>
          <w:color w:val="000000"/>
          <w:sz w:val="22"/>
        </w:rPr>
        <w:t>2.2%</w:t>
      </w:r>
      <w:r w:rsidRPr="000E1551">
        <w:rPr>
          <w:rFonts w:ascii="Arial" w:hAnsi="Arial" w:cs="Arial"/>
          <w:color w:val="000000"/>
          <w:sz w:val="22"/>
        </w:rPr>
        <w:t xml:space="preserve"> respecto al mismo mes de 2025. En cifras originales, el acumulado enero-abril creció 0.7% real anual, lo que apunta a una recuperación todavía moderada.</w:t>
      </w:r>
    </w:p>
    <w:p w:rsidR="00003EA0" w:rsidRDefault="00FF0630">
      <w:pPr>
        <w:pStyle w:val="Prrafodelista"/>
        <w:numPr>
          <w:ilvl w:val="0"/>
          <w:numId w:val="32"/>
        </w:numPr>
        <w:spacing w:before="45" w:after="30"/>
        <w:jc w:val="both"/>
      </w:pPr>
      <w:r>
        <w:rPr>
          <w:rFonts w:ascii="Arial" w:hAnsi="Arial" w:cs="Arial"/>
          <w:color w:val="000000"/>
          <w:sz w:val="22"/>
        </w:rPr>
        <w:t>Por grandes actividades, el impulso mensual provino principalmente de las secundarias (</w:t>
      </w:r>
      <w:r>
        <w:rPr>
          <w:rFonts w:ascii="Arial" w:hAnsi="Arial" w:cs="Arial"/>
          <w:b/>
          <w:color w:val="000000"/>
          <w:sz w:val="22"/>
        </w:rPr>
        <w:t>+2.1%</w:t>
      </w:r>
      <w:r>
        <w:rPr>
          <w:rFonts w:ascii="Arial" w:hAnsi="Arial" w:cs="Arial"/>
          <w:color w:val="000000"/>
          <w:sz w:val="22"/>
        </w:rPr>
        <w:t>) y las terciarias (</w:t>
      </w:r>
      <w:r>
        <w:rPr>
          <w:rFonts w:ascii="Arial" w:hAnsi="Arial" w:cs="Arial"/>
          <w:b/>
          <w:color w:val="000000"/>
          <w:sz w:val="22"/>
        </w:rPr>
        <w:t>+0.7%</w:t>
      </w:r>
      <w:r>
        <w:rPr>
          <w:rFonts w:ascii="Arial" w:hAnsi="Arial" w:cs="Arial"/>
          <w:color w:val="000000"/>
          <w:sz w:val="22"/>
        </w:rPr>
        <w:t xml:space="preserve">), mientras que las primarias retrocedieron </w:t>
      </w:r>
      <w:r>
        <w:rPr>
          <w:rFonts w:ascii="Arial" w:hAnsi="Arial" w:cs="Arial"/>
          <w:b/>
          <w:color w:val="000000"/>
          <w:sz w:val="22"/>
        </w:rPr>
        <w:t>0.4%</w:t>
      </w:r>
      <w:r w:rsidR="00D2057E">
        <w:rPr>
          <w:rFonts w:ascii="Arial" w:hAnsi="Arial" w:cs="Arial"/>
          <w:b/>
          <w:color w:val="000000"/>
          <w:sz w:val="22"/>
        </w:rPr>
        <w:t xml:space="preserve"> </w:t>
      </w:r>
      <w:r w:rsidR="00D2057E" w:rsidRPr="00D2057E">
        <w:rPr>
          <w:rFonts w:ascii="Arial" w:hAnsi="Arial" w:cs="Arial"/>
          <w:color w:val="000000"/>
          <w:sz w:val="22"/>
        </w:rPr>
        <w:t>mensual</w:t>
      </w:r>
      <w:r>
        <w:rPr>
          <w:rFonts w:ascii="Arial" w:hAnsi="Arial" w:cs="Arial"/>
          <w:color w:val="000000"/>
          <w:sz w:val="22"/>
        </w:rPr>
        <w:t>.</w:t>
      </w:r>
      <w:bookmarkStart w:id="0" w:name="_GoBack"/>
      <w:bookmarkEnd w:id="0"/>
    </w:p>
    <w:p w:rsidR="00003EA0" w:rsidRDefault="00FF0630">
      <w:pPr>
        <w:pStyle w:val="Prrafodelista"/>
        <w:numPr>
          <w:ilvl w:val="0"/>
          <w:numId w:val="32"/>
        </w:numPr>
        <w:spacing w:before="45" w:after="30"/>
        <w:jc w:val="both"/>
      </w:pPr>
      <w:r>
        <w:rPr>
          <w:rFonts w:ascii="Arial" w:hAnsi="Arial" w:cs="Arial"/>
          <w:color w:val="000000"/>
          <w:sz w:val="22"/>
        </w:rPr>
        <w:t xml:space="preserve">A tasa anual, primarias y terciarias mostraron los mayores avances, con </w:t>
      </w:r>
      <w:r>
        <w:rPr>
          <w:rFonts w:ascii="Arial" w:hAnsi="Arial" w:cs="Arial"/>
          <w:b/>
          <w:color w:val="000000"/>
          <w:sz w:val="22"/>
        </w:rPr>
        <w:t>4.7%</w:t>
      </w:r>
      <w:r>
        <w:rPr>
          <w:rFonts w:ascii="Arial" w:hAnsi="Arial" w:cs="Arial"/>
          <w:color w:val="000000"/>
          <w:sz w:val="22"/>
        </w:rPr>
        <w:t xml:space="preserve"> y </w:t>
      </w:r>
      <w:r>
        <w:rPr>
          <w:rFonts w:ascii="Arial" w:hAnsi="Arial" w:cs="Arial"/>
          <w:b/>
          <w:color w:val="000000"/>
          <w:sz w:val="22"/>
        </w:rPr>
        <w:t>2.4%</w:t>
      </w:r>
      <w:r>
        <w:rPr>
          <w:rFonts w:ascii="Arial" w:hAnsi="Arial" w:cs="Arial"/>
          <w:color w:val="000000"/>
          <w:sz w:val="22"/>
        </w:rPr>
        <w:t>, resp</w:t>
      </w:r>
      <w:r>
        <w:rPr>
          <w:rFonts w:ascii="Arial" w:hAnsi="Arial" w:cs="Arial"/>
          <w:color w:val="000000"/>
          <w:sz w:val="22"/>
        </w:rPr>
        <w:t xml:space="preserve">ectivamente; las secundarias crecieron </w:t>
      </w:r>
      <w:r>
        <w:rPr>
          <w:rFonts w:ascii="Arial" w:hAnsi="Arial" w:cs="Arial"/>
          <w:b/>
          <w:color w:val="000000"/>
          <w:sz w:val="22"/>
        </w:rPr>
        <w:t>1.8%</w:t>
      </w:r>
      <w:r>
        <w:rPr>
          <w:rFonts w:ascii="Arial" w:hAnsi="Arial" w:cs="Arial"/>
          <w:color w:val="000000"/>
          <w:sz w:val="22"/>
        </w:rPr>
        <w:t>, aunque aún mantienen rezago en el acumulado del año.</w:t>
      </w:r>
    </w:p>
    <w:p w:rsidR="00003EA0" w:rsidRPr="00591B3A" w:rsidRDefault="00FF0630">
      <w:pPr>
        <w:pStyle w:val="Prrafodelista"/>
        <w:numPr>
          <w:ilvl w:val="0"/>
          <w:numId w:val="32"/>
        </w:numPr>
        <w:spacing w:before="45" w:after="30"/>
        <w:jc w:val="both"/>
      </w:pPr>
      <w:r>
        <w:rPr>
          <w:rFonts w:ascii="Arial" w:hAnsi="Arial" w:cs="Arial"/>
          <w:color w:val="000000"/>
          <w:sz w:val="22"/>
        </w:rPr>
        <w:t>A nivel sectorial, el impulso anual provino principalmente de construcción y comercio al por mayor; en contraste, las manufacturas permanecen débiles, con var</w:t>
      </w:r>
      <w:r>
        <w:rPr>
          <w:rFonts w:ascii="Arial" w:hAnsi="Arial" w:cs="Arial"/>
          <w:color w:val="000000"/>
          <w:sz w:val="22"/>
        </w:rPr>
        <w:t xml:space="preserve">iación anual de </w:t>
      </w:r>
      <w:r>
        <w:rPr>
          <w:rFonts w:ascii="Arial" w:hAnsi="Arial" w:cs="Arial"/>
          <w:b/>
          <w:color w:val="000000"/>
          <w:sz w:val="22"/>
        </w:rPr>
        <w:t>0.0%</w:t>
      </w:r>
      <w:r>
        <w:rPr>
          <w:rFonts w:ascii="Arial" w:hAnsi="Arial" w:cs="Arial"/>
          <w:color w:val="000000"/>
          <w:sz w:val="22"/>
        </w:rPr>
        <w:t xml:space="preserve"> en cifras originales y caída acumulada de </w:t>
      </w:r>
      <w:r>
        <w:rPr>
          <w:rFonts w:ascii="Arial" w:hAnsi="Arial" w:cs="Arial"/>
          <w:b/>
          <w:color w:val="000000"/>
          <w:sz w:val="22"/>
        </w:rPr>
        <w:t>1.5%</w:t>
      </w:r>
      <w:r>
        <w:rPr>
          <w:rFonts w:ascii="Arial" w:hAnsi="Arial" w:cs="Arial"/>
          <w:color w:val="000000"/>
          <w:sz w:val="22"/>
        </w:rPr>
        <w:t xml:space="preserve"> en enero-abril.</w:t>
      </w:r>
    </w:p>
    <w:p w:rsidR="00591B3A" w:rsidRDefault="00591B3A" w:rsidP="00591B3A">
      <w:pPr>
        <w:pStyle w:val="Prrafodelista"/>
        <w:spacing w:before="45" w:after="30"/>
        <w:ind w:left="504"/>
        <w:jc w:val="both"/>
      </w:pPr>
    </w:p>
    <w:p w:rsidR="00003EA0" w:rsidRDefault="00FF0630">
      <w:pPr>
        <w:shd w:val="clear" w:color="auto" w:fill="005E4C"/>
        <w:spacing w:before="55" w:after="35"/>
        <w:jc w:val="both"/>
      </w:pPr>
      <w:r>
        <w:rPr>
          <w:rFonts w:ascii="Arial" w:hAnsi="Arial" w:cs="Arial"/>
          <w:b/>
          <w:bCs/>
          <w:color w:val="FFFFFF"/>
          <w:sz w:val="18"/>
        </w:rPr>
        <w:t>Variación del IGAE por componentes (abril 2026)</w:t>
      </w:r>
    </w:p>
    <w:tbl>
      <w:tblPr>
        <w:tblStyle w:val="Tablaconcuadrcula"/>
        <w:tblW w:w="8838" w:type="dxa"/>
        <w:jc w:val="center"/>
        <w:tblLook w:val="04A0" w:firstRow="1" w:lastRow="0" w:firstColumn="1" w:lastColumn="0" w:noHBand="0" w:noVBand="1"/>
      </w:tblPr>
      <w:tblGrid>
        <w:gridCol w:w="2838"/>
        <w:gridCol w:w="2000"/>
        <w:gridCol w:w="2000"/>
        <w:gridCol w:w="2000"/>
      </w:tblGrid>
      <w:tr w:rsidR="00003EA0">
        <w:trPr>
          <w:jc w:val="center"/>
        </w:trPr>
        <w:tc>
          <w:tcPr>
            <w:tcW w:w="2838" w:type="dxa"/>
            <w:shd w:val="clear" w:color="auto" w:fill="005E4C"/>
          </w:tcPr>
          <w:p w:rsidR="00003EA0" w:rsidRDefault="00FF0630">
            <w:r>
              <w:rPr>
                <w:rFonts w:ascii="Arial" w:hAnsi="Arial" w:cs="Arial"/>
                <w:b/>
                <w:color w:val="FFFFFF"/>
                <w:sz w:val="16"/>
              </w:rPr>
              <w:t>Concepto</w:t>
            </w:r>
          </w:p>
        </w:tc>
        <w:tc>
          <w:tcPr>
            <w:tcW w:w="2000" w:type="dxa"/>
            <w:shd w:val="clear" w:color="auto" w:fill="005E4C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Var. mensual</w:t>
            </w:r>
          </w:p>
        </w:tc>
        <w:tc>
          <w:tcPr>
            <w:tcW w:w="2000" w:type="dxa"/>
            <w:shd w:val="clear" w:color="auto" w:fill="005E4C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Var. anual</w:t>
            </w:r>
          </w:p>
        </w:tc>
        <w:tc>
          <w:tcPr>
            <w:tcW w:w="2000" w:type="dxa"/>
            <w:shd w:val="clear" w:color="auto" w:fill="005E4C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Acum. ene-abr*</w:t>
            </w:r>
          </w:p>
        </w:tc>
      </w:tr>
      <w:tr w:rsidR="00003EA0">
        <w:trPr>
          <w:jc w:val="center"/>
        </w:trPr>
        <w:tc>
          <w:tcPr>
            <w:tcW w:w="2838" w:type="dxa"/>
            <w:shd w:val="clear" w:color="auto" w:fill="F2F2F2"/>
          </w:tcPr>
          <w:p w:rsidR="00003EA0" w:rsidRDefault="00FF0630">
            <w:r>
              <w:rPr>
                <w:rFonts w:ascii="Arial" w:hAnsi="Arial" w:cs="Arial"/>
                <w:b/>
                <w:color w:val="000000"/>
                <w:sz w:val="15"/>
              </w:rPr>
              <w:t>IGAE (Total)</w:t>
            </w:r>
          </w:p>
        </w:tc>
        <w:tc>
          <w:tcPr>
            <w:tcW w:w="2000" w:type="dxa"/>
            <w:shd w:val="clear" w:color="auto" w:fill="F2F2F2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5"/>
              </w:rPr>
              <w:t>▲ 1.2 %</w:t>
            </w:r>
          </w:p>
        </w:tc>
        <w:tc>
          <w:tcPr>
            <w:tcW w:w="2000" w:type="dxa"/>
            <w:shd w:val="clear" w:color="auto" w:fill="F2F2F2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5"/>
              </w:rPr>
              <w:t>▲ 2.2 %</w:t>
            </w:r>
          </w:p>
        </w:tc>
        <w:tc>
          <w:tcPr>
            <w:tcW w:w="2000" w:type="dxa"/>
            <w:shd w:val="clear" w:color="auto" w:fill="F2F2F2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5"/>
              </w:rPr>
              <w:t>▲ 0.7 %</w:t>
            </w:r>
          </w:p>
        </w:tc>
      </w:tr>
      <w:tr w:rsidR="00003EA0">
        <w:trPr>
          <w:jc w:val="center"/>
        </w:trPr>
        <w:tc>
          <w:tcPr>
            <w:tcW w:w="2838" w:type="dxa"/>
          </w:tcPr>
          <w:p w:rsidR="00003EA0" w:rsidRDefault="00FF0630">
            <w:r>
              <w:rPr>
                <w:rFonts w:ascii="Arial" w:hAnsi="Arial" w:cs="Arial"/>
                <w:color w:val="000000"/>
                <w:sz w:val="15"/>
              </w:rPr>
              <w:t>Actividades primarias</w:t>
            </w:r>
          </w:p>
        </w:tc>
        <w:tc>
          <w:tcPr>
            <w:tcW w:w="2000" w:type="dxa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C00000"/>
                <w:sz w:val="15"/>
              </w:rPr>
              <w:t>▼ 0.4 %</w:t>
            </w:r>
          </w:p>
        </w:tc>
        <w:tc>
          <w:tcPr>
            <w:tcW w:w="2000" w:type="dxa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000000"/>
                <w:sz w:val="15"/>
              </w:rPr>
              <w:t>▲ 4.7 %</w:t>
            </w:r>
          </w:p>
        </w:tc>
        <w:tc>
          <w:tcPr>
            <w:tcW w:w="2000" w:type="dxa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000000"/>
                <w:sz w:val="15"/>
              </w:rPr>
              <w:t>▲ 1.2 %</w:t>
            </w:r>
          </w:p>
        </w:tc>
      </w:tr>
      <w:tr w:rsidR="00003EA0">
        <w:trPr>
          <w:jc w:val="center"/>
        </w:trPr>
        <w:tc>
          <w:tcPr>
            <w:tcW w:w="2838" w:type="dxa"/>
            <w:shd w:val="clear" w:color="auto" w:fill="F2F2F2"/>
          </w:tcPr>
          <w:p w:rsidR="00003EA0" w:rsidRDefault="00FF0630">
            <w:r>
              <w:rPr>
                <w:rFonts w:ascii="Arial" w:hAnsi="Arial" w:cs="Arial"/>
                <w:color w:val="000000"/>
                <w:sz w:val="15"/>
              </w:rPr>
              <w:t>Actividades secundarias</w:t>
            </w:r>
          </w:p>
        </w:tc>
        <w:tc>
          <w:tcPr>
            <w:tcW w:w="2000" w:type="dxa"/>
            <w:shd w:val="clear" w:color="auto" w:fill="F2F2F2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000000"/>
                <w:sz w:val="15"/>
              </w:rPr>
              <w:t>▲ 2.1 %</w:t>
            </w:r>
          </w:p>
        </w:tc>
        <w:tc>
          <w:tcPr>
            <w:tcW w:w="2000" w:type="dxa"/>
            <w:shd w:val="clear" w:color="auto" w:fill="F2F2F2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000000"/>
                <w:sz w:val="15"/>
              </w:rPr>
              <w:t>▲ 1.8 %</w:t>
            </w:r>
          </w:p>
        </w:tc>
        <w:tc>
          <w:tcPr>
            <w:tcW w:w="2000" w:type="dxa"/>
            <w:shd w:val="clear" w:color="auto" w:fill="F2F2F2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C00000"/>
                <w:sz w:val="15"/>
              </w:rPr>
              <w:t>▼ 0.3 %</w:t>
            </w:r>
          </w:p>
        </w:tc>
      </w:tr>
      <w:tr w:rsidR="00003EA0">
        <w:trPr>
          <w:jc w:val="center"/>
        </w:trPr>
        <w:tc>
          <w:tcPr>
            <w:tcW w:w="2838" w:type="dxa"/>
          </w:tcPr>
          <w:p w:rsidR="00003EA0" w:rsidRDefault="00FF0630">
            <w:r>
              <w:rPr>
                <w:rFonts w:ascii="Arial" w:hAnsi="Arial" w:cs="Arial"/>
                <w:color w:val="000000"/>
                <w:sz w:val="15"/>
              </w:rPr>
              <w:t>Actividades terciarias</w:t>
            </w:r>
          </w:p>
        </w:tc>
        <w:tc>
          <w:tcPr>
            <w:tcW w:w="2000" w:type="dxa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000000"/>
                <w:sz w:val="15"/>
              </w:rPr>
              <w:t>▲ 0.7 %</w:t>
            </w:r>
          </w:p>
        </w:tc>
        <w:tc>
          <w:tcPr>
            <w:tcW w:w="2000" w:type="dxa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000000"/>
                <w:sz w:val="15"/>
              </w:rPr>
              <w:t>▲ 2.4 %</w:t>
            </w:r>
          </w:p>
        </w:tc>
        <w:tc>
          <w:tcPr>
            <w:tcW w:w="2000" w:type="dxa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000000"/>
                <w:sz w:val="15"/>
              </w:rPr>
              <w:t>▲ 1.3 %</w:t>
            </w:r>
          </w:p>
        </w:tc>
      </w:tr>
    </w:tbl>
    <w:p w:rsidR="00003EA0" w:rsidRDefault="00FF0630">
      <w:pPr>
        <w:spacing w:before="45"/>
      </w:pPr>
      <w:r>
        <w:rPr>
          <w:rFonts w:ascii="Arial" w:hAnsi="Arial" w:cs="Arial"/>
          <w:color w:val="4C545B"/>
          <w:sz w:val="15"/>
        </w:rPr>
        <w:t xml:space="preserve">Nota: variaciones mensual y anual con cifras desestacionalizadas. El acumulado enero-abril corresponde a cifras originales, por lo que no es </w:t>
      </w:r>
      <w:r>
        <w:rPr>
          <w:rFonts w:ascii="Arial" w:hAnsi="Arial" w:cs="Arial"/>
          <w:color w:val="4C545B"/>
          <w:sz w:val="15"/>
        </w:rPr>
        <w:t>directamente comparable con las otras columnas.</w:t>
      </w:r>
    </w:p>
    <w:p w:rsidR="00591B3A" w:rsidRDefault="00591B3A">
      <w:pPr>
        <w:keepNext/>
        <w:spacing w:before="20"/>
        <w:jc w:val="both"/>
        <w:rPr>
          <w:rFonts w:ascii="Arial" w:hAnsi="Arial" w:cs="Arial"/>
          <w:b/>
          <w:color w:val="4C545B"/>
          <w:sz w:val="17"/>
        </w:rPr>
      </w:pPr>
    </w:p>
    <w:p w:rsidR="00003EA0" w:rsidRDefault="00FF0630">
      <w:pPr>
        <w:keepNext/>
        <w:spacing w:before="20"/>
        <w:jc w:val="both"/>
      </w:pPr>
      <w:r>
        <w:rPr>
          <w:rFonts w:ascii="Arial" w:hAnsi="Arial" w:cs="Arial"/>
          <w:b/>
          <w:color w:val="4C545B"/>
          <w:sz w:val="17"/>
        </w:rPr>
        <w:t>Gráfica 1. Variación anual del IGAE y sus grandes actividades, enero 2025–abril 2026</w:t>
      </w:r>
    </w:p>
    <w:p w:rsidR="00003EA0" w:rsidRDefault="00FF0630">
      <w:pPr>
        <w:keepNext/>
        <w:spacing w:after="20"/>
        <w:jc w:val="both"/>
      </w:pPr>
      <w:r>
        <w:rPr>
          <w:rFonts w:ascii="Arial" w:hAnsi="Arial" w:cs="Arial"/>
          <w:i/>
          <w:color w:val="4C545B"/>
          <w:sz w:val="16"/>
        </w:rPr>
        <w:t>Abril muestra un repunte de la actividad, aunque el acumulado del año todavía refleja crecimiento moderado.</w:t>
      </w:r>
    </w:p>
    <w:p w:rsidR="00003EA0" w:rsidRDefault="00FF0630">
      <w:pPr>
        <w:spacing w:before="40" w:after="20"/>
        <w:jc w:val="center"/>
      </w:pPr>
      <w:r>
        <w:rPr>
          <w:noProof/>
        </w:rPr>
        <w:drawing>
          <wp:inline distT="0" distB="0" distL="0" distR="0">
            <wp:extent cx="4800600" cy="157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a_igae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B3A" w:rsidRDefault="00591B3A">
      <w:pPr>
        <w:spacing w:before="40" w:after="20"/>
        <w:jc w:val="center"/>
      </w:pPr>
    </w:p>
    <w:p w:rsidR="00003EA0" w:rsidRDefault="00FF0630">
      <w:pPr>
        <w:shd w:val="clear" w:color="auto" w:fill="005E4C"/>
        <w:spacing w:before="55" w:after="35"/>
        <w:jc w:val="both"/>
      </w:pPr>
      <w:r>
        <w:rPr>
          <w:rFonts w:ascii="Arial" w:hAnsi="Arial" w:cs="Arial"/>
          <w:b/>
          <w:bCs/>
          <w:color w:val="FFFFFF"/>
          <w:sz w:val="18"/>
        </w:rPr>
        <w:t>Análisis</w:t>
      </w:r>
    </w:p>
    <w:p w:rsidR="00003EA0" w:rsidRDefault="00FF0630">
      <w:pPr>
        <w:pStyle w:val="Prrafodelista"/>
        <w:numPr>
          <w:ilvl w:val="0"/>
          <w:numId w:val="33"/>
        </w:numPr>
        <w:spacing w:before="45" w:after="30"/>
        <w:jc w:val="both"/>
      </w:pPr>
      <w:r>
        <w:rPr>
          <w:rFonts w:ascii="Arial" w:hAnsi="Arial" w:cs="Arial"/>
          <w:color w:val="000000"/>
          <w:sz w:val="22"/>
        </w:rPr>
        <w:t>El a</w:t>
      </w:r>
      <w:r>
        <w:rPr>
          <w:rFonts w:ascii="Arial" w:hAnsi="Arial" w:cs="Arial"/>
          <w:color w:val="000000"/>
          <w:sz w:val="22"/>
        </w:rPr>
        <w:t>vance mensual de abril mejora la lectura de corto plazo, pero aún no permite concluir un cambio de tendencia. El acumulado enero-abril muestra que la actividad económica mantiene un ritmo moderado.</w:t>
      </w:r>
    </w:p>
    <w:p w:rsidR="00003EA0" w:rsidRDefault="00FF0630">
      <w:pPr>
        <w:pStyle w:val="Prrafodelista"/>
        <w:numPr>
          <w:ilvl w:val="0"/>
          <w:numId w:val="33"/>
        </w:numPr>
        <w:spacing w:before="45" w:after="30"/>
        <w:jc w:val="both"/>
      </w:pPr>
      <w:r>
        <w:rPr>
          <w:rFonts w:ascii="Arial" w:hAnsi="Arial" w:cs="Arial"/>
          <w:color w:val="000000"/>
          <w:sz w:val="22"/>
        </w:rPr>
        <w:t xml:space="preserve">Las actividades secundarias fueron el principal motor del </w:t>
      </w:r>
      <w:r>
        <w:rPr>
          <w:rFonts w:ascii="Arial" w:hAnsi="Arial" w:cs="Arial"/>
          <w:color w:val="000000"/>
          <w:sz w:val="22"/>
        </w:rPr>
        <w:t>mes, impulsadas por construcción. No obstante, su acumulado anual permanece en terreno negativo, por lo que todavía no se confirma una recuperación industrial sostenida.</w:t>
      </w:r>
    </w:p>
    <w:p w:rsidR="00591B3A" w:rsidRPr="00591B3A" w:rsidRDefault="00FF0630" w:rsidP="00591B3A">
      <w:pPr>
        <w:pStyle w:val="Prrafodelista"/>
        <w:numPr>
          <w:ilvl w:val="0"/>
          <w:numId w:val="33"/>
        </w:numPr>
        <w:spacing w:before="45" w:after="30"/>
        <w:jc w:val="both"/>
      </w:pPr>
      <w:r>
        <w:rPr>
          <w:rFonts w:ascii="Arial" w:hAnsi="Arial" w:cs="Arial"/>
          <w:color w:val="000000"/>
          <w:sz w:val="22"/>
        </w:rPr>
        <w:t>Las actividades terciarias se mantienen como el componente más estable de la economía,</w:t>
      </w:r>
      <w:r>
        <w:rPr>
          <w:rFonts w:ascii="Arial" w:hAnsi="Arial" w:cs="Arial"/>
          <w:color w:val="000000"/>
          <w:sz w:val="22"/>
        </w:rPr>
        <w:t xml:space="preserve"> con crecimiento mensual, anual y acumulado positivo. Esto </w:t>
      </w:r>
      <w:r w:rsidR="00591B3A">
        <w:rPr>
          <w:rFonts w:ascii="Arial" w:hAnsi="Arial" w:cs="Arial"/>
          <w:color w:val="000000"/>
          <w:sz w:val="22"/>
        </w:rPr>
        <w:t>sugiere</w:t>
      </w:r>
      <w:r>
        <w:rPr>
          <w:rFonts w:ascii="Arial" w:hAnsi="Arial" w:cs="Arial"/>
          <w:color w:val="000000"/>
          <w:sz w:val="22"/>
        </w:rPr>
        <w:t xml:space="preserve"> que comercio y servicios siguen funcionando como soporte del crecimiento.</w:t>
      </w:r>
    </w:p>
    <w:p w:rsidR="00591B3A" w:rsidRDefault="00591B3A" w:rsidP="00591B3A">
      <w:pPr>
        <w:pStyle w:val="Prrafodelista"/>
        <w:numPr>
          <w:ilvl w:val="0"/>
          <w:numId w:val="33"/>
        </w:numPr>
        <w:spacing w:before="45" w:after="30"/>
        <w:jc w:val="both"/>
        <w:rPr>
          <w:rFonts w:ascii="Arial" w:hAnsi="Arial" w:cs="Arial"/>
          <w:color w:val="000000"/>
          <w:sz w:val="22"/>
        </w:rPr>
      </w:pPr>
      <w:r w:rsidRPr="00591B3A">
        <w:rPr>
          <w:rFonts w:ascii="Arial" w:hAnsi="Arial" w:cs="Arial"/>
          <w:color w:val="000000"/>
          <w:sz w:val="22"/>
        </w:rPr>
        <w:t>A nivel sectorial, el avance de abril se concentró en algunos segmentos de construcción, comercio y servicios, mientras que manufacturas permanecen débiles en el acumulado enero-abril.</w:t>
      </w:r>
    </w:p>
    <w:p w:rsidR="00591B3A" w:rsidRPr="00591B3A" w:rsidRDefault="00591B3A" w:rsidP="00591B3A">
      <w:pPr>
        <w:pStyle w:val="Prrafodelista"/>
        <w:spacing w:before="45" w:after="30"/>
        <w:ind w:left="504"/>
        <w:jc w:val="both"/>
        <w:rPr>
          <w:rFonts w:ascii="Arial" w:hAnsi="Arial" w:cs="Arial"/>
          <w:color w:val="000000"/>
          <w:sz w:val="22"/>
        </w:rPr>
      </w:pPr>
    </w:p>
    <w:p w:rsidR="00003EA0" w:rsidRDefault="00FF0630" w:rsidP="00591B3A">
      <w:pPr>
        <w:shd w:val="clear" w:color="auto" w:fill="005E4C"/>
        <w:spacing w:before="55" w:after="35"/>
        <w:jc w:val="both"/>
      </w:pPr>
      <w:r w:rsidRPr="00591B3A">
        <w:rPr>
          <w:rFonts w:ascii="Arial" w:hAnsi="Arial" w:cs="Arial"/>
          <w:b/>
          <w:bCs/>
          <w:color w:val="FFFFFF"/>
          <w:sz w:val="18"/>
        </w:rPr>
        <w:t>Lectura sectorial</w:t>
      </w:r>
    </w:p>
    <w:p w:rsidR="00003EA0" w:rsidRDefault="00FF0630">
      <w:pPr>
        <w:spacing w:before="10" w:after="60"/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E</w:t>
      </w:r>
      <w:r>
        <w:rPr>
          <w:rFonts w:ascii="Arial" w:hAnsi="Arial" w:cs="Arial"/>
          <w:color w:val="000000"/>
          <w:sz w:val="22"/>
        </w:rPr>
        <w:t>l impulso anual de abril se concentró en construc</w:t>
      </w:r>
      <w:r>
        <w:rPr>
          <w:rFonts w:ascii="Arial" w:hAnsi="Arial" w:cs="Arial"/>
          <w:color w:val="000000"/>
          <w:sz w:val="22"/>
        </w:rPr>
        <w:t>ción y comercio al por mayor, mientras que manufacturas aún no muestran una recuperación clara en el acumulado del año.</w:t>
      </w:r>
    </w:p>
    <w:p w:rsidR="00591B3A" w:rsidRDefault="00591B3A">
      <w:pPr>
        <w:spacing w:before="10" w:after="60"/>
        <w:jc w:val="both"/>
      </w:pPr>
    </w:p>
    <w:tbl>
      <w:tblPr>
        <w:tblStyle w:val="Tablaconcuadrcula"/>
        <w:tblW w:w="8838" w:type="dxa"/>
        <w:jc w:val="center"/>
        <w:tblLook w:val="04A0" w:firstRow="1" w:lastRow="0" w:firstColumn="1" w:lastColumn="0" w:noHBand="0" w:noVBand="1"/>
      </w:tblPr>
      <w:tblGrid>
        <w:gridCol w:w="2338"/>
        <w:gridCol w:w="1500"/>
        <w:gridCol w:w="1500"/>
        <w:gridCol w:w="3500"/>
      </w:tblGrid>
      <w:tr w:rsidR="00003EA0">
        <w:trPr>
          <w:jc w:val="center"/>
        </w:trPr>
        <w:tc>
          <w:tcPr>
            <w:tcW w:w="2338" w:type="dxa"/>
            <w:shd w:val="clear" w:color="auto" w:fill="005E4C"/>
          </w:tcPr>
          <w:p w:rsidR="00003EA0" w:rsidRDefault="00FF0630">
            <w:r>
              <w:rPr>
                <w:rFonts w:ascii="Arial" w:hAnsi="Arial" w:cs="Arial"/>
                <w:b/>
                <w:color w:val="FFFFFF"/>
                <w:sz w:val="16"/>
              </w:rPr>
              <w:t>Sector</w:t>
            </w:r>
          </w:p>
        </w:tc>
        <w:tc>
          <w:tcPr>
            <w:tcW w:w="1500" w:type="dxa"/>
            <w:shd w:val="clear" w:color="auto" w:fill="005E4C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Var. anual abril</w:t>
            </w:r>
          </w:p>
        </w:tc>
        <w:tc>
          <w:tcPr>
            <w:tcW w:w="1500" w:type="dxa"/>
            <w:shd w:val="clear" w:color="auto" w:fill="005E4C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Acum. ene-abr</w:t>
            </w:r>
          </w:p>
        </w:tc>
        <w:tc>
          <w:tcPr>
            <w:tcW w:w="3500" w:type="dxa"/>
            <w:shd w:val="clear" w:color="auto" w:fill="005E4C"/>
          </w:tcPr>
          <w:p w:rsidR="00003EA0" w:rsidRDefault="00FF0630">
            <w:r>
              <w:rPr>
                <w:rFonts w:ascii="Arial" w:hAnsi="Arial" w:cs="Arial"/>
                <w:b/>
                <w:color w:val="FFFFFF"/>
                <w:sz w:val="16"/>
              </w:rPr>
              <w:t>Lectura</w:t>
            </w:r>
          </w:p>
        </w:tc>
      </w:tr>
      <w:tr w:rsidR="00003EA0">
        <w:trPr>
          <w:jc w:val="center"/>
        </w:trPr>
        <w:tc>
          <w:tcPr>
            <w:tcW w:w="2338" w:type="dxa"/>
            <w:shd w:val="clear" w:color="auto" w:fill="F2F2F2"/>
          </w:tcPr>
          <w:p w:rsidR="00003EA0" w:rsidRDefault="00FF0630">
            <w:r>
              <w:rPr>
                <w:rFonts w:ascii="Arial" w:hAnsi="Arial" w:cs="Arial"/>
                <w:color w:val="000000"/>
                <w:sz w:val="15"/>
              </w:rPr>
              <w:t>Construcción</w:t>
            </w:r>
          </w:p>
        </w:tc>
        <w:tc>
          <w:tcPr>
            <w:tcW w:w="1500" w:type="dxa"/>
            <w:shd w:val="clear" w:color="auto" w:fill="F2F2F2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000000"/>
                <w:sz w:val="15"/>
              </w:rPr>
              <w:t>▲ 10.4 %</w:t>
            </w:r>
          </w:p>
        </w:tc>
        <w:tc>
          <w:tcPr>
            <w:tcW w:w="1500" w:type="dxa"/>
            <w:shd w:val="clear" w:color="auto" w:fill="F2F2F2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000000"/>
                <w:sz w:val="15"/>
              </w:rPr>
              <w:t>▲ 2.2 %</w:t>
            </w:r>
          </w:p>
        </w:tc>
        <w:tc>
          <w:tcPr>
            <w:tcW w:w="3500" w:type="dxa"/>
            <w:shd w:val="clear" w:color="auto" w:fill="F2F2F2"/>
          </w:tcPr>
          <w:p w:rsidR="00003EA0" w:rsidRDefault="00FF0630">
            <w:r>
              <w:rPr>
                <w:rFonts w:ascii="Arial" w:hAnsi="Arial" w:cs="Arial"/>
                <w:color w:val="000000"/>
                <w:sz w:val="15"/>
              </w:rPr>
              <w:t xml:space="preserve">Principal impulso </w:t>
            </w:r>
            <w:r w:rsidR="00591B3A">
              <w:rPr>
                <w:rFonts w:ascii="Arial" w:hAnsi="Arial" w:cs="Arial"/>
                <w:color w:val="000000"/>
                <w:sz w:val="15"/>
              </w:rPr>
              <w:t>de seundarias</w:t>
            </w:r>
          </w:p>
        </w:tc>
      </w:tr>
      <w:tr w:rsidR="00003EA0">
        <w:trPr>
          <w:jc w:val="center"/>
        </w:trPr>
        <w:tc>
          <w:tcPr>
            <w:tcW w:w="2338" w:type="dxa"/>
          </w:tcPr>
          <w:p w:rsidR="00003EA0" w:rsidRDefault="00FF0630">
            <w:r>
              <w:rPr>
                <w:rFonts w:ascii="Arial" w:hAnsi="Arial" w:cs="Arial"/>
                <w:color w:val="000000"/>
                <w:sz w:val="15"/>
              </w:rPr>
              <w:t>Comercio al por mayor</w:t>
            </w:r>
          </w:p>
        </w:tc>
        <w:tc>
          <w:tcPr>
            <w:tcW w:w="1500" w:type="dxa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000000"/>
                <w:sz w:val="15"/>
              </w:rPr>
              <w:t xml:space="preserve">▲ 10.6 </w:t>
            </w:r>
            <w:r>
              <w:rPr>
                <w:rFonts w:ascii="Arial" w:hAnsi="Arial" w:cs="Arial"/>
                <w:color w:val="000000"/>
                <w:sz w:val="15"/>
              </w:rPr>
              <w:t>%</w:t>
            </w:r>
          </w:p>
        </w:tc>
        <w:tc>
          <w:tcPr>
            <w:tcW w:w="1500" w:type="dxa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000000"/>
                <w:sz w:val="15"/>
              </w:rPr>
              <w:t>▲ 4.0 %</w:t>
            </w:r>
          </w:p>
        </w:tc>
        <w:tc>
          <w:tcPr>
            <w:tcW w:w="3500" w:type="dxa"/>
          </w:tcPr>
          <w:p w:rsidR="00003EA0" w:rsidRDefault="00FF0630">
            <w:r>
              <w:rPr>
                <w:rFonts w:ascii="Arial" w:hAnsi="Arial" w:cs="Arial"/>
                <w:color w:val="000000"/>
                <w:sz w:val="15"/>
              </w:rPr>
              <w:t>Soporte del avance en servicios</w:t>
            </w:r>
          </w:p>
        </w:tc>
      </w:tr>
      <w:tr w:rsidR="00003EA0">
        <w:trPr>
          <w:jc w:val="center"/>
        </w:trPr>
        <w:tc>
          <w:tcPr>
            <w:tcW w:w="2338" w:type="dxa"/>
            <w:shd w:val="clear" w:color="auto" w:fill="F2F2F2"/>
          </w:tcPr>
          <w:p w:rsidR="00003EA0" w:rsidRDefault="00FF0630">
            <w:r>
              <w:rPr>
                <w:rFonts w:ascii="Arial" w:hAnsi="Arial" w:cs="Arial"/>
                <w:color w:val="000000"/>
                <w:sz w:val="15"/>
              </w:rPr>
              <w:t>Manufacturas</w:t>
            </w:r>
          </w:p>
        </w:tc>
        <w:tc>
          <w:tcPr>
            <w:tcW w:w="1500" w:type="dxa"/>
            <w:shd w:val="clear" w:color="auto" w:fill="F2F2F2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000000"/>
                <w:sz w:val="15"/>
              </w:rPr>
              <w:t>0.0 %</w:t>
            </w:r>
          </w:p>
        </w:tc>
        <w:tc>
          <w:tcPr>
            <w:tcW w:w="1500" w:type="dxa"/>
            <w:shd w:val="clear" w:color="auto" w:fill="F2F2F2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C00000"/>
                <w:sz w:val="15"/>
              </w:rPr>
              <w:t>▼ 1.5 %</w:t>
            </w:r>
          </w:p>
        </w:tc>
        <w:tc>
          <w:tcPr>
            <w:tcW w:w="3500" w:type="dxa"/>
            <w:shd w:val="clear" w:color="auto" w:fill="F2F2F2"/>
          </w:tcPr>
          <w:p w:rsidR="00003EA0" w:rsidRDefault="00FF0630">
            <w:r>
              <w:rPr>
                <w:rFonts w:ascii="Arial" w:hAnsi="Arial" w:cs="Arial"/>
                <w:color w:val="000000"/>
                <w:sz w:val="15"/>
              </w:rPr>
              <w:t>Debilidad persistente</w:t>
            </w:r>
          </w:p>
        </w:tc>
      </w:tr>
      <w:tr w:rsidR="00003EA0">
        <w:trPr>
          <w:jc w:val="center"/>
        </w:trPr>
        <w:tc>
          <w:tcPr>
            <w:tcW w:w="2338" w:type="dxa"/>
          </w:tcPr>
          <w:p w:rsidR="00003EA0" w:rsidRDefault="00FF0630">
            <w:r>
              <w:rPr>
                <w:rFonts w:ascii="Arial" w:hAnsi="Arial" w:cs="Arial"/>
                <w:color w:val="000000"/>
                <w:sz w:val="15"/>
              </w:rPr>
              <w:t>Alojamiento y alimentos</w:t>
            </w:r>
          </w:p>
        </w:tc>
        <w:tc>
          <w:tcPr>
            <w:tcW w:w="1500" w:type="dxa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C00000"/>
                <w:sz w:val="15"/>
              </w:rPr>
              <w:t>▼ 2.5 %</w:t>
            </w:r>
          </w:p>
        </w:tc>
        <w:tc>
          <w:tcPr>
            <w:tcW w:w="1500" w:type="dxa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C00000"/>
                <w:sz w:val="15"/>
              </w:rPr>
              <w:t>▼ 2.8 %</w:t>
            </w:r>
          </w:p>
        </w:tc>
        <w:tc>
          <w:tcPr>
            <w:tcW w:w="3500" w:type="dxa"/>
          </w:tcPr>
          <w:p w:rsidR="00003EA0" w:rsidRDefault="00591B3A">
            <w:r>
              <w:rPr>
                <w:rFonts w:ascii="Arial" w:hAnsi="Arial" w:cs="Arial"/>
                <w:color w:val="000000"/>
                <w:sz w:val="15"/>
              </w:rPr>
              <w:t>Debilidad en turismo y restaurantes</w:t>
            </w:r>
          </w:p>
        </w:tc>
      </w:tr>
      <w:tr w:rsidR="00003EA0">
        <w:trPr>
          <w:jc w:val="center"/>
        </w:trPr>
        <w:tc>
          <w:tcPr>
            <w:tcW w:w="2338" w:type="dxa"/>
            <w:shd w:val="clear" w:color="auto" w:fill="F2F2F2"/>
          </w:tcPr>
          <w:p w:rsidR="00003EA0" w:rsidRDefault="00FF0630">
            <w:r>
              <w:rPr>
                <w:rFonts w:ascii="Arial" w:hAnsi="Arial" w:cs="Arial"/>
                <w:color w:val="000000"/>
                <w:sz w:val="15"/>
              </w:rPr>
              <w:t>Servicios profesionales</w:t>
            </w:r>
          </w:p>
        </w:tc>
        <w:tc>
          <w:tcPr>
            <w:tcW w:w="1500" w:type="dxa"/>
            <w:shd w:val="clear" w:color="auto" w:fill="F2F2F2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000000"/>
                <w:sz w:val="15"/>
              </w:rPr>
              <w:t>▲ 3.1 %</w:t>
            </w:r>
          </w:p>
        </w:tc>
        <w:tc>
          <w:tcPr>
            <w:tcW w:w="1500" w:type="dxa"/>
            <w:shd w:val="clear" w:color="auto" w:fill="F2F2F2"/>
          </w:tcPr>
          <w:p w:rsidR="00003EA0" w:rsidRDefault="00FF0630">
            <w:pPr>
              <w:jc w:val="center"/>
            </w:pPr>
            <w:r>
              <w:rPr>
                <w:rFonts w:ascii="Arial" w:hAnsi="Arial" w:cs="Arial"/>
                <w:color w:val="C00000"/>
                <w:sz w:val="15"/>
              </w:rPr>
              <w:t>▼ 2.0 %</w:t>
            </w:r>
          </w:p>
        </w:tc>
        <w:tc>
          <w:tcPr>
            <w:tcW w:w="3500" w:type="dxa"/>
            <w:shd w:val="clear" w:color="auto" w:fill="F2F2F2"/>
          </w:tcPr>
          <w:p w:rsidR="00003EA0" w:rsidRDefault="00FF0630">
            <w:r>
              <w:rPr>
                <w:rFonts w:ascii="Arial" w:hAnsi="Arial" w:cs="Arial"/>
                <w:color w:val="000000"/>
                <w:sz w:val="15"/>
              </w:rPr>
              <w:t>Mejora mensual, acumulado débil</w:t>
            </w:r>
          </w:p>
        </w:tc>
      </w:tr>
    </w:tbl>
    <w:p w:rsidR="00003EA0" w:rsidRDefault="00FF0630">
      <w:pPr>
        <w:spacing w:before="45"/>
        <w:rPr>
          <w:rFonts w:ascii="Arial" w:hAnsi="Arial" w:cs="Arial"/>
          <w:color w:val="4C545B"/>
          <w:sz w:val="15"/>
        </w:rPr>
      </w:pPr>
      <w:r>
        <w:rPr>
          <w:rFonts w:ascii="Arial" w:hAnsi="Arial" w:cs="Arial"/>
          <w:color w:val="4C545B"/>
          <w:sz w:val="15"/>
        </w:rPr>
        <w:t>Nota:</w:t>
      </w:r>
      <w:r>
        <w:rPr>
          <w:rFonts w:ascii="Arial" w:hAnsi="Arial" w:cs="Arial"/>
          <w:color w:val="4C545B"/>
          <w:sz w:val="15"/>
        </w:rPr>
        <w:t xml:space="preserve"> variación anual y acumulado enero-abril con cifras originales (no desestacionalizadas).</w:t>
      </w:r>
    </w:p>
    <w:p w:rsidR="00591B3A" w:rsidRDefault="00591B3A">
      <w:pPr>
        <w:spacing w:before="45"/>
      </w:pPr>
    </w:p>
    <w:p w:rsidR="00003EA0" w:rsidRDefault="00FF0630">
      <w:pPr>
        <w:shd w:val="clear" w:color="auto" w:fill="005E4C"/>
        <w:spacing w:before="55" w:after="35"/>
        <w:jc w:val="both"/>
      </w:pPr>
      <w:r>
        <w:rPr>
          <w:rFonts w:ascii="Arial" w:hAnsi="Arial" w:cs="Arial"/>
          <w:b/>
          <w:bCs/>
          <w:color w:val="FFFFFF"/>
          <w:sz w:val="18"/>
        </w:rPr>
        <w:t>Implicaciones</w:t>
      </w:r>
    </w:p>
    <w:p w:rsidR="00591B3A" w:rsidRDefault="00591B3A" w:rsidP="00591B3A">
      <w:pPr>
        <w:jc w:val="both"/>
        <w:rPr>
          <w:rFonts w:ascii="Arial" w:hAnsi="Arial" w:cs="Arial"/>
          <w:color w:val="000000"/>
          <w:sz w:val="22"/>
        </w:rPr>
      </w:pPr>
      <w:r w:rsidRPr="00591B3A">
        <w:rPr>
          <w:rFonts w:ascii="Arial" w:hAnsi="Arial" w:cs="Arial"/>
          <w:color w:val="000000"/>
          <w:sz w:val="22"/>
        </w:rPr>
        <w:t xml:space="preserve">El dato de abril mejora la lectura de corto plazo, pero aún no confirma una recuperación consolidada. El avance mensual del IGAE contrasta con un acumulado enero-abril de apenas 0.7%, lo que sugiere que la economía sigue creciendo a un ritmo moderado. La lectura relevante está en la composición: construcción y servicios explican buena parte del repunte, mientras que manufacturas permanecen débiles en el acumulado del año. </w:t>
      </w:r>
      <w:r>
        <w:rPr>
          <w:rFonts w:ascii="Arial" w:hAnsi="Arial" w:cs="Arial"/>
          <w:color w:val="000000"/>
          <w:sz w:val="22"/>
        </w:rPr>
        <w:t>E</w:t>
      </w:r>
      <w:r w:rsidRPr="00591B3A">
        <w:rPr>
          <w:rFonts w:ascii="Arial" w:hAnsi="Arial" w:cs="Arial"/>
          <w:color w:val="000000"/>
          <w:sz w:val="22"/>
        </w:rPr>
        <w:t>l punto clave será verificar si el dato de mayo confirma continuidad en las actividades secundarias o si abril fue un rebote puntual. Hasta entonces, conviene comunicar el resultado como una mejora de corto plazo, no todavía como una recuperación industrial amplia.</w:t>
      </w:r>
    </w:p>
    <w:p w:rsidR="00591B3A" w:rsidRDefault="00591B3A">
      <w:pPr>
        <w:rPr>
          <w:rFonts w:ascii="Arial" w:hAnsi="Arial" w:cs="Arial"/>
          <w:color w:val="4C545B"/>
          <w:sz w:val="15"/>
        </w:rPr>
      </w:pPr>
    </w:p>
    <w:p w:rsidR="00003EA0" w:rsidRDefault="00FF0630">
      <w:pPr>
        <w:rPr>
          <w:rFonts w:ascii="Arial" w:hAnsi="Arial" w:cs="Arial"/>
          <w:color w:val="4C545B"/>
          <w:sz w:val="15"/>
        </w:rPr>
      </w:pPr>
      <w:r>
        <w:rPr>
          <w:rFonts w:ascii="Arial" w:hAnsi="Arial" w:cs="Arial"/>
          <w:color w:val="4C545B"/>
          <w:sz w:val="15"/>
        </w:rPr>
        <w:t>Fuente: INEGI, Sistema de Cuentas Nacionales de México (SCNM), Indicador Global de la Actividad Económica (IGAE), Boletín de Indicador 400/26, 23 de junio de 2026. Cifras de abril de 2026. Próxima publicación: 23 de julio de 2026.</w:t>
      </w:r>
    </w:p>
    <w:sectPr w:rsidR="00003EA0">
      <w:headerReference w:type="default" r:id="rId10"/>
      <w:footerReference w:type="even" r:id="rId11"/>
      <w:footerReference w:type="default" r:id="rId12"/>
      <w:pgSz w:w="12240" w:h="15840"/>
      <w:pgMar w:top="900" w:right="1701" w:bottom="1417" w:left="1701" w:header="18" w:footer="23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0630" w:rsidRDefault="00FF0630" w:rsidP="00E32E74">
      <w:r>
        <w:separator/>
      </w:r>
    </w:p>
  </w:endnote>
  <w:endnote w:type="continuationSeparator" w:id="0">
    <w:p w:rsidR="00FF0630" w:rsidRDefault="00FF0630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altName w:val="Calibri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column">
            <wp:posOffset>-1096177</wp:posOffset>
          </wp:positionH>
          <wp:positionV relativeFrom="paragraph">
            <wp:posOffset>-465455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 w:rsidR="00CE633D"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0630" w:rsidRDefault="00FF0630" w:rsidP="00E32E74">
      <w:r>
        <w:separator/>
      </w:r>
    </w:p>
  </w:footnote>
  <w:footnote w:type="continuationSeparator" w:id="0">
    <w:p w:rsidR="00FF0630" w:rsidRDefault="00FF0630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-12701</wp:posOffset>
          </wp:positionH>
          <wp:positionV relativeFrom="paragraph">
            <wp:posOffset>26670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89281" cy="126303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Default="00DB54A2" w:rsidP="00E32E74"/>
  <w:p w:rsidR="00DB54A2" w:rsidRDefault="00DB54A2" w:rsidP="00E32E74"/>
  <w:p w:rsidR="00DB54A2" w:rsidRDefault="00DB54A2" w:rsidP="00E32E74"/>
  <w:p w:rsidR="00EA49C5" w:rsidRDefault="00EA49C5" w:rsidP="00E32E74"/>
  <w:p w:rsidR="00EA49C5" w:rsidRDefault="00EA49C5" w:rsidP="00E32E74"/>
  <w:p w:rsidR="00EA51AD" w:rsidRPr="00FE6B8B" w:rsidRDefault="00FE6B8B" w:rsidP="00FE6B8B">
    <w:pPr>
      <w:ind w:left="-426"/>
      <w:rPr>
        <w:rFonts w:ascii="Calibri" w:hAnsi="Calibri" w:cs="Calibri"/>
        <w:b/>
        <w:bCs/>
        <w:sz w:val="22"/>
        <w:szCs w:val="22"/>
      </w:rPr>
    </w:pPr>
    <w:r>
      <w:rPr>
        <w:rFonts w:ascii="Calibri" w:hAnsi="Calibri" w:cs="Calibri"/>
        <w:b/>
        <w:bCs/>
        <w:sz w:val="22"/>
        <w:szCs w:val="22"/>
      </w:rPr>
      <w:t>Subsecretaría de Industria y Comercio</w:t>
    </w:r>
    <w:r w:rsidR="00EA51AD">
      <w:rPr>
        <w:rFonts w:ascii="Noto Sans" w:hAnsi="Noto Sans" w:cs="Noto Sans"/>
        <w:b/>
        <w:bCs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1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1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19"/>
  </w:num>
  <w:num w:numId="4">
    <w:abstractNumId w:val="32"/>
  </w:num>
  <w:num w:numId="5">
    <w:abstractNumId w:val="26"/>
  </w:num>
  <w:num w:numId="6">
    <w:abstractNumId w:val="10"/>
  </w:num>
  <w:num w:numId="7">
    <w:abstractNumId w:val="28"/>
  </w:num>
  <w:num w:numId="8">
    <w:abstractNumId w:val="8"/>
  </w:num>
  <w:num w:numId="9">
    <w:abstractNumId w:val="5"/>
  </w:num>
  <w:num w:numId="10">
    <w:abstractNumId w:val="15"/>
  </w:num>
  <w:num w:numId="11">
    <w:abstractNumId w:val="18"/>
  </w:num>
  <w:num w:numId="12">
    <w:abstractNumId w:val="17"/>
  </w:num>
  <w:num w:numId="13">
    <w:abstractNumId w:val="7"/>
  </w:num>
  <w:num w:numId="14">
    <w:abstractNumId w:val="13"/>
  </w:num>
  <w:num w:numId="15">
    <w:abstractNumId w:val="29"/>
  </w:num>
  <w:num w:numId="16">
    <w:abstractNumId w:val="0"/>
  </w:num>
  <w:num w:numId="17">
    <w:abstractNumId w:val="23"/>
  </w:num>
  <w:num w:numId="18">
    <w:abstractNumId w:val="14"/>
  </w:num>
  <w:num w:numId="19">
    <w:abstractNumId w:val="22"/>
  </w:num>
  <w:num w:numId="20">
    <w:abstractNumId w:val="25"/>
  </w:num>
  <w:num w:numId="21">
    <w:abstractNumId w:val="11"/>
  </w:num>
  <w:num w:numId="22">
    <w:abstractNumId w:val="1"/>
  </w:num>
  <w:num w:numId="23">
    <w:abstractNumId w:val="21"/>
  </w:num>
  <w:num w:numId="24">
    <w:abstractNumId w:val="24"/>
  </w:num>
  <w:num w:numId="25">
    <w:abstractNumId w:val="3"/>
  </w:num>
  <w:num w:numId="26">
    <w:abstractNumId w:val="4"/>
  </w:num>
  <w:num w:numId="27">
    <w:abstractNumId w:val="27"/>
  </w:num>
  <w:num w:numId="28">
    <w:abstractNumId w:val="9"/>
  </w:num>
  <w:num w:numId="29">
    <w:abstractNumId w:val="31"/>
  </w:num>
  <w:num w:numId="30">
    <w:abstractNumId w:val="30"/>
  </w:num>
  <w:num w:numId="31">
    <w:abstractNumId w:val="2"/>
  </w:num>
  <w:num w:numId="32">
    <w:abstractNumId w:val="20"/>
  </w:num>
  <w:num w:numId="33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3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FB9"/>
    <w:rsid w:val="000571C6"/>
    <w:rsid w:val="000A3591"/>
    <w:rsid w:val="000A46AA"/>
    <w:rsid w:val="000A71DD"/>
    <w:rsid w:val="000D126D"/>
    <w:rsid w:val="000D5B48"/>
    <w:rsid w:val="000E1551"/>
    <w:rsid w:val="000E263D"/>
    <w:rsid w:val="001106F9"/>
    <w:rsid w:val="00113971"/>
    <w:rsid w:val="00113ADD"/>
    <w:rsid w:val="00136317"/>
    <w:rsid w:val="0013733B"/>
    <w:rsid w:val="00153B11"/>
    <w:rsid w:val="00155DFB"/>
    <w:rsid w:val="0018050E"/>
    <w:rsid w:val="00193DC0"/>
    <w:rsid w:val="00197050"/>
    <w:rsid w:val="00197ADD"/>
    <w:rsid w:val="001A6402"/>
    <w:rsid w:val="001B2972"/>
    <w:rsid w:val="001B64D3"/>
    <w:rsid w:val="001C2D90"/>
    <w:rsid w:val="001C5436"/>
    <w:rsid w:val="001D27D6"/>
    <w:rsid w:val="001D4DE9"/>
    <w:rsid w:val="001E072F"/>
    <w:rsid w:val="001F561B"/>
    <w:rsid w:val="00204B82"/>
    <w:rsid w:val="00220619"/>
    <w:rsid w:val="002360E8"/>
    <w:rsid w:val="00254C67"/>
    <w:rsid w:val="00290C17"/>
    <w:rsid w:val="00294C95"/>
    <w:rsid w:val="002C459E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919F7"/>
    <w:rsid w:val="003B7AF4"/>
    <w:rsid w:val="003E7119"/>
    <w:rsid w:val="004135C9"/>
    <w:rsid w:val="00424E7E"/>
    <w:rsid w:val="0042728A"/>
    <w:rsid w:val="00431758"/>
    <w:rsid w:val="004362C5"/>
    <w:rsid w:val="00437209"/>
    <w:rsid w:val="004676E4"/>
    <w:rsid w:val="00470257"/>
    <w:rsid w:val="0047264F"/>
    <w:rsid w:val="004869A7"/>
    <w:rsid w:val="00486FFD"/>
    <w:rsid w:val="00491EE7"/>
    <w:rsid w:val="0049299F"/>
    <w:rsid w:val="00495548"/>
    <w:rsid w:val="004A74A4"/>
    <w:rsid w:val="004A78F6"/>
    <w:rsid w:val="004B221D"/>
    <w:rsid w:val="004C2B18"/>
    <w:rsid w:val="004D104B"/>
    <w:rsid w:val="004D2236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7300"/>
    <w:rsid w:val="00591B3A"/>
    <w:rsid w:val="00593514"/>
    <w:rsid w:val="005A57CC"/>
    <w:rsid w:val="005D105A"/>
    <w:rsid w:val="00625F36"/>
    <w:rsid w:val="00661ED1"/>
    <w:rsid w:val="006626AF"/>
    <w:rsid w:val="00662863"/>
    <w:rsid w:val="00667278"/>
    <w:rsid w:val="00671DD9"/>
    <w:rsid w:val="00697E37"/>
    <w:rsid w:val="006A1F60"/>
    <w:rsid w:val="006F4646"/>
    <w:rsid w:val="00705DC8"/>
    <w:rsid w:val="007471F1"/>
    <w:rsid w:val="007759A6"/>
    <w:rsid w:val="007816C7"/>
    <w:rsid w:val="0078392B"/>
    <w:rsid w:val="0079704D"/>
    <w:rsid w:val="007B7560"/>
    <w:rsid w:val="007D06F1"/>
    <w:rsid w:val="007D3385"/>
    <w:rsid w:val="007F60B5"/>
    <w:rsid w:val="00810EC6"/>
    <w:rsid w:val="0082026B"/>
    <w:rsid w:val="00830352"/>
    <w:rsid w:val="00832176"/>
    <w:rsid w:val="0083711C"/>
    <w:rsid w:val="008544E1"/>
    <w:rsid w:val="0086418A"/>
    <w:rsid w:val="00864D64"/>
    <w:rsid w:val="00887FBD"/>
    <w:rsid w:val="00897B8A"/>
    <w:rsid w:val="008B36BF"/>
    <w:rsid w:val="008B5764"/>
    <w:rsid w:val="008D09CA"/>
    <w:rsid w:val="008F0109"/>
    <w:rsid w:val="008F2DC2"/>
    <w:rsid w:val="008F54BD"/>
    <w:rsid w:val="00927F12"/>
    <w:rsid w:val="00930605"/>
    <w:rsid w:val="009667A4"/>
    <w:rsid w:val="00981CAC"/>
    <w:rsid w:val="00994331"/>
    <w:rsid w:val="00995175"/>
    <w:rsid w:val="00997820"/>
    <w:rsid w:val="009B2B04"/>
    <w:rsid w:val="009D1660"/>
    <w:rsid w:val="009D513B"/>
    <w:rsid w:val="009D662C"/>
    <w:rsid w:val="009E6351"/>
    <w:rsid w:val="00A25E9B"/>
    <w:rsid w:val="00A27EAB"/>
    <w:rsid w:val="00A34818"/>
    <w:rsid w:val="00A503BD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273F4"/>
    <w:rsid w:val="00B62B90"/>
    <w:rsid w:val="00B64AE2"/>
    <w:rsid w:val="00B72087"/>
    <w:rsid w:val="00B93C35"/>
    <w:rsid w:val="00B94BFE"/>
    <w:rsid w:val="00BA7AF6"/>
    <w:rsid w:val="00BB1DC9"/>
    <w:rsid w:val="00BB4307"/>
    <w:rsid w:val="00BC0F57"/>
    <w:rsid w:val="00BD38B1"/>
    <w:rsid w:val="00BE2C85"/>
    <w:rsid w:val="00BF5F01"/>
    <w:rsid w:val="00C0087D"/>
    <w:rsid w:val="00C122A4"/>
    <w:rsid w:val="00C176D8"/>
    <w:rsid w:val="00C2663E"/>
    <w:rsid w:val="00C33446"/>
    <w:rsid w:val="00C43081"/>
    <w:rsid w:val="00C619F7"/>
    <w:rsid w:val="00C62995"/>
    <w:rsid w:val="00C639EA"/>
    <w:rsid w:val="00C65A1B"/>
    <w:rsid w:val="00C66897"/>
    <w:rsid w:val="00C821D5"/>
    <w:rsid w:val="00C9207B"/>
    <w:rsid w:val="00CA567C"/>
    <w:rsid w:val="00CB38B3"/>
    <w:rsid w:val="00CB70C5"/>
    <w:rsid w:val="00CD4A23"/>
    <w:rsid w:val="00CD7369"/>
    <w:rsid w:val="00CE633D"/>
    <w:rsid w:val="00D10BEE"/>
    <w:rsid w:val="00D2057E"/>
    <w:rsid w:val="00D2376F"/>
    <w:rsid w:val="00D23B89"/>
    <w:rsid w:val="00D263C6"/>
    <w:rsid w:val="00D60BF7"/>
    <w:rsid w:val="00D70252"/>
    <w:rsid w:val="00D70D18"/>
    <w:rsid w:val="00D83A01"/>
    <w:rsid w:val="00D90AAA"/>
    <w:rsid w:val="00D92277"/>
    <w:rsid w:val="00D974FD"/>
    <w:rsid w:val="00DA0C65"/>
    <w:rsid w:val="00DB54A2"/>
    <w:rsid w:val="00DD2599"/>
    <w:rsid w:val="00DD4B7F"/>
    <w:rsid w:val="00DD6CF3"/>
    <w:rsid w:val="00DE76A7"/>
    <w:rsid w:val="00E0538C"/>
    <w:rsid w:val="00E1407E"/>
    <w:rsid w:val="00E32E74"/>
    <w:rsid w:val="00E56F00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D0B2E"/>
    <w:rsid w:val="00F0340D"/>
    <w:rsid w:val="00F05F40"/>
    <w:rsid w:val="00F06026"/>
    <w:rsid w:val="00F231FC"/>
    <w:rsid w:val="00F367B6"/>
    <w:rsid w:val="00F37BF3"/>
    <w:rsid w:val="00F43BA1"/>
    <w:rsid w:val="00F45090"/>
    <w:rsid w:val="00F53CD8"/>
    <w:rsid w:val="00F715E8"/>
    <w:rsid w:val="00F73ED8"/>
    <w:rsid w:val="00F83769"/>
    <w:rsid w:val="00F95ABF"/>
    <w:rsid w:val="00FA6B54"/>
    <w:rsid w:val="00FB178F"/>
    <w:rsid w:val="00FD0DC2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F12803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4CD4"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/>
      <w:b/>
      <w:color w:val="670E35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/>
      <w:b/>
      <w:color w:val="666666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b/>
      <w:color w:val="FFFFFF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b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b w:val="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Univers (W1)" w:hAnsi="Univers (W1)" w:cs="Arial"/>
      <w:color w:val="800080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Calibri" w:hAnsi="Calibri" w:cs="Calibri"/>
      <w:color w:val="000000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Calibri" w:hAnsi="Calibri" w:cs="Calibri"/>
      <w:color w:val="000000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  <w:rPr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7986EFC-C9A0-0B41-BFD6-18854B9FC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728</Words>
  <Characters>4006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maria eugenia garcia macias</cp:lastModifiedBy>
  <cp:revision>12</cp:revision>
  <cp:lastPrinted>2026-06-17T17:31:00Z</cp:lastPrinted>
  <dcterms:created xsi:type="dcterms:W3CDTF">2026-06-17T17:31:00Z</dcterms:created>
  <dcterms:modified xsi:type="dcterms:W3CDTF">2026-07-15T17:43:00Z</dcterms:modified>
</cp:coreProperties>
</file>