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235B4C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246E09" w:rsidRPr="002F4206"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bookmarkStart w:id="0" w:name="_GoBack"/>
            <w:r w:rsidRPr="002F4206">
              <w:rPr>
                <w:rFonts w:ascii="Noto Sans Oriya" w:hAnsi="Noto Sans Oriya" w:cs="Noto Sans Oriya"/>
                <w:color w:val="FFFFFF" w:themeColor="background1"/>
                <w:sz w:val="20"/>
                <w:szCs w:val="20"/>
              </w:rPr>
              <w:t>Indicador Mensual de la Formaci</w:t>
            </w:r>
            <w:r w:rsidRPr="002F4206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FFFFFF" w:themeColor="background1"/>
                <w:sz w:val="20"/>
                <w:szCs w:val="20"/>
              </w:rPr>
              <w:t>n Bruta de Capital Fijo (IMFBCF)</w:t>
            </w:r>
          </w:p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FFFFFF" w:themeColor="background1"/>
                <w:sz w:val="40"/>
                <w:szCs w:val="40"/>
              </w:rPr>
              <w:t xml:space="preserve">IMFBCF </w:t>
            </w:r>
            <w:r w:rsidRPr="002F4206">
              <w:rPr>
                <w:rFonts w:ascii="Calibri" w:hAnsi="Calibri" w:cs="Calibri"/>
                <w:b/>
                <w:bCs/>
                <w:color w:val="FFFFFF" w:themeColor="background1"/>
                <w:sz w:val="40"/>
                <w:szCs w:val="40"/>
              </w:rPr>
              <w:t>·</w:t>
            </w:r>
            <w:r w:rsidRPr="002F4206">
              <w:rPr>
                <w:rFonts w:ascii="Noto Sans Oriya" w:hAnsi="Noto Sans Oriya" w:cs="Noto Sans Oriya"/>
                <w:b/>
                <w:bCs/>
                <w:color w:val="FFFFFF" w:themeColor="background1"/>
                <w:sz w:val="40"/>
                <w:szCs w:val="40"/>
              </w:rPr>
              <w:t xml:space="preserve"> Abril 2026</w:t>
            </w:r>
          </w:p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FFFFFF" w:themeColor="background1"/>
                <w:sz w:val="20"/>
                <w:szCs w:val="20"/>
              </w:rPr>
              <w:t>Bolet</w:t>
            </w:r>
            <w:r w:rsidRPr="002F4206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í</w:t>
            </w:r>
            <w:r w:rsidRPr="002F4206">
              <w:rPr>
                <w:rFonts w:ascii="Noto Sans Oriya" w:hAnsi="Noto Sans Oriya" w:cs="Noto Sans Oriya"/>
                <w:color w:val="FFFFFF" w:themeColor="background1"/>
                <w:sz w:val="20"/>
                <w:szCs w:val="20"/>
              </w:rPr>
              <w:t>n de Indicador 413/26 del 6 de julio de 2026 | INEGI</w:t>
            </w:r>
          </w:p>
        </w:tc>
      </w:tr>
      <w:tr w:rsidR="00246E09" w:rsidRPr="002F4206"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F4F4F2"/>
          </w:tcPr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235B4C"/>
                <w:spacing w:val="10"/>
                <w:sz w:val="17"/>
                <w:szCs w:val="17"/>
              </w:rPr>
              <w:t>VARIACI</w:t>
            </w:r>
            <w:r w:rsidRPr="002F4206">
              <w:rPr>
                <w:rFonts w:ascii="Calibri" w:hAnsi="Calibri" w:cs="Calibri"/>
                <w:b/>
                <w:bCs/>
                <w:color w:val="235B4C"/>
                <w:spacing w:val="10"/>
                <w:sz w:val="17"/>
                <w:szCs w:val="17"/>
              </w:rPr>
              <w:t>Ó</w:t>
            </w:r>
            <w:r w:rsidRPr="002F4206">
              <w:rPr>
                <w:rFonts w:ascii="Noto Sans Oriya" w:hAnsi="Noto Sans Oriya" w:cs="Noto Sans Oriya"/>
                <w:b/>
                <w:bCs/>
                <w:color w:val="235B4C"/>
                <w:spacing w:val="10"/>
                <w:sz w:val="17"/>
                <w:szCs w:val="17"/>
              </w:rPr>
              <w:t>N MENSUAL</w:t>
            </w:r>
          </w:p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b/>
                <w:bCs/>
                <w:color w:val="006341"/>
                <w:sz w:val="72"/>
                <w:szCs w:val="72"/>
              </w:rPr>
              <w:t>▲</w:t>
            </w:r>
            <w:r w:rsidRPr="002F4206">
              <w:rPr>
                <w:rFonts w:ascii="Noto Sans Oriya" w:hAnsi="Noto Sans Oriya" w:cs="Noto Sans Oriya"/>
                <w:b/>
                <w:bCs/>
                <w:color w:val="006341"/>
                <w:sz w:val="72"/>
                <w:szCs w:val="72"/>
              </w:rPr>
              <w:t xml:space="preserve"> 4.0%</w:t>
            </w:r>
          </w:p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Calibri" w:hAnsi="Calibri" w:cs="Calibri"/>
                <w:color w:val="4C545B"/>
                <w:sz w:val="16"/>
                <w:szCs w:val="16"/>
              </w:rPr>
              <w:t>Í</w:t>
            </w:r>
            <w:r w:rsidRPr="002F4206">
              <w:rPr>
                <w:rFonts w:ascii="Noto Sans Oriya" w:hAnsi="Noto Sans Oriya" w:cs="Noto Sans Oriya"/>
                <w:color w:val="4C545B"/>
                <w:sz w:val="16"/>
                <w:szCs w:val="16"/>
              </w:rPr>
              <w:t>ndice de inversi</w:t>
            </w:r>
            <w:r w:rsidRPr="002F4206">
              <w:rPr>
                <w:rFonts w:ascii="Calibri" w:hAnsi="Calibri" w:cs="Calibri"/>
                <w:color w:val="4C545B"/>
                <w:sz w:val="16"/>
                <w:szCs w:val="16"/>
              </w:rPr>
              <w:t>ó</w:t>
            </w:r>
            <w:r w:rsidRPr="002F4206">
              <w:rPr>
                <w:rFonts w:ascii="Noto Sans Oriya" w:hAnsi="Noto Sans Oriya" w:cs="Noto Sans Oriya"/>
                <w:color w:val="4C545B"/>
                <w:sz w:val="16"/>
                <w:szCs w:val="16"/>
              </w:rPr>
              <w:t xml:space="preserve">n fija bruta </w:t>
            </w:r>
            <w:r w:rsidRPr="002F4206">
              <w:rPr>
                <w:rFonts w:ascii="Calibri" w:hAnsi="Calibri" w:cs="Calibri"/>
                <w:color w:val="4C545B"/>
                <w:sz w:val="16"/>
                <w:szCs w:val="16"/>
              </w:rPr>
              <w:t>·</w:t>
            </w:r>
            <w:r w:rsidRPr="002F4206">
              <w:rPr>
                <w:rFonts w:ascii="Noto Sans Oriya" w:hAnsi="Noto Sans Oriya" w:cs="Noto Sans Oriya"/>
                <w:color w:val="4C545B"/>
                <w:sz w:val="16"/>
                <w:szCs w:val="16"/>
              </w:rPr>
              <w:t xml:space="preserve"> cifras desest. </w:t>
            </w:r>
            <w:r w:rsidRPr="002F4206">
              <w:rPr>
                <w:rFonts w:ascii="Calibri" w:hAnsi="Calibri" w:cs="Calibri"/>
                <w:color w:val="4C545B"/>
                <w:sz w:val="16"/>
                <w:szCs w:val="16"/>
              </w:rPr>
              <w:t>·</w:t>
            </w:r>
            <w:r w:rsidRPr="002F4206">
              <w:rPr>
                <w:rFonts w:ascii="Noto Sans Oriya" w:hAnsi="Noto Sans Oriya" w:cs="Noto Sans Oriya"/>
                <w:color w:val="4C545B"/>
                <w:sz w:val="16"/>
                <w:szCs w:val="16"/>
              </w:rPr>
              <w:t xml:space="preserve"> abril 2026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F4F4F2"/>
          </w:tcPr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235B4C"/>
                <w:spacing w:val="10"/>
                <w:sz w:val="17"/>
                <w:szCs w:val="17"/>
              </w:rPr>
              <w:t>VARIACI</w:t>
            </w:r>
            <w:r w:rsidRPr="002F4206">
              <w:rPr>
                <w:rFonts w:ascii="Calibri" w:hAnsi="Calibri" w:cs="Calibri"/>
                <w:b/>
                <w:bCs/>
                <w:color w:val="235B4C"/>
                <w:spacing w:val="10"/>
                <w:sz w:val="17"/>
                <w:szCs w:val="17"/>
              </w:rPr>
              <w:t>Ó</w:t>
            </w:r>
            <w:r w:rsidRPr="002F4206">
              <w:rPr>
                <w:rFonts w:ascii="Noto Sans Oriya" w:hAnsi="Noto Sans Oriya" w:cs="Noto Sans Oriya"/>
                <w:b/>
                <w:bCs/>
                <w:color w:val="235B4C"/>
                <w:spacing w:val="10"/>
                <w:sz w:val="17"/>
                <w:szCs w:val="17"/>
              </w:rPr>
              <w:t>N ANUAL</w:t>
            </w:r>
          </w:p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b/>
                <w:bCs/>
                <w:color w:val="006341"/>
                <w:sz w:val="72"/>
                <w:szCs w:val="72"/>
              </w:rPr>
              <w:t>▲</w:t>
            </w:r>
            <w:r w:rsidRPr="002F4206">
              <w:rPr>
                <w:rFonts w:ascii="Noto Sans Oriya" w:hAnsi="Noto Sans Oriya" w:cs="Noto Sans Oriya"/>
                <w:b/>
                <w:bCs/>
                <w:color w:val="006341"/>
                <w:sz w:val="72"/>
                <w:szCs w:val="72"/>
              </w:rPr>
              <w:t xml:space="preserve"> 5.1%</w:t>
            </w:r>
          </w:p>
          <w:p w:rsidR="00246E09" w:rsidRPr="002F4206" w:rsidRDefault="00465707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4C545B"/>
                <w:sz w:val="16"/>
                <w:szCs w:val="16"/>
              </w:rPr>
              <w:t>Comparaci</w:t>
            </w:r>
            <w:r w:rsidRPr="002F4206">
              <w:rPr>
                <w:rFonts w:ascii="Calibri" w:hAnsi="Calibri" w:cs="Calibri"/>
                <w:color w:val="4C545B"/>
                <w:sz w:val="16"/>
                <w:szCs w:val="16"/>
              </w:rPr>
              <w:t>ó</w:t>
            </w:r>
            <w:r w:rsidRPr="002F4206">
              <w:rPr>
                <w:rFonts w:ascii="Noto Sans Oriya" w:hAnsi="Noto Sans Oriya" w:cs="Noto Sans Oriya"/>
                <w:color w:val="4C545B"/>
                <w:sz w:val="16"/>
                <w:szCs w:val="16"/>
              </w:rPr>
              <w:t>n abril 2026 vs abril 2025</w:t>
            </w:r>
          </w:p>
        </w:tc>
      </w:tr>
    </w:tbl>
    <w:p w:rsidR="00246E09" w:rsidRPr="002F4206" w:rsidRDefault="00246E09">
      <w:pPr>
        <w:spacing w:line="80" w:lineRule="exact"/>
        <w:rPr>
          <w:rFonts w:ascii="Noto Sans Oriya" w:hAnsi="Noto Sans Oriya" w:cs="Noto Sans Oriya"/>
          <w:sz w:val="6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943"/>
        <w:gridCol w:w="2943"/>
        <w:gridCol w:w="2943"/>
      </w:tblGrid>
      <w:tr w:rsidR="00A45443" w:rsidRPr="002F4206">
        <w:tc>
          <w:tcPr>
            <w:tcW w:w="8828" w:type="dxa"/>
            <w:gridSpan w:val="3"/>
            <w:shd w:val="clear" w:color="auto" w:fill="235B4C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FFFFFF"/>
                <w:sz w:val="17"/>
              </w:rPr>
              <w:t>ACUMULADO ENERO-ABRIL 2026 (CIFRAS ORIGINALES)</w:t>
            </w:r>
          </w:p>
        </w:tc>
      </w:tr>
      <w:tr w:rsidR="00A45443" w:rsidRPr="002F4206">
        <w:tc>
          <w:tcPr>
            <w:tcW w:w="0" w:type="auto"/>
            <w:shd w:val="clear" w:color="auto" w:fill="F4F4F2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10312B"/>
                <w:sz w:val="17"/>
              </w:rPr>
              <w:t>Total</w:t>
            </w:r>
          </w:p>
        </w:tc>
        <w:tc>
          <w:tcPr>
            <w:tcW w:w="0" w:type="auto"/>
            <w:shd w:val="clear" w:color="auto" w:fill="F4F4F2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10312B"/>
                <w:sz w:val="17"/>
              </w:rPr>
              <w:t>Privada</w:t>
            </w:r>
          </w:p>
        </w:tc>
        <w:tc>
          <w:tcPr>
            <w:tcW w:w="0" w:type="auto"/>
            <w:shd w:val="clear" w:color="auto" w:fill="F4F4F2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10312B"/>
                <w:sz w:val="17"/>
              </w:rPr>
              <w:t>P</w:t>
            </w:r>
            <w:r w:rsidRPr="002F4206">
              <w:rPr>
                <w:rFonts w:ascii="Calibri" w:hAnsi="Calibri" w:cs="Calibri"/>
                <w:b/>
                <w:bCs/>
                <w:color w:val="10312B"/>
                <w:sz w:val="17"/>
              </w:rPr>
              <w:t>ú</w:t>
            </w:r>
            <w:r w:rsidRPr="002F4206">
              <w:rPr>
                <w:rFonts w:ascii="Noto Sans Oriya" w:hAnsi="Noto Sans Oriya" w:cs="Noto Sans Oriya"/>
                <w:b/>
                <w:bCs/>
                <w:color w:val="10312B"/>
                <w:sz w:val="17"/>
              </w:rPr>
              <w:t>blica</w:t>
            </w:r>
          </w:p>
        </w:tc>
      </w:tr>
      <w:tr w:rsidR="00A45443" w:rsidRPr="002F4206">
        <w:tc>
          <w:tcPr>
            <w:tcW w:w="0" w:type="auto"/>
            <w:shd w:val="clear" w:color="auto" w:fill="F4F4F2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b/>
                <w:bCs/>
                <w:color w:val="C00000"/>
                <w:sz w:val="20"/>
              </w:rPr>
              <w:t>▼</w:t>
            </w:r>
            <w:r w:rsidRPr="002F4206">
              <w:rPr>
                <w:rFonts w:ascii="Noto Sans Oriya" w:hAnsi="Noto Sans Oriya" w:cs="Noto Sans Oriya"/>
                <w:b/>
                <w:bCs/>
                <w:color w:val="C00000"/>
                <w:sz w:val="20"/>
              </w:rPr>
              <w:t xml:space="preserve"> 1.0 %</w:t>
            </w:r>
          </w:p>
        </w:tc>
        <w:tc>
          <w:tcPr>
            <w:tcW w:w="0" w:type="auto"/>
            <w:shd w:val="clear" w:color="auto" w:fill="F4F4F2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b/>
                <w:bCs/>
                <w:color w:val="C00000"/>
                <w:sz w:val="20"/>
              </w:rPr>
              <w:t>▼</w:t>
            </w:r>
            <w:r w:rsidRPr="002F4206">
              <w:rPr>
                <w:rFonts w:ascii="Noto Sans Oriya" w:hAnsi="Noto Sans Oriya" w:cs="Noto Sans Oriya"/>
                <w:b/>
                <w:bCs/>
                <w:color w:val="C00000"/>
                <w:sz w:val="20"/>
              </w:rPr>
              <w:t xml:space="preserve"> 2.2 %</w:t>
            </w:r>
          </w:p>
        </w:tc>
        <w:tc>
          <w:tcPr>
            <w:tcW w:w="0" w:type="auto"/>
            <w:shd w:val="clear" w:color="auto" w:fill="F4F4F2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b/>
                <w:bCs/>
                <w:color w:val="1A1A1A"/>
                <w:sz w:val="20"/>
              </w:rPr>
              <w:t>▲</w:t>
            </w:r>
            <w:r w:rsidRPr="002F4206">
              <w:rPr>
                <w:rFonts w:ascii="Noto Sans Oriya" w:hAnsi="Noto Sans Oriya" w:cs="Noto Sans Oriya"/>
                <w:b/>
                <w:bCs/>
                <w:color w:val="1A1A1A"/>
                <w:sz w:val="20"/>
              </w:rPr>
              <w:t xml:space="preserve"> 7.0 %</w:t>
            </w:r>
          </w:p>
        </w:tc>
      </w:tr>
    </w:tbl>
    <w:p w:rsidR="00246E09" w:rsidRPr="002F4206" w:rsidRDefault="00246E09">
      <w:pPr>
        <w:spacing w:line="80" w:lineRule="exact"/>
        <w:rPr>
          <w:rFonts w:ascii="Noto Sans Oriya" w:hAnsi="Noto Sans Oriya" w:cs="Noto Sans Oriya"/>
          <w:sz w:val="22"/>
          <w:szCs w:val="22"/>
        </w:rPr>
      </w:pPr>
    </w:p>
    <w:p w:rsidR="00BA4BD9" w:rsidRPr="002F4206" w:rsidRDefault="00BA4BD9" w:rsidP="00D64354">
      <w:pPr>
        <w:jc w:val="both"/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</w:pPr>
    </w:p>
    <w:p w:rsidR="00D64354" w:rsidRPr="002F4206" w:rsidRDefault="00D64354" w:rsidP="00D64354">
      <w:pPr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  <w:r w:rsidRPr="002F420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En abril de 2026, la inversi</w:t>
      </w:r>
      <w:r w:rsidRPr="002F4206">
        <w:rPr>
          <w:rFonts w:ascii="Calibri" w:hAnsi="Calibri" w:cs="Calibri"/>
          <w:b/>
          <w:bCs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n fija bruta registr</w:t>
      </w:r>
      <w:r w:rsidRPr="002F4206">
        <w:rPr>
          <w:rFonts w:ascii="Calibri" w:hAnsi="Calibri" w:cs="Calibri"/>
          <w:b/>
          <w:bCs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 xml:space="preserve"> una variaci</w:t>
      </w:r>
      <w:r w:rsidRPr="002F4206">
        <w:rPr>
          <w:rFonts w:ascii="Calibri" w:hAnsi="Calibri" w:cs="Calibri"/>
          <w:b/>
          <w:bCs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n mensual de 4.0% y anual de 5.1%, con cifras desestacionalizadas.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 xml:space="preserve"> El avance se explic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 xml:space="preserve"> principalmente por construcci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residencial y maquinaria importada; en contraste, la maquinaria nacional mantiene bajo dinamismo y el acumulado enero-abril a</w:t>
      </w:r>
      <w:r w:rsidRPr="002F4206">
        <w:rPr>
          <w:rFonts w:ascii="Calibri" w:hAnsi="Calibri" w:cs="Calibri"/>
          <w:sz w:val="20"/>
          <w:szCs w:val="20"/>
          <w:lang w:eastAsia="es-ES_tradnl"/>
        </w:rPr>
        <w:t>ú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registra una variaci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 xml:space="preserve">n de </w:t>
      </w:r>
      <w:r w:rsidRPr="002F420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-1.0% anual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.</w:t>
      </w:r>
    </w:p>
    <w:p w:rsidR="00BA4BD9" w:rsidRPr="002F4206" w:rsidRDefault="00BA4BD9" w:rsidP="00D64354">
      <w:pPr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</w:p>
    <w:p w:rsidR="00BC0BB8" w:rsidRPr="002F4206" w:rsidRDefault="00BC0BB8">
      <w:pPr>
        <w:spacing w:line="80" w:lineRule="exact"/>
        <w:jc w:val="both"/>
        <w:rPr>
          <w:rFonts w:ascii="Noto Sans Oriya" w:hAnsi="Noto Sans Oriya" w:cs="Noto Sans Oriy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8828"/>
      </w:tblGrid>
      <w:tr w:rsidR="00246E09" w:rsidRPr="002F4206">
        <w:tc>
          <w:tcPr>
            <w:tcW w:w="8828" w:type="dxa"/>
            <w:shd w:val="clear" w:color="auto" w:fill="F4F4F2"/>
          </w:tcPr>
          <w:p w:rsidR="00246E09" w:rsidRPr="002F4206" w:rsidRDefault="00465707">
            <w:pPr>
              <w:shd w:val="clear" w:color="auto" w:fill="F4F4F2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bCs/>
                <w:color w:val="10312B"/>
              </w:rPr>
              <w:t>Resumen ejecutivo</w:t>
            </w:r>
          </w:p>
          <w:p w:rsidR="00D64354" w:rsidRPr="002F4206" w:rsidRDefault="00D64354" w:rsidP="00D64354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ind w:left="313"/>
              <w:jc w:val="both"/>
              <w:rPr>
                <w:rFonts w:ascii="Noto Sans Oriya" w:hAnsi="Noto Sans Oriya" w:cs="Noto Sans Oriya"/>
                <w:color w:val="000000"/>
                <w:sz w:val="20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>La formaci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>n bruta de capital fijo avanz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 xml:space="preserve"> 4.0% mensual y 5.1% anual en abril de 2026, con cifras desestacionalizadas.</w:t>
            </w:r>
          </w:p>
          <w:p w:rsidR="00D64354" w:rsidRPr="002F4206" w:rsidRDefault="00D64354" w:rsidP="00D64354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ind w:left="313"/>
              <w:jc w:val="both"/>
              <w:rPr>
                <w:rFonts w:ascii="Noto Sans Oriya" w:hAnsi="Noto Sans Oriya" w:cs="Noto Sans Oriya"/>
                <w:color w:val="000000"/>
                <w:sz w:val="20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>La construcci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>n fue el principal componente de impulso, especialmente la residencial, que creci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 xml:space="preserve"> 12.4% mensual y 16.7% anual.</w:t>
            </w:r>
          </w:p>
          <w:p w:rsidR="00246E09" w:rsidRPr="002F4206" w:rsidRDefault="00D64354" w:rsidP="00D64354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ind w:left="313"/>
              <w:jc w:val="both"/>
              <w:rPr>
                <w:rFonts w:ascii="Noto Sans Oriya" w:hAnsi="Noto Sans Oriya" w:cs="Noto Sans Oriya"/>
                <w:color w:val="000000"/>
                <w:sz w:val="20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>La maquinaria y equipo mostr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 xml:space="preserve"> una composici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>n mixta: el componente importado creci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 xml:space="preserve"> 6.2% mensual, mientras que el nacional registr</w:t>
            </w:r>
            <w:r w:rsidRPr="002F4206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20"/>
              </w:rPr>
              <w:t xml:space="preserve"> -3.7% mensual y -10.6% anual.</w:t>
            </w:r>
          </w:p>
        </w:tc>
      </w:tr>
    </w:tbl>
    <w:p w:rsidR="00BC0BB8" w:rsidRPr="002F4206" w:rsidRDefault="00BC0BB8">
      <w:pPr>
        <w:spacing w:line="80" w:lineRule="exact"/>
        <w:jc w:val="center"/>
        <w:rPr>
          <w:rFonts w:ascii="Noto Sans Oriya" w:hAnsi="Noto Sans Oriya" w:cs="Noto Sans Oriya"/>
          <w:b/>
          <w:color w:val="10312B"/>
          <w:sz w:val="22"/>
          <w:szCs w:val="22"/>
        </w:rPr>
      </w:pPr>
    </w:p>
    <w:p w:rsidR="00D64354" w:rsidRPr="002F4206" w:rsidRDefault="00D64354">
      <w:pPr>
        <w:jc w:val="center"/>
        <w:rPr>
          <w:rFonts w:ascii="Noto Sans Oriya" w:hAnsi="Noto Sans Oriya" w:cs="Noto Sans Oriya"/>
          <w:b/>
          <w:color w:val="10312B"/>
          <w:sz w:val="22"/>
        </w:rPr>
      </w:pPr>
    </w:p>
    <w:p w:rsidR="00246E09" w:rsidRPr="002F4206" w:rsidRDefault="00465707">
      <w:pPr>
        <w:jc w:val="center"/>
        <w:rPr>
          <w:rFonts w:ascii="Noto Sans Oriya" w:hAnsi="Noto Sans Oriya" w:cs="Noto Sans Oriya"/>
        </w:rPr>
      </w:pPr>
      <w:r w:rsidRPr="002F4206">
        <w:rPr>
          <w:rFonts w:ascii="Calibri" w:hAnsi="Calibri" w:cs="Calibri"/>
          <w:b/>
          <w:color w:val="10312B"/>
          <w:sz w:val="22"/>
        </w:rPr>
        <w:t>Í</w:t>
      </w:r>
      <w:r w:rsidRPr="002F4206">
        <w:rPr>
          <w:rFonts w:ascii="Noto Sans Oriya" w:hAnsi="Noto Sans Oriya" w:cs="Noto Sans Oriya"/>
          <w:b/>
          <w:color w:val="10312B"/>
          <w:sz w:val="22"/>
        </w:rPr>
        <w:t>ndice total desestacionalizado (2018=100), abril 2025–abril 2026</w:t>
      </w:r>
    </w:p>
    <w:p w:rsidR="00246E09" w:rsidRPr="002F4206" w:rsidRDefault="00465707">
      <w:pPr>
        <w:jc w:val="center"/>
        <w:rPr>
          <w:rFonts w:ascii="Noto Sans Oriya" w:hAnsi="Noto Sans Oriya" w:cs="Noto Sans Oriya"/>
        </w:rPr>
      </w:pPr>
      <w:r w:rsidRPr="002F4206">
        <w:rPr>
          <w:rFonts w:ascii="Noto Sans Oriya" w:hAnsi="Noto Sans Oriya" w:cs="Noto Sans Oriya"/>
          <w:noProof/>
        </w:rPr>
        <w:drawing>
          <wp:inline distT="0" distB="0" distL="0" distR="0">
            <wp:extent cx="4682782" cy="173338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428" cy="178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8C" w:rsidRPr="002F4206" w:rsidRDefault="006B308C" w:rsidP="006B308C">
      <w:pPr>
        <w:rPr>
          <w:rFonts w:ascii="Noto Sans Oriya" w:hAnsi="Noto Sans Oriya" w:cs="Noto Sans Oriya"/>
          <w:color w:val="4C545B"/>
          <w:sz w:val="15"/>
        </w:rPr>
      </w:pPr>
      <w:r w:rsidRPr="002F4206">
        <w:rPr>
          <w:rFonts w:ascii="Noto Sans Oriya" w:hAnsi="Noto Sans Oriya" w:cs="Noto Sans Oriya"/>
          <w:b/>
          <w:color w:val="4C545B"/>
          <w:sz w:val="15"/>
        </w:rPr>
        <w:t>Fuente:</w:t>
      </w:r>
      <w:r w:rsidRPr="002F4206">
        <w:rPr>
          <w:rFonts w:ascii="Noto Sans Oriya" w:hAnsi="Noto Sans Oriya" w:cs="Noto Sans Oriya"/>
          <w:color w:val="4C545B"/>
          <w:sz w:val="15"/>
        </w:rPr>
        <w:t xml:space="preserve"> INEGI, IMFBCF, Bolet</w:t>
      </w:r>
      <w:r w:rsidRPr="002F4206">
        <w:rPr>
          <w:rFonts w:ascii="Calibri" w:hAnsi="Calibri" w:cs="Calibri"/>
          <w:color w:val="4C545B"/>
          <w:sz w:val="15"/>
        </w:rPr>
        <w:t>í</w:t>
      </w:r>
      <w:r w:rsidRPr="002F4206">
        <w:rPr>
          <w:rFonts w:ascii="Noto Sans Oriya" w:hAnsi="Noto Sans Oriya" w:cs="Noto Sans Oriya"/>
          <w:color w:val="4C545B"/>
          <w:sz w:val="15"/>
        </w:rPr>
        <w:t>n de Indicador 413/26. Cifras desestacionalizadas.</w:t>
      </w:r>
    </w:p>
    <w:p w:rsidR="006B308C" w:rsidRPr="002F4206" w:rsidRDefault="006B308C">
      <w:pPr>
        <w:spacing w:line="80" w:lineRule="exact"/>
        <w:jc w:val="both"/>
        <w:rPr>
          <w:rFonts w:ascii="Noto Sans Oriya" w:hAnsi="Noto Sans Oriya" w:cs="Noto Sans Oriya"/>
          <w:color w:val="4C545B"/>
          <w:sz w:val="15"/>
        </w:rPr>
      </w:pPr>
    </w:p>
    <w:p w:rsidR="00BA4BD9" w:rsidRPr="002F4206" w:rsidRDefault="00BA4BD9">
      <w:pPr>
        <w:jc w:val="both"/>
        <w:rPr>
          <w:rFonts w:ascii="Noto Sans Oriya" w:hAnsi="Noto Sans Oriya" w:cs="Noto Sans Oriya"/>
          <w:color w:val="10312B"/>
          <w:sz w:val="20"/>
        </w:rPr>
      </w:pPr>
    </w:p>
    <w:p w:rsidR="00BA4BD9" w:rsidRPr="002F4206" w:rsidRDefault="00D64354">
      <w:pPr>
        <w:jc w:val="both"/>
        <w:rPr>
          <w:rFonts w:ascii="Noto Sans Oriya" w:hAnsi="Noto Sans Oriya" w:cs="Noto Sans Oriya"/>
          <w:color w:val="10312B"/>
          <w:sz w:val="20"/>
        </w:rPr>
      </w:pPr>
      <w:r w:rsidRPr="002F4206">
        <w:rPr>
          <w:rFonts w:ascii="Noto Sans Oriya" w:hAnsi="Noto Sans Oriya" w:cs="Noto Sans Oriya"/>
          <w:color w:val="10312B"/>
          <w:sz w:val="20"/>
        </w:rPr>
        <w:t>Abril mostr</w:t>
      </w:r>
      <w:r w:rsidRPr="002F4206">
        <w:rPr>
          <w:rFonts w:ascii="Calibri" w:hAnsi="Calibri" w:cs="Calibri"/>
          <w:color w:val="10312B"/>
          <w:sz w:val="20"/>
        </w:rPr>
        <w:t>ó</w:t>
      </w:r>
      <w:r w:rsidRPr="002F4206">
        <w:rPr>
          <w:rFonts w:ascii="Noto Sans Oriya" w:hAnsi="Noto Sans Oriya" w:cs="Noto Sans Oriya"/>
          <w:color w:val="10312B"/>
          <w:sz w:val="20"/>
        </w:rPr>
        <w:t xml:space="preserve"> el mayor avance mensual del periodo reciente, despu</w:t>
      </w:r>
      <w:r w:rsidRPr="002F4206">
        <w:rPr>
          <w:rFonts w:ascii="Calibri" w:hAnsi="Calibri" w:cs="Calibri"/>
          <w:color w:val="10312B"/>
          <w:sz w:val="20"/>
        </w:rPr>
        <w:t>é</w:t>
      </w:r>
      <w:r w:rsidRPr="002F4206">
        <w:rPr>
          <w:rFonts w:ascii="Noto Sans Oriya" w:hAnsi="Noto Sans Oriya" w:cs="Noto Sans Oriya"/>
          <w:color w:val="10312B"/>
          <w:sz w:val="20"/>
        </w:rPr>
        <w:t>s de varios meses con variaciones moderadas</w:t>
      </w:r>
    </w:p>
    <w:p w:rsidR="00BA4BD9" w:rsidRPr="002F4206" w:rsidRDefault="00BA4BD9">
      <w:pPr>
        <w:jc w:val="both"/>
        <w:rPr>
          <w:rFonts w:ascii="Noto Sans Oriya" w:hAnsi="Noto Sans Oriya" w:cs="Noto Sans Oriya"/>
          <w:sz w:val="10"/>
        </w:rPr>
      </w:pPr>
    </w:p>
    <w:p w:rsidR="00D64354" w:rsidRPr="002F4206" w:rsidRDefault="00D64354">
      <w:pPr>
        <w:jc w:val="both"/>
        <w:rPr>
          <w:rFonts w:ascii="Noto Sans Oriya" w:hAnsi="Noto Sans Oriya" w:cs="Noto Sans Oriya"/>
          <w:sz w:val="10"/>
        </w:rPr>
      </w:pPr>
    </w:p>
    <w:p w:rsidR="00246E09" w:rsidRPr="002F4206" w:rsidRDefault="00246E09">
      <w:pPr>
        <w:spacing w:line="80" w:lineRule="exact"/>
        <w:jc w:val="both"/>
        <w:rPr>
          <w:rFonts w:ascii="Noto Sans Oriya" w:hAnsi="Noto Sans Oriya" w:cs="Noto Sans Oriya"/>
          <w:sz w:val="8"/>
          <w:szCs w:val="10"/>
        </w:rPr>
      </w:pPr>
    </w:p>
    <w:p w:rsidR="00246E09" w:rsidRPr="002F4206" w:rsidRDefault="00465707">
      <w:pPr>
        <w:shd w:val="clear" w:color="auto" w:fill="005E4C"/>
        <w:jc w:val="both"/>
        <w:rPr>
          <w:rFonts w:ascii="Noto Sans Oriya" w:hAnsi="Noto Sans Oriya" w:cs="Noto Sans Oriya"/>
        </w:rPr>
      </w:pPr>
      <w:r w:rsidRPr="002F4206">
        <w:rPr>
          <w:rFonts w:ascii="Noto Sans Oriya" w:hAnsi="Noto Sans Oriya" w:cs="Noto Sans Oriya"/>
          <w:b/>
          <w:bCs/>
          <w:color w:val="FFFFFF" w:themeColor="background1"/>
          <w:sz w:val="22"/>
          <w:szCs w:val="22"/>
        </w:rPr>
        <w:t>An</w:t>
      </w:r>
      <w:r w:rsidRPr="002F4206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>á</w:t>
      </w:r>
      <w:r w:rsidRPr="002F4206">
        <w:rPr>
          <w:rFonts w:ascii="Noto Sans Oriya" w:hAnsi="Noto Sans Oriya" w:cs="Noto Sans Oriya"/>
          <w:b/>
          <w:bCs/>
          <w:color w:val="FFFFFF" w:themeColor="background1"/>
          <w:sz w:val="22"/>
          <w:szCs w:val="22"/>
        </w:rPr>
        <w:t>lisis</w:t>
      </w:r>
    </w:p>
    <w:p w:rsidR="00D64354" w:rsidRPr="002F4206" w:rsidRDefault="00D64354" w:rsidP="00D64354">
      <w:pPr>
        <w:pStyle w:val="Prrafodelista"/>
        <w:numPr>
          <w:ilvl w:val="0"/>
          <w:numId w:val="34"/>
        </w:numPr>
        <w:spacing w:before="100" w:beforeAutospacing="1" w:after="100" w:afterAutospacing="1"/>
        <w:ind w:left="284"/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El dato de abril mejora la lectura de corto plazo de la inversi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fija bruta, aunque el acumulado enero-abril a</w:t>
      </w:r>
      <w:r w:rsidRPr="002F4206">
        <w:rPr>
          <w:rFonts w:ascii="Calibri" w:hAnsi="Calibri" w:cs="Calibri"/>
          <w:sz w:val="20"/>
          <w:szCs w:val="20"/>
          <w:lang w:eastAsia="es-ES_tradnl"/>
        </w:rPr>
        <w:t>ú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se mantiene en terreno negativo. Esto sugiere una recuperaci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inicial, todav</w:t>
      </w:r>
      <w:r w:rsidRPr="002F4206">
        <w:rPr>
          <w:rFonts w:ascii="Calibri" w:hAnsi="Calibri" w:cs="Calibri"/>
          <w:sz w:val="20"/>
          <w:szCs w:val="20"/>
          <w:lang w:eastAsia="es-ES_tradnl"/>
        </w:rPr>
        <w:t>í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a no generalizada.</w:t>
      </w:r>
    </w:p>
    <w:p w:rsidR="00D64354" w:rsidRPr="002F4206" w:rsidRDefault="00D64354" w:rsidP="00D64354">
      <w:pPr>
        <w:pStyle w:val="Prrafodelista"/>
        <w:numPr>
          <w:ilvl w:val="0"/>
          <w:numId w:val="34"/>
        </w:numPr>
        <w:spacing w:before="100" w:beforeAutospacing="1" w:after="100" w:afterAutospacing="1"/>
        <w:ind w:left="284"/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La construcci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explic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 xml:space="preserve"> la mayor parte del avance, principalmente por el componente residencial. En contraste, la construcci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no residencial tuvo un avance marginal, por lo que el impulso a</w:t>
      </w:r>
      <w:r w:rsidRPr="002F4206">
        <w:rPr>
          <w:rFonts w:ascii="Calibri" w:hAnsi="Calibri" w:cs="Calibri"/>
          <w:sz w:val="20"/>
          <w:szCs w:val="20"/>
          <w:lang w:eastAsia="es-ES_tradnl"/>
        </w:rPr>
        <w:t>ú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no refleja una recuperaci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amplia de infraestructura productiva.</w:t>
      </w:r>
    </w:p>
    <w:p w:rsidR="00D64354" w:rsidRPr="002F4206" w:rsidRDefault="00D64354" w:rsidP="00D64354">
      <w:pPr>
        <w:pStyle w:val="Prrafodelista"/>
        <w:numPr>
          <w:ilvl w:val="0"/>
          <w:numId w:val="34"/>
        </w:numPr>
        <w:spacing w:before="100" w:beforeAutospacing="1" w:after="100" w:afterAutospacing="1"/>
        <w:ind w:left="284"/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En maquinaria y equipo, el avance se concentr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 xml:space="preserve"> en el componente importado, mientras que la maquinaria nacional continu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 xml:space="preserve"> con variaciones negativas. Esta composici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es relevante para evaluar si la inversi</w:t>
      </w:r>
      <w:r w:rsidRPr="002F4206">
        <w:rPr>
          <w:rFonts w:ascii="Calibri" w:hAnsi="Calibri" w:cs="Calibri"/>
          <w:sz w:val="20"/>
          <w:szCs w:val="20"/>
          <w:lang w:eastAsia="es-ES_tradnl"/>
        </w:rPr>
        <w:t>ó</w:t>
      </w:r>
      <w:r w:rsidRPr="002F4206">
        <w:rPr>
          <w:rFonts w:ascii="Noto Sans Oriya" w:hAnsi="Noto Sans Oriya" w:cs="Noto Sans Oriya"/>
          <w:sz w:val="20"/>
          <w:szCs w:val="20"/>
          <w:lang w:eastAsia="es-ES_tradnl"/>
        </w:rPr>
        <w:t>n se traduce en mayor demanda para la industria nacional de bienes de capital.</w:t>
      </w:r>
    </w:p>
    <w:p w:rsidR="00D64354" w:rsidRPr="002F4206" w:rsidRDefault="00D64354" w:rsidP="00D64354">
      <w:pPr>
        <w:pStyle w:val="Prrafodelista"/>
        <w:spacing w:before="100" w:beforeAutospacing="1" w:after="100" w:afterAutospacing="1"/>
        <w:ind w:left="284"/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</w:p>
    <w:p w:rsidR="00C42943" w:rsidRPr="002F4206" w:rsidRDefault="00C42943" w:rsidP="00C42943">
      <w:pPr>
        <w:pStyle w:val="Prrafodelista"/>
        <w:spacing w:line="80" w:lineRule="exact"/>
        <w:ind w:left="504"/>
        <w:jc w:val="both"/>
        <w:rPr>
          <w:rFonts w:ascii="Noto Sans Oriya" w:hAnsi="Noto Sans Oriya" w:cs="Noto Sans Oriya"/>
          <w:sz w:val="10"/>
        </w:rPr>
      </w:pPr>
    </w:p>
    <w:p w:rsidR="00246E09" w:rsidRPr="002F4206" w:rsidRDefault="00650C79">
      <w:pPr>
        <w:jc w:val="center"/>
        <w:rPr>
          <w:rFonts w:ascii="Noto Sans Oriya" w:hAnsi="Noto Sans Oriya" w:cs="Noto Sans Oriya"/>
        </w:rPr>
      </w:pPr>
      <w:r w:rsidRPr="002F4206">
        <w:rPr>
          <w:rFonts w:ascii="Noto Sans Oriya" w:hAnsi="Noto Sans Oriya" w:cs="Noto Sans Oriya"/>
          <w:b/>
          <w:color w:val="10312B"/>
          <w:sz w:val="22"/>
        </w:rPr>
        <w:t>Variaci</w:t>
      </w:r>
      <w:r w:rsidRPr="002F4206">
        <w:rPr>
          <w:rFonts w:ascii="Calibri" w:hAnsi="Calibri" w:cs="Calibri"/>
          <w:b/>
          <w:color w:val="10312B"/>
          <w:sz w:val="22"/>
        </w:rPr>
        <w:t>ó</w:t>
      </w:r>
      <w:r w:rsidRPr="002F4206">
        <w:rPr>
          <w:rFonts w:ascii="Noto Sans Oriya" w:hAnsi="Noto Sans Oriya" w:cs="Noto Sans Oriya"/>
          <w:b/>
          <w:color w:val="10312B"/>
          <w:sz w:val="22"/>
        </w:rPr>
        <w:t>n real acumulada enero-abril, por tipo de comprador</w:t>
      </w:r>
    </w:p>
    <w:p w:rsidR="00246E09" w:rsidRPr="002F4206" w:rsidRDefault="00465707">
      <w:pPr>
        <w:jc w:val="center"/>
        <w:rPr>
          <w:rFonts w:ascii="Noto Sans Oriya" w:hAnsi="Noto Sans Oriya" w:cs="Noto Sans Oriya"/>
        </w:rPr>
      </w:pPr>
      <w:r w:rsidRPr="002F4206">
        <w:rPr>
          <w:rFonts w:ascii="Noto Sans Oriya" w:hAnsi="Noto Sans Oriya" w:cs="Noto Sans Oriya"/>
          <w:noProof/>
        </w:rPr>
        <w:drawing>
          <wp:inline distT="0" distB="0" distL="0" distR="0">
            <wp:extent cx="4341412" cy="1607022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18" cy="162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8C" w:rsidRPr="002F4206" w:rsidRDefault="006B308C" w:rsidP="006B308C">
      <w:pPr>
        <w:rPr>
          <w:rFonts w:ascii="Noto Sans Oriya" w:hAnsi="Noto Sans Oriya" w:cs="Noto Sans Oriya"/>
          <w:color w:val="4C545B"/>
          <w:sz w:val="15"/>
        </w:rPr>
      </w:pPr>
      <w:r w:rsidRPr="002F4206">
        <w:rPr>
          <w:rFonts w:ascii="Noto Sans Oriya" w:hAnsi="Noto Sans Oriya" w:cs="Noto Sans Oriya"/>
          <w:b/>
          <w:color w:val="4C545B"/>
          <w:sz w:val="15"/>
        </w:rPr>
        <w:t>Fuente:</w:t>
      </w:r>
      <w:r w:rsidRPr="002F4206">
        <w:rPr>
          <w:rFonts w:ascii="Noto Sans Oriya" w:hAnsi="Noto Sans Oriya" w:cs="Noto Sans Oriya"/>
          <w:color w:val="4C545B"/>
          <w:sz w:val="15"/>
        </w:rPr>
        <w:t xml:space="preserve"> INEGI, IMFBCF, Bolet</w:t>
      </w:r>
      <w:r w:rsidRPr="002F4206">
        <w:rPr>
          <w:rFonts w:ascii="Calibri" w:hAnsi="Calibri" w:cs="Calibri"/>
          <w:color w:val="4C545B"/>
          <w:sz w:val="15"/>
        </w:rPr>
        <w:t>í</w:t>
      </w:r>
      <w:r w:rsidRPr="002F4206">
        <w:rPr>
          <w:rFonts w:ascii="Noto Sans Oriya" w:hAnsi="Noto Sans Oriya" w:cs="Noto Sans Oriya"/>
          <w:color w:val="4C545B"/>
          <w:sz w:val="15"/>
        </w:rPr>
        <w:t>n de Indicador 413/26. Cifras originales, acumulado enero-abril.</w:t>
      </w:r>
    </w:p>
    <w:p w:rsidR="00BC0BB8" w:rsidRPr="002F4206" w:rsidRDefault="00D64354" w:rsidP="00D64354">
      <w:pPr>
        <w:jc w:val="both"/>
        <w:rPr>
          <w:rFonts w:ascii="Noto Sans Oriya" w:hAnsi="Noto Sans Oriya" w:cs="Noto Sans Oriya"/>
          <w:color w:val="10312B"/>
          <w:sz w:val="20"/>
        </w:rPr>
      </w:pPr>
      <w:r w:rsidRPr="002F4206">
        <w:rPr>
          <w:rFonts w:ascii="Noto Sans Oriya" w:hAnsi="Noto Sans Oriya" w:cs="Noto Sans Oriya"/>
          <w:color w:val="10312B"/>
          <w:sz w:val="20"/>
        </w:rPr>
        <w:t>La inversi</w:t>
      </w:r>
      <w:r w:rsidRPr="002F4206">
        <w:rPr>
          <w:rFonts w:ascii="Calibri" w:hAnsi="Calibri" w:cs="Calibri"/>
          <w:color w:val="10312B"/>
          <w:sz w:val="20"/>
        </w:rPr>
        <w:t>ó</w:t>
      </w:r>
      <w:r w:rsidRPr="002F4206">
        <w:rPr>
          <w:rFonts w:ascii="Noto Sans Oriya" w:hAnsi="Noto Sans Oriya" w:cs="Noto Sans Oriya"/>
          <w:color w:val="10312B"/>
          <w:sz w:val="20"/>
        </w:rPr>
        <w:t>n p</w:t>
      </w:r>
      <w:r w:rsidRPr="002F4206">
        <w:rPr>
          <w:rFonts w:ascii="Calibri" w:hAnsi="Calibri" w:cs="Calibri"/>
          <w:color w:val="10312B"/>
          <w:sz w:val="20"/>
        </w:rPr>
        <w:t>ú</w:t>
      </w:r>
      <w:r w:rsidRPr="002F4206">
        <w:rPr>
          <w:rFonts w:ascii="Noto Sans Oriya" w:hAnsi="Noto Sans Oriya" w:cs="Noto Sans Oriya"/>
          <w:color w:val="10312B"/>
          <w:sz w:val="20"/>
        </w:rPr>
        <w:t>blica mostr</w:t>
      </w:r>
      <w:r w:rsidRPr="002F4206">
        <w:rPr>
          <w:rFonts w:ascii="Calibri" w:hAnsi="Calibri" w:cs="Calibri"/>
          <w:color w:val="10312B"/>
          <w:sz w:val="20"/>
        </w:rPr>
        <w:t>ó</w:t>
      </w:r>
      <w:r w:rsidRPr="002F4206">
        <w:rPr>
          <w:rFonts w:ascii="Noto Sans Oriya" w:hAnsi="Noto Sans Oriya" w:cs="Noto Sans Oriya"/>
          <w:color w:val="10312B"/>
          <w:sz w:val="20"/>
        </w:rPr>
        <w:t xml:space="preserve"> avances en los principales rubros, mientras que la privada a</w:t>
      </w:r>
      <w:r w:rsidRPr="002F4206">
        <w:rPr>
          <w:rFonts w:ascii="Calibri" w:hAnsi="Calibri" w:cs="Calibri"/>
          <w:color w:val="10312B"/>
          <w:sz w:val="20"/>
        </w:rPr>
        <w:t>ú</w:t>
      </w:r>
      <w:r w:rsidRPr="002F4206">
        <w:rPr>
          <w:rFonts w:ascii="Noto Sans Oriya" w:hAnsi="Noto Sans Oriya" w:cs="Noto Sans Oriya"/>
          <w:color w:val="10312B"/>
          <w:sz w:val="20"/>
        </w:rPr>
        <w:t>n presenta variaciones negativas en el acumulado.</w:t>
      </w:r>
    </w:p>
    <w:p w:rsidR="00D64354" w:rsidRPr="002F4206" w:rsidRDefault="00D64354" w:rsidP="00D64354">
      <w:pPr>
        <w:jc w:val="both"/>
        <w:rPr>
          <w:rFonts w:ascii="Noto Sans Oriya" w:hAnsi="Noto Sans Oriya" w:cs="Noto Sans Oriya"/>
          <w:sz w:val="6"/>
          <w:szCs w:val="10"/>
        </w:rPr>
      </w:pPr>
    </w:p>
    <w:p w:rsidR="00246E09" w:rsidRPr="002F4206" w:rsidRDefault="00465707">
      <w:pPr>
        <w:shd w:val="clear" w:color="auto" w:fill="235B4C"/>
        <w:jc w:val="both"/>
        <w:rPr>
          <w:rFonts w:ascii="Noto Sans Oriya" w:hAnsi="Noto Sans Oriya" w:cs="Noto Sans Oriya"/>
        </w:rPr>
      </w:pPr>
      <w:r w:rsidRPr="002F4206">
        <w:rPr>
          <w:rFonts w:ascii="Noto Sans Oriya" w:hAnsi="Noto Sans Oriya" w:cs="Noto Sans Oriya"/>
          <w:b/>
          <w:color w:val="FFFFFF"/>
          <w:sz w:val="22"/>
        </w:rPr>
        <w:t>Variaci</w:t>
      </w:r>
      <w:r w:rsidRPr="002F4206">
        <w:rPr>
          <w:rFonts w:ascii="Calibri" w:hAnsi="Calibri" w:cs="Calibri"/>
          <w:b/>
          <w:color w:val="FFFFFF"/>
          <w:sz w:val="22"/>
        </w:rPr>
        <w:t>ó</w:t>
      </w:r>
      <w:r w:rsidRPr="002F4206">
        <w:rPr>
          <w:rFonts w:ascii="Noto Sans Oriya" w:hAnsi="Noto Sans Oriya" w:cs="Noto Sans Oriya"/>
          <w:b/>
          <w:color w:val="FFFFFF"/>
          <w:sz w:val="22"/>
        </w:rPr>
        <w:t>n por componentes</w:t>
      </w:r>
    </w:p>
    <w:tbl>
      <w:tblPr>
        <w:tblStyle w:val="Tablaconcuadrcula"/>
        <w:tblW w:w="8828" w:type="dxa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414"/>
        <w:gridCol w:w="2207"/>
        <w:gridCol w:w="2207"/>
      </w:tblGrid>
      <w:tr w:rsidR="00A45443" w:rsidRPr="002F4206">
        <w:tc>
          <w:tcPr>
            <w:tcW w:w="4414" w:type="dxa"/>
            <w:shd w:val="clear" w:color="auto" w:fill="235B4C"/>
          </w:tcPr>
          <w:p w:rsidR="00A45443" w:rsidRPr="002F4206" w:rsidRDefault="009763E4">
            <w:pPr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color w:val="FFFFFF"/>
                <w:sz w:val="17"/>
              </w:rPr>
              <w:t>Componente</w:t>
            </w:r>
          </w:p>
        </w:tc>
        <w:tc>
          <w:tcPr>
            <w:tcW w:w="2207" w:type="dxa"/>
            <w:shd w:val="clear" w:color="auto" w:fill="235B4C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color w:val="FFFFFF"/>
                <w:sz w:val="17"/>
              </w:rPr>
              <w:t>Var. mensual</w:t>
            </w:r>
          </w:p>
        </w:tc>
        <w:tc>
          <w:tcPr>
            <w:tcW w:w="2207" w:type="dxa"/>
            <w:shd w:val="clear" w:color="auto" w:fill="235B4C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b/>
                <w:color w:val="FFFFFF"/>
                <w:sz w:val="17"/>
              </w:rPr>
              <w:t>Var. anual</w:t>
            </w:r>
          </w:p>
        </w:tc>
      </w:tr>
      <w:tr w:rsidR="00A45443" w:rsidRPr="002F4206">
        <w:tc>
          <w:tcPr>
            <w:tcW w:w="4414" w:type="dxa"/>
            <w:shd w:val="clear" w:color="auto" w:fill="F4F4F2"/>
          </w:tcPr>
          <w:p w:rsidR="00A45443" w:rsidRPr="002F4206" w:rsidRDefault="009763E4">
            <w:pPr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Formaci</w:t>
            </w:r>
            <w:r w:rsidRPr="002F4206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n bruta de capital fijo (Total)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4.0 %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5.1 %</w:t>
            </w:r>
          </w:p>
        </w:tc>
      </w:tr>
      <w:tr w:rsidR="00A45443" w:rsidRPr="002F4206">
        <w:tc>
          <w:tcPr>
            <w:tcW w:w="4414" w:type="dxa"/>
            <w:shd w:val="clear" w:color="auto" w:fill="FFFFFF"/>
          </w:tcPr>
          <w:p w:rsidR="00A45443" w:rsidRPr="002F4206" w:rsidRDefault="009763E4">
            <w:pPr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Construcci</w:t>
            </w:r>
            <w:r w:rsidRPr="002F4206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n (Total)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6.5 %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8.8 %</w:t>
            </w:r>
          </w:p>
        </w:tc>
      </w:tr>
      <w:tr w:rsidR="00A45443" w:rsidRPr="002F4206">
        <w:tc>
          <w:tcPr>
            <w:tcW w:w="4414" w:type="dxa"/>
            <w:shd w:val="clear" w:color="auto" w:fill="F4F4F2"/>
          </w:tcPr>
          <w:p w:rsidR="00A45443" w:rsidRPr="002F4206" w:rsidRDefault="009763E4">
            <w:pPr>
              <w:ind w:left="18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Construcci</w:t>
            </w:r>
            <w:r w:rsidRPr="002F4206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n residencial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12.4 %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16.7 %</w:t>
            </w:r>
          </w:p>
        </w:tc>
      </w:tr>
      <w:tr w:rsidR="00A45443" w:rsidRPr="002F4206">
        <w:tc>
          <w:tcPr>
            <w:tcW w:w="4414" w:type="dxa"/>
            <w:shd w:val="clear" w:color="auto" w:fill="FFFFFF"/>
          </w:tcPr>
          <w:p w:rsidR="00A45443" w:rsidRPr="002F4206" w:rsidRDefault="009763E4">
            <w:pPr>
              <w:ind w:left="18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Construcci</w:t>
            </w:r>
            <w:r w:rsidRPr="002F4206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n no residencial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0.1 %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1.1 %</w:t>
            </w:r>
          </w:p>
        </w:tc>
      </w:tr>
      <w:tr w:rsidR="00A45443" w:rsidRPr="002F4206">
        <w:tc>
          <w:tcPr>
            <w:tcW w:w="4414" w:type="dxa"/>
            <w:shd w:val="clear" w:color="auto" w:fill="F4F4F2"/>
          </w:tcPr>
          <w:p w:rsidR="00A45443" w:rsidRPr="002F4206" w:rsidRDefault="009763E4">
            <w:pPr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Maquinaria y equipo (Total)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2.0 %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0.9 %</w:t>
            </w:r>
          </w:p>
        </w:tc>
      </w:tr>
      <w:tr w:rsidR="00A45443" w:rsidRPr="002F4206">
        <w:tc>
          <w:tcPr>
            <w:tcW w:w="4414" w:type="dxa"/>
            <w:shd w:val="clear" w:color="auto" w:fill="FFFFFF"/>
          </w:tcPr>
          <w:p w:rsidR="00A45443" w:rsidRPr="002F4206" w:rsidRDefault="009763E4">
            <w:pPr>
              <w:ind w:left="18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Maquinaria y equipo nacional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C00000"/>
                <w:sz w:val="16"/>
              </w:rPr>
              <w:t>▼</w:t>
            </w:r>
            <w:r w:rsidRPr="002F4206">
              <w:rPr>
                <w:rFonts w:ascii="Noto Sans Oriya" w:hAnsi="Noto Sans Oriya" w:cs="Noto Sans Oriya"/>
                <w:color w:val="C00000"/>
                <w:sz w:val="16"/>
              </w:rPr>
              <w:t xml:space="preserve"> 3.7 %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C00000"/>
                <w:sz w:val="16"/>
              </w:rPr>
              <w:t>▼</w:t>
            </w:r>
            <w:r w:rsidRPr="002F4206">
              <w:rPr>
                <w:rFonts w:ascii="Noto Sans Oriya" w:hAnsi="Noto Sans Oriya" w:cs="Noto Sans Oriya"/>
                <w:color w:val="C00000"/>
                <w:sz w:val="16"/>
              </w:rPr>
              <w:t xml:space="preserve"> 10.6 %</w:t>
            </w:r>
          </w:p>
        </w:tc>
      </w:tr>
      <w:tr w:rsidR="00A45443" w:rsidRPr="002F4206">
        <w:tc>
          <w:tcPr>
            <w:tcW w:w="4414" w:type="dxa"/>
            <w:shd w:val="clear" w:color="auto" w:fill="F4F4F2"/>
          </w:tcPr>
          <w:p w:rsidR="00A45443" w:rsidRPr="002F4206" w:rsidRDefault="009763E4">
            <w:pPr>
              <w:ind w:left="36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Equipo de transporte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C00000"/>
                <w:sz w:val="16"/>
              </w:rPr>
              <w:t>▼</w:t>
            </w:r>
            <w:r w:rsidRPr="002F4206">
              <w:rPr>
                <w:rFonts w:ascii="Noto Sans Oriya" w:hAnsi="Noto Sans Oriya" w:cs="Noto Sans Oriya"/>
                <w:color w:val="C00000"/>
                <w:sz w:val="16"/>
              </w:rPr>
              <w:t xml:space="preserve"> 0.5 %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C00000"/>
                <w:sz w:val="16"/>
              </w:rPr>
              <w:t>▼</w:t>
            </w:r>
            <w:r w:rsidRPr="002F4206">
              <w:rPr>
                <w:rFonts w:ascii="Noto Sans Oriya" w:hAnsi="Noto Sans Oriya" w:cs="Noto Sans Oriya"/>
                <w:color w:val="C00000"/>
                <w:sz w:val="16"/>
              </w:rPr>
              <w:t xml:space="preserve"> 8.5 %</w:t>
            </w:r>
          </w:p>
        </w:tc>
      </w:tr>
      <w:tr w:rsidR="00A45443" w:rsidRPr="002F4206">
        <w:tc>
          <w:tcPr>
            <w:tcW w:w="4414" w:type="dxa"/>
            <w:shd w:val="clear" w:color="auto" w:fill="FFFFFF"/>
          </w:tcPr>
          <w:p w:rsidR="00A45443" w:rsidRPr="002F4206" w:rsidRDefault="009763E4">
            <w:pPr>
              <w:ind w:left="36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Maquinaria, equipo y otros bienes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C00000"/>
                <w:sz w:val="16"/>
              </w:rPr>
              <w:t>▼</w:t>
            </w:r>
            <w:r w:rsidRPr="002F4206">
              <w:rPr>
                <w:rFonts w:ascii="Noto Sans Oriya" w:hAnsi="Noto Sans Oriya" w:cs="Noto Sans Oriya"/>
                <w:color w:val="C00000"/>
                <w:sz w:val="16"/>
              </w:rPr>
              <w:t xml:space="preserve"> 7.2 %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C00000"/>
                <w:sz w:val="16"/>
              </w:rPr>
              <w:t>▼</w:t>
            </w:r>
            <w:r w:rsidRPr="002F4206">
              <w:rPr>
                <w:rFonts w:ascii="Noto Sans Oriya" w:hAnsi="Noto Sans Oriya" w:cs="Noto Sans Oriya"/>
                <w:color w:val="C00000"/>
                <w:sz w:val="16"/>
              </w:rPr>
              <w:t xml:space="preserve"> 12.4 %</w:t>
            </w:r>
          </w:p>
        </w:tc>
      </w:tr>
      <w:tr w:rsidR="00A45443" w:rsidRPr="002F4206">
        <w:tc>
          <w:tcPr>
            <w:tcW w:w="4414" w:type="dxa"/>
            <w:shd w:val="clear" w:color="auto" w:fill="F4F4F2"/>
          </w:tcPr>
          <w:p w:rsidR="00A45443" w:rsidRPr="002F4206" w:rsidRDefault="009763E4">
            <w:pPr>
              <w:ind w:left="18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Maquinaria y equipo importado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6.2 %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8.8 %</w:t>
            </w:r>
          </w:p>
        </w:tc>
      </w:tr>
      <w:tr w:rsidR="00A45443" w:rsidRPr="002F4206">
        <w:tc>
          <w:tcPr>
            <w:tcW w:w="4414" w:type="dxa"/>
            <w:shd w:val="clear" w:color="auto" w:fill="FFFFFF"/>
          </w:tcPr>
          <w:p w:rsidR="00A45443" w:rsidRPr="002F4206" w:rsidRDefault="009763E4">
            <w:pPr>
              <w:ind w:left="36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Equipo de transporte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0.6 %</w:t>
            </w:r>
          </w:p>
        </w:tc>
        <w:tc>
          <w:tcPr>
            <w:tcW w:w="2207" w:type="dxa"/>
            <w:shd w:val="clear" w:color="auto" w:fill="FFFFFF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C00000"/>
                <w:sz w:val="16"/>
              </w:rPr>
              <w:t>▼</w:t>
            </w:r>
            <w:r w:rsidRPr="002F4206">
              <w:rPr>
                <w:rFonts w:ascii="Noto Sans Oriya" w:hAnsi="Noto Sans Oriya" w:cs="Noto Sans Oriya"/>
                <w:color w:val="C00000"/>
                <w:sz w:val="16"/>
              </w:rPr>
              <w:t xml:space="preserve"> 1.1 %</w:t>
            </w:r>
          </w:p>
        </w:tc>
      </w:tr>
      <w:tr w:rsidR="00A45443" w:rsidRPr="002F4206">
        <w:tc>
          <w:tcPr>
            <w:tcW w:w="4414" w:type="dxa"/>
            <w:shd w:val="clear" w:color="auto" w:fill="F4F4F2"/>
          </w:tcPr>
          <w:p w:rsidR="00A45443" w:rsidRPr="002F4206" w:rsidRDefault="009763E4">
            <w:pPr>
              <w:ind w:left="360"/>
              <w:rPr>
                <w:rFonts w:ascii="Noto Sans Oriya" w:hAnsi="Noto Sans Oriya" w:cs="Noto Sans Oriya"/>
              </w:rPr>
            </w:pP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>Maquinaria, equipo y otros bienes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7.1 %</w:t>
            </w:r>
          </w:p>
        </w:tc>
        <w:tc>
          <w:tcPr>
            <w:tcW w:w="2207" w:type="dxa"/>
            <w:shd w:val="clear" w:color="auto" w:fill="F4F4F2"/>
            <w:vAlign w:val="center"/>
          </w:tcPr>
          <w:p w:rsidR="00A45443" w:rsidRPr="002F4206" w:rsidRDefault="009763E4">
            <w:pPr>
              <w:jc w:val="center"/>
              <w:rPr>
                <w:rFonts w:ascii="Noto Sans Oriya" w:hAnsi="Noto Sans Oriya" w:cs="Noto Sans Oriya"/>
              </w:rPr>
            </w:pPr>
            <w:r w:rsidRPr="002F4206">
              <w:rPr>
                <w:rFonts w:ascii="Arial" w:hAnsi="Arial" w:cs="Arial"/>
                <w:color w:val="000000"/>
                <w:sz w:val="16"/>
              </w:rPr>
              <w:t>▲</w:t>
            </w:r>
            <w:r w:rsidRPr="002F4206">
              <w:rPr>
                <w:rFonts w:ascii="Noto Sans Oriya" w:hAnsi="Noto Sans Oriya" w:cs="Noto Sans Oriya"/>
                <w:color w:val="000000"/>
                <w:sz w:val="16"/>
              </w:rPr>
              <w:t xml:space="preserve"> 9.8 %</w:t>
            </w:r>
          </w:p>
        </w:tc>
      </w:tr>
    </w:tbl>
    <w:p w:rsidR="00BC0BB8" w:rsidRPr="002F4206" w:rsidRDefault="00465707">
      <w:pPr>
        <w:spacing w:before="40"/>
        <w:rPr>
          <w:rFonts w:ascii="Noto Sans Oriya" w:hAnsi="Noto Sans Oriya" w:cs="Noto Sans Oriya"/>
          <w:color w:val="4C545B"/>
          <w:sz w:val="15"/>
        </w:rPr>
      </w:pPr>
      <w:r w:rsidRPr="002F4206">
        <w:rPr>
          <w:rFonts w:ascii="Noto Sans Oriya" w:hAnsi="Noto Sans Oriya" w:cs="Noto Sans Oriya"/>
          <w:b/>
          <w:color w:val="4C545B"/>
          <w:sz w:val="15"/>
        </w:rPr>
        <w:t>Nota:</w:t>
      </w:r>
      <w:r w:rsidRPr="002F4206">
        <w:rPr>
          <w:rFonts w:ascii="Noto Sans Oriya" w:hAnsi="Noto Sans Oriya" w:cs="Noto Sans Oriya"/>
          <w:color w:val="4C545B"/>
          <w:sz w:val="15"/>
        </w:rPr>
        <w:t xml:space="preserve"> variaci</w:t>
      </w:r>
      <w:r w:rsidRPr="002F4206">
        <w:rPr>
          <w:rFonts w:ascii="Calibri" w:hAnsi="Calibri" w:cs="Calibri"/>
          <w:color w:val="4C545B"/>
          <w:sz w:val="15"/>
        </w:rPr>
        <w:t>ó</w:t>
      </w:r>
      <w:r w:rsidRPr="002F4206">
        <w:rPr>
          <w:rFonts w:ascii="Noto Sans Oriya" w:hAnsi="Noto Sans Oriya" w:cs="Noto Sans Oriya"/>
          <w:color w:val="4C545B"/>
          <w:sz w:val="15"/>
        </w:rPr>
        <w:t>n mensual y anual con cifras desestacionalizadas; acumulado con cifras originales. Variaciones porcentuales reales.</w:t>
      </w:r>
    </w:p>
    <w:p w:rsidR="00246E09" w:rsidRPr="002F4206" w:rsidRDefault="00246E09">
      <w:pPr>
        <w:spacing w:line="80" w:lineRule="exact"/>
        <w:jc w:val="both"/>
        <w:rPr>
          <w:rFonts w:ascii="Noto Sans Oriya" w:hAnsi="Noto Sans Oriya" w:cs="Noto Sans Oriya"/>
          <w:sz w:val="10"/>
          <w:szCs w:val="10"/>
        </w:rPr>
      </w:pPr>
    </w:p>
    <w:p w:rsidR="00D64354" w:rsidRPr="002F4206" w:rsidRDefault="00D64354">
      <w:pPr>
        <w:jc w:val="both"/>
        <w:rPr>
          <w:rFonts w:ascii="Noto Sans Oriya" w:hAnsi="Noto Sans Oriya" w:cs="Noto Sans Oriya"/>
          <w:b/>
          <w:bCs/>
          <w:color w:val="FFFFFF" w:themeColor="background1"/>
          <w:sz w:val="22"/>
          <w:szCs w:val="22"/>
        </w:rPr>
      </w:pPr>
    </w:p>
    <w:p w:rsidR="00246E09" w:rsidRPr="002F4206" w:rsidRDefault="00465707">
      <w:pPr>
        <w:jc w:val="both"/>
        <w:rPr>
          <w:rFonts w:ascii="Noto Sans Oriya" w:hAnsi="Noto Sans Oriya" w:cs="Noto Sans Oriya"/>
        </w:rPr>
      </w:pPr>
      <w:r w:rsidRPr="002F4206">
        <w:rPr>
          <w:rFonts w:ascii="Noto Sans Oriya" w:hAnsi="Noto Sans Oriya" w:cs="Noto Sans Oriya"/>
          <w:color w:val="4C545B"/>
          <w:sz w:val="15"/>
        </w:rPr>
        <w:t>Fuente: INEGI, Indicador Mensual de la Formaci</w:t>
      </w:r>
      <w:r w:rsidRPr="002F4206">
        <w:rPr>
          <w:rFonts w:ascii="Calibri" w:hAnsi="Calibri" w:cs="Calibri"/>
          <w:color w:val="4C545B"/>
          <w:sz w:val="15"/>
        </w:rPr>
        <w:t>ó</w:t>
      </w:r>
      <w:r w:rsidRPr="002F4206">
        <w:rPr>
          <w:rFonts w:ascii="Noto Sans Oriya" w:hAnsi="Noto Sans Oriya" w:cs="Noto Sans Oriya"/>
          <w:color w:val="4C545B"/>
          <w:sz w:val="15"/>
        </w:rPr>
        <w:t>n Bruta de Capital Fijo (IMFBCF), Bolet</w:t>
      </w:r>
      <w:r w:rsidRPr="002F4206">
        <w:rPr>
          <w:rFonts w:ascii="Calibri" w:hAnsi="Calibri" w:cs="Calibri"/>
          <w:color w:val="4C545B"/>
          <w:sz w:val="15"/>
        </w:rPr>
        <w:t>í</w:t>
      </w:r>
      <w:r w:rsidRPr="002F4206">
        <w:rPr>
          <w:rFonts w:ascii="Noto Sans Oriya" w:hAnsi="Noto Sans Oriya" w:cs="Noto Sans Oriya"/>
          <w:color w:val="4C545B"/>
          <w:sz w:val="15"/>
        </w:rPr>
        <w:t>n de Indicador 413/26, 6 de julio de 2026. Cifras de abril de 2026. Pr</w:t>
      </w:r>
      <w:r w:rsidRPr="002F4206">
        <w:rPr>
          <w:rFonts w:ascii="Calibri" w:hAnsi="Calibri" w:cs="Calibri"/>
          <w:color w:val="4C545B"/>
          <w:sz w:val="15"/>
        </w:rPr>
        <w:t>ó</w:t>
      </w:r>
      <w:r w:rsidRPr="002F4206">
        <w:rPr>
          <w:rFonts w:ascii="Noto Sans Oriya" w:hAnsi="Noto Sans Oriya" w:cs="Noto Sans Oriya"/>
          <w:color w:val="4C545B"/>
          <w:sz w:val="15"/>
        </w:rPr>
        <w:t>xima publicaci</w:t>
      </w:r>
      <w:r w:rsidRPr="002F4206">
        <w:rPr>
          <w:rFonts w:ascii="Calibri" w:hAnsi="Calibri" w:cs="Calibri"/>
          <w:color w:val="4C545B"/>
          <w:sz w:val="15"/>
        </w:rPr>
        <w:t>ó</w:t>
      </w:r>
      <w:r w:rsidRPr="002F4206">
        <w:rPr>
          <w:rFonts w:ascii="Noto Sans Oriya" w:hAnsi="Noto Sans Oriya" w:cs="Noto Sans Oriya"/>
          <w:color w:val="4C545B"/>
          <w:sz w:val="15"/>
        </w:rPr>
        <w:t>n: 5 de agosto de 2026.</w:t>
      </w:r>
      <w:bookmarkEnd w:id="0"/>
    </w:p>
    <w:sectPr w:rsidR="00246E09" w:rsidRPr="002F4206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7C81" w:rsidRDefault="00277C81" w:rsidP="00E32E74">
      <w:r>
        <w:separator/>
      </w:r>
    </w:p>
  </w:endnote>
  <w:endnote w:type="continuationSeparator" w:id="0">
    <w:p w:rsidR="00277C81" w:rsidRDefault="00277C81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0000021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oto Sans Oriya">
    <w:panose1 w:val="020B0502040504020204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7C81" w:rsidRDefault="00277C81" w:rsidP="00E32E74">
      <w:r>
        <w:separator/>
      </w:r>
    </w:p>
  </w:footnote>
  <w:footnote w:type="continuationSeparator" w:id="0">
    <w:p w:rsidR="00277C81" w:rsidRDefault="00277C81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F859CD" w:rsidRDefault="00F859CD" w:rsidP="00E32E74"/>
  <w:p w:rsidR="00E84F6B" w:rsidRDefault="00FE6B8B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Subsecretaría de Industria y Comercio</w:t>
    </w:r>
  </w:p>
  <w:p w:rsidR="00EA51AD" w:rsidRPr="00FE6B8B" w:rsidRDefault="00EA51AD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Noto Sans" w:hAnsi="Noto Sans" w:cs="Noto Sans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B22C6"/>
    <w:multiLevelType w:val="hybridMultilevel"/>
    <w:tmpl w:val="838038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2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3"/>
  </w:num>
  <w:num w:numId="5">
    <w:abstractNumId w:val="27"/>
  </w:num>
  <w:num w:numId="6">
    <w:abstractNumId w:val="11"/>
  </w:num>
  <w:num w:numId="7">
    <w:abstractNumId w:val="29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0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8"/>
  </w:num>
  <w:num w:numId="28">
    <w:abstractNumId w:val="9"/>
  </w:num>
  <w:num w:numId="29">
    <w:abstractNumId w:val="32"/>
  </w:num>
  <w:num w:numId="30">
    <w:abstractNumId w:val="31"/>
  </w:num>
  <w:num w:numId="31">
    <w:abstractNumId w:val="2"/>
  </w:num>
  <w:num w:numId="32">
    <w:abstractNumId w:val="21"/>
  </w:num>
  <w:num w:numId="33">
    <w:abstractNumId w:val="13"/>
  </w:num>
  <w:num w:numId="34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FB9"/>
    <w:rsid w:val="000571C6"/>
    <w:rsid w:val="000A3591"/>
    <w:rsid w:val="000A46AA"/>
    <w:rsid w:val="000A71DD"/>
    <w:rsid w:val="000D126D"/>
    <w:rsid w:val="000D5B48"/>
    <w:rsid w:val="000E1551"/>
    <w:rsid w:val="000E263D"/>
    <w:rsid w:val="001106F9"/>
    <w:rsid w:val="00113971"/>
    <w:rsid w:val="00113ADD"/>
    <w:rsid w:val="00136317"/>
    <w:rsid w:val="0013733B"/>
    <w:rsid w:val="00153B11"/>
    <w:rsid w:val="001544FC"/>
    <w:rsid w:val="00155DFB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D7690"/>
    <w:rsid w:val="001E072F"/>
    <w:rsid w:val="001F561B"/>
    <w:rsid w:val="00204B82"/>
    <w:rsid w:val="00220619"/>
    <w:rsid w:val="002360E8"/>
    <w:rsid w:val="00246E09"/>
    <w:rsid w:val="00254C67"/>
    <w:rsid w:val="00277C81"/>
    <w:rsid w:val="00290C17"/>
    <w:rsid w:val="00294C95"/>
    <w:rsid w:val="002C459E"/>
    <w:rsid w:val="002E0889"/>
    <w:rsid w:val="002E131D"/>
    <w:rsid w:val="002E3C28"/>
    <w:rsid w:val="002F4206"/>
    <w:rsid w:val="002F4E7A"/>
    <w:rsid w:val="00320CA1"/>
    <w:rsid w:val="00341FF9"/>
    <w:rsid w:val="00344789"/>
    <w:rsid w:val="00360F50"/>
    <w:rsid w:val="0036312B"/>
    <w:rsid w:val="003919F7"/>
    <w:rsid w:val="003B7AF4"/>
    <w:rsid w:val="003E7119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773F7"/>
    <w:rsid w:val="004869A7"/>
    <w:rsid w:val="00486FFD"/>
    <w:rsid w:val="00491EE7"/>
    <w:rsid w:val="0049299F"/>
    <w:rsid w:val="00495548"/>
    <w:rsid w:val="004A74A4"/>
    <w:rsid w:val="004A78F6"/>
    <w:rsid w:val="004B221D"/>
    <w:rsid w:val="004C2B18"/>
    <w:rsid w:val="004D104B"/>
    <w:rsid w:val="004D2236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A57CC"/>
    <w:rsid w:val="005D105A"/>
    <w:rsid w:val="00612102"/>
    <w:rsid w:val="00625F36"/>
    <w:rsid w:val="00646C52"/>
    <w:rsid w:val="00650C79"/>
    <w:rsid w:val="00661ED1"/>
    <w:rsid w:val="006626AF"/>
    <w:rsid w:val="00662863"/>
    <w:rsid w:val="00667278"/>
    <w:rsid w:val="00671DD9"/>
    <w:rsid w:val="0068031A"/>
    <w:rsid w:val="00697E37"/>
    <w:rsid w:val="006A1F60"/>
    <w:rsid w:val="006B308C"/>
    <w:rsid w:val="006D3942"/>
    <w:rsid w:val="006F4646"/>
    <w:rsid w:val="00705DC8"/>
    <w:rsid w:val="007471F1"/>
    <w:rsid w:val="007759A6"/>
    <w:rsid w:val="007816C7"/>
    <w:rsid w:val="0078392B"/>
    <w:rsid w:val="0079704D"/>
    <w:rsid w:val="007B7560"/>
    <w:rsid w:val="007D06F1"/>
    <w:rsid w:val="007D3385"/>
    <w:rsid w:val="007F60B5"/>
    <w:rsid w:val="00810EC6"/>
    <w:rsid w:val="0082026B"/>
    <w:rsid w:val="00830352"/>
    <w:rsid w:val="00832176"/>
    <w:rsid w:val="0083711C"/>
    <w:rsid w:val="008544E1"/>
    <w:rsid w:val="0086418A"/>
    <w:rsid w:val="00864D64"/>
    <w:rsid w:val="00864E21"/>
    <w:rsid w:val="00887FBD"/>
    <w:rsid w:val="00897B8A"/>
    <w:rsid w:val="008A56B9"/>
    <w:rsid w:val="008B36BF"/>
    <w:rsid w:val="008B4362"/>
    <w:rsid w:val="008B5764"/>
    <w:rsid w:val="008D09CA"/>
    <w:rsid w:val="008F0109"/>
    <w:rsid w:val="008F2DC2"/>
    <w:rsid w:val="008F54BD"/>
    <w:rsid w:val="00927F12"/>
    <w:rsid w:val="00930605"/>
    <w:rsid w:val="009667A4"/>
    <w:rsid w:val="009763E4"/>
    <w:rsid w:val="00981CAC"/>
    <w:rsid w:val="00994331"/>
    <w:rsid w:val="00995175"/>
    <w:rsid w:val="00997820"/>
    <w:rsid w:val="009B2B04"/>
    <w:rsid w:val="009D1660"/>
    <w:rsid w:val="009D513B"/>
    <w:rsid w:val="009D662C"/>
    <w:rsid w:val="009E6351"/>
    <w:rsid w:val="00A25E9B"/>
    <w:rsid w:val="00A27EAB"/>
    <w:rsid w:val="00A34818"/>
    <w:rsid w:val="00A45443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273F4"/>
    <w:rsid w:val="00B62B90"/>
    <w:rsid w:val="00B64AE2"/>
    <w:rsid w:val="00B72087"/>
    <w:rsid w:val="00B93C35"/>
    <w:rsid w:val="00B94BFE"/>
    <w:rsid w:val="00BA4BD9"/>
    <w:rsid w:val="00BA7AF6"/>
    <w:rsid w:val="00BB1DC9"/>
    <w:rsid w:val="00BB4307"/>
    <w:rsid w:val="00BC0BB8"/>
    <w:rsid w:val="00BC0F57"/>
    <w:rsid w:val="00BD38B1"/>
    <w:rsid w:val="00BE2C85"/>
    <w:rsid w:val="00BF5F01"/>
    <w:rsid w:val="00C0087D"/>
    <w:rsid w:val="00C122A4"/>
    <w:rsid w:val="00C176D8"/>
    <w:rsid w:val="00C2663E"/>
    <w:rsid w:val="00C33446"/>
    <w:rsid w:val="00C42943"/>
    <w:rsid w:val="00C43081"/>
    <w:rsid w:val="00C619F7"/>
    <w:rsid w:val="00C62995"/>
    <w:rsid w:val="00C639EA"/>
    <w:rsid w:val="00C65A1B"/>
    <w:rsid w:val="00C66897"/>
    <w:rsid w:val="00C821D5"/>
    <w:rsid w:val="00C9207B"/>
    <w:rsid w:val="00CA49C6"/>
    <w:rsid w:val="00CA567C"/>
    <w:rsid w:val="00CB38B3"/>
    <w:rsid w:val="00CB70C5"/>
    <w:rsid w:val="00CC7915"/>
    <w:rsid w:val="00CD4A23"/>
    <w:rsid w:val="00CD7369"/>
    <w:rsid w:val="00CE633D"/>
    <w:rsid w:val="00D10BEE"/>
    <w:rsid w:val="00D2057E"/>
    <w:rsid w:val="00D2376F"/>
    <w:rsid w:val="00D23B89"/>
    <w:rsid w:val="00D263C6"/>
    <w:rsid w:val="00D60BF7"/>
    <w:rsid w:val="00D64354"/>
    <w:rsid w:val="00D70252"/>
    <w:rsid w:val="00D70D18"/>
    <w:rsid w:val="00D83A01"/>
    <w:rsid w:val="00D90AAA"/>
    <w:rsid w:val="00D92277"/>
    <w:rsid w:val="00D974FD"/>
    <w:rsid w:val="00DA0C65"/>
    <w:rsid w:val="00DB54A2"/>
    <w:rsid w:val="00DC152E"/>
    <w:rsid w:val="00DC5509"/>
    <w:rsid w:val="00DD2599"/>
    <w:rsid w:val="00DD4B7F"/>
    <w:rsid w:val="00DD6CF3"/>
    <w:rsid w:val="00DE76A7"/>
    <w:rsid w:val="00E0538C"/>
    <w:rsid w:val="00E066F2"/>
    <w:rsid w:val="00E1407E"/>
    <w:rsid w:val="00E32E74"/>
    <w:rsid w:val="00E56F00"/>
    <w:rsid w:val="00E61388"/>
    <w:rsid w:val="00E7262E"/>
    <w:rsid w:val="00E76409"/>
    <w:rsid w:val="00E84F6B"/>
    <w:rsid w:val="00E94CD4"/>
    <w:rsid w:val="00EA2751"/>
    <w:rsid w:val="00EA49C5"/>
    <w:rsid w:val="00EA51AD"/>
    <w:rsid w:val="00EB1C36"/>
    <w:rsid w:val="00EB1FB8"/>
    <w:rsid w:val="00EC4BC7"/>
    <w:rsid w:val="00ED0B2E"/>
    <w:rsid w:val="00F0340D"/>
    <w:rsid w:val="00F05F40"/>
    <w:rsid w:val="00F06026"/>
    <w:rsid w:val="00F16AAF"/>
    <w:rsid w:val="00F231FC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4CD4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4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2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82172A-357C-1F4B-92CA-791CE0F63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520</Words>
  <Characters>2865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maria eugenia garcia macias</cp:lastModifiedBy>
  <cp:revision>32</cp:revision>
  <cp:lastPrinted>2026-06-17T17:31:00Z</cp:lastPrinted>
  <dcterms:created xsi:type="dcterms:W3CDTF">2026-06-17T17:31:00Z</dcterms:created>
  <dcterms:modified xsi:type="dcterms:W3CDTF">2026-07-17T19:23:00Z</dcterms:modified>
</cp:coreProperties>
</file>