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shd w:val="clear" w:color="auto" w:fill="235B4C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414"/>
        <w:gridCol w:w="4414"/>
      </w:tblGrid>
      <w:tr w:rsidR="005E4EF1" w:rsidTr="005E4EF1">
        <w:tc>
          <w:tcPr>
            <w:tcW w:w="8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35B4C"/>
          </w:tcPr>
          <w:p w:rsidR="005E4EF1" w:rsidRPr="005E4EF1" w:rsidRDefault="005E4EF1" w:rsidP="005E4EF1">
            <w:pPr>
              <w:jc w:val="center"/>
              <w:rPr>
                <w:rFonts w:ascii="Noto Sans" w:hAnsi="Noto Sans" w:cs="Noto Sans"/>
                <w:color w:val="FFFFFF" w:themeColor="background1"/>
                <w:sz w:val="20"/>
                <w:szCs w:val="20"/>
              </w:rPr>
            </w:pPr>
            <w:r w:rsidRPr="005E4EF1">
              <w:rPr>
                <w:rFonts w:ascii="Noto Sans" w:hAnsi="Noto Sans" w:cs="Noto Sans"/>
                <w:color w:val="FFFFFF" w:themeColor="background1"/>
                <w:sz w:val="20"/>
                <w:szCs w:val="20"/>
              </w:rPr>
              <w:t>Producto Interno Bruto Trimestral, precios constantes</w:t>
            </w:r>
          </w:p>
          <w:p w:rsidR="005E4EF1" w:rsidRPr="005E4EF1" w:rsidRDefault="005E4EF1" w:rsidP="005E4EF1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40"/>
                <w:szCs w:val="40"/>
              </w:rPr>
            </w:pPr>
            <w:r w:rsidRPr="005E4EF1">
              <w:rPr>
                <w:rFonts w:ascii="Noto Sans" w:hAnsi="Noto Sans" w:cs="Noto Sans"/>
                <w:b/>
                <w:bCs/>
                <w:color w:val="FFFFFF" w:themeColor="background1"/>
                <w:sz w:val="40"/>
                <w:szCs w:val="40"/>
              </w:rPr>
              <w:t xml:space="preserve">PIB Trimestral </w:t>
            </w:r>
            <w:r w:rsidRPr="005E4EF1">
              <w:rPr>
                <w:rFonts w:ascii="Noto Sans" w:eastAsia="Noto Sans" w:hAnsi="Noto Sans" w:cs="Noto Sans"/>
                <w:b/>
                <w:bCs/>
                <w:color w:val="FFFFFF" w:themeColor="background1"/>
                <w:sz w:val="40"/>
                <w:szCs w:val="40"/>
              </w:rPr>
              <w:t>· 1T 2026</w:t>
            </w:r>
          </w:p>
          <w:p w:rsidR="005E4EF1" w:rsidRPr="005E4EF1" w:rsidRDefault="005E4EF1" w:rsidP="005E4EF1">
            <w:pPr>
              <w:jc w:val="center"/>
              <w:rPr>
                <w:sz w:val="20"/>
                <w:szCs w:val="20"/>
              </w:rPr>
            </w:pPr>
            <w:r w:rsidRPr="005E4EF1">
              <w:rPr>
                <w:rFonts w:ascii="Noto Sans" w:hAnsi="Noto Sans" w:cs="Noto Sans"/>
                <w:color w:val="FFFFFF" w:themeColor="background1"/>
                <w:sz w:val="20"/>
                <w:szCs w:val="20"/>
              </w:rPr>
              <w:t>Boletín de Indicador 295/26 · 22 de mayo de 2026 | INEGI</w:t>
            </w:r>
          </w:p>
        </w:tc>
      </w:tr>
      <w:tr w:rsidR="005E4EF1" w:rsidTr="005E4EF1"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  <w:shd w:val="clear" w:color="auto" w:fill="611232"/>
          </w:tcPr>
          <w:p w:rsidR="005E4EF1" w:rsidRPr="005E4EF1" w:rsidRDefault="005E4EF1" w:rsidP="005E4EF1">
            <w:pPr>
              <w:jc w:val="center"/>
              <w:rPr>
                <w:rFonts w:ascii="Noto Sans" w:hAnsi="Noto Sans" w:cs="Noto Sans"/>
              </w:rPr>
            </w:pPr>
            <w:r w:rsidRPr="005E4EF1">
              <w:rPr>
                <w:rFonts w:ascii="Noto Sans" w:eastAsia="Noto Sans" w:hAnsi="Noto Sans" w:cs="Noto Sans"/>
                <w:b/>
                <w:bCs/>
                <w:color w:val="D9C9A8"/>
                <w:spacing w:val="10"/>
                <w:sz w:val="17"/>
                <w:szCs w:val="17"/>
              </w:rPr>
              <w:t>VARIACIÓN TRIMESTRAL</w:t>
            </w:r>
          </w:p>
          <w:p w:rsidR="005E4EF1" w:rsidRPr="005E4EF1" w:rsidRDefault="005E4EF1" w:rsidP="005E4EF1">
            <w:pPr>
              <w:jc w:val="center"/>
              <w:rPr>
                <w:rFonts w:ascii="Noto Sans" w:hAnsi="Noto Sans" w:cs="Noto Sans"/>
              </w:rPr>
            </w:pPr>
            <w:r w:rsidRPr="005E4EF1">
              <w:rPr>
                <w:rFonts w:ascii="Arial" w:eastAsia="Noto Sans" w:hAnsi="Arial" w:cs="Arial"/>
                <w:b/>
                <w:bCs/>
                <w:color w:val="FFFFFF"/>
                <w:sz w:val="72"/>
                <w:szCs w:val="72"/>
              </w:rPr>
              <w:t>▼</w:t>
            </w:r>
            <w:r w:rsidRPr="005E4EF1">
              <w:rPr>
                <w:rFonts w:ascii="Noto Sans" w:eastAsia="Noto Sans" w:hAnsi="Noto Sans" w:cs="Noto Sans"/>
                <w:b/>
                <w:bCs/>
                <w:color w:val="FFFFFF"/>
                <w:sz w:val="72"/>
                <w:szCs w:val="72"/>
              </w:rPr>
              <w:t xml:space="preserve"> -0.6%</w:t>
            </w:r>
          </w:p>
          <w:p w:rsidR="005E4EF1" w:rsidRPr="005E4EF1" w:rsidRDefault="005E4EF1" w:rsidP="005E4EF1">
            <w:pPr>
              <w:jc w:val="center"/>
              <w:rPr>
                <w:rFonts w:ascii="Noto Sans" w:hAnsi="Noto Sans" w:cs="Noto Sans"/>
                <w:color w:val="FFFFFF" w:themeColor="background1"/>
                <w:sz w:val="20"/>
                <w:szCs w:val="20"/>
              </w:rPr>
            </w:pPr>
            <w:r w:rsidRPr="005E4EF1">
              <w:rPr>
                <w:rFonts w:ascii="Noto Sans" w:eastAsia="Noto Sans" w:hAnsi="Noto Sans" w:cs="Noto Sans"/>
                <w:color w:val="E8DCC4"/>
                <w:sz w:val="16"/>
                <w:szCs w:val="16"/>
              </w:rPr>
              <w:t>Cifras desestacionalizadas · 1T-2026</w:t>
            </w:r>
          </w:p>
        </w:tc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  <w:shd w:val="clear" w:color="auto" w:fill="F4F4F2"/>
          </w:tcPr>
          <w:p w:rsidR="005E4EF1" w:rsidRPr="005E4EF1" w:rsidRDefault="005E4EF1" w:rsidP="005E4EF1">
            <w:pPr>
              <w:jc w:val="center"/>
              <w:rPr>
                <w:rFonts w:ascii="Noto Sans" w:hAnsi="Noto Sans" w:cs="Noto Sans"/>
              </w:rPr>
            </w:pPr>
            <w:r w:rsidRPr="005E4EF1">
              <w:rPr>
                <w:rFonts w:ascii="Noto Sans" w:eastAsia="Noto Sans" w:hAnsi="Noto Sans" w:cs="Noto Sans"/>
                <w:b/>
                <w:bCs/>
                <w:color w:val="8C8C8C"/>
                <w:spacing w:val="10"/>
                <w:sz w:val="17"/>
                <w:szCs w:val="17"/>
              </w:rPr>
              <w:t>VARIACIÓN ANUAL</w:t>
            </w:r>
          </w:p>
          <w:p w:rsidR="005E4EF1" w:rsidRPr="005E4EF1" w:rsidRDefault="005E4EF1" w:rsidP="005E4EF1">
            <w:pPr>
              <w:jc w:val="center"/>
              <w:rPr>
                <w:rFonts w:ascii="Noto Sans" w:hAnsi="Noto Sans" w:cs="Noto Sans"/>
              </w:rPr>
            </w:pPr>
            <w:r w:rsidRPr="005E4EF1">
              <w:rPr>
                <w:rFonts w:ascii="Arial" w:eastAsia="Noto Sans" w:hAnsi="Arial" w:cs="Arial"/>
                <w:b/>
                <w:bCs/>
                <w:color w:val="006341"/>
                <w:sz w:val="72"/>
                <w:szCs w:val="72"/>
              </w:rPr>
              <w:t>▲</w:t>
            </w:r>
            <w:r w:rsidRPr="005E4EF1">
              <w:rPr>
                <w:rFonts w:ascii="Noto Sans" w:eastAsia="Noto Sans" w:hAnsi="Noto Sans" w:cs="Noto Sans"/>
                <w:b/>
                <w:bCs/>
                <w:color w:val="006341"/>
                <w:sz w:val="72"/>
                <w:szCs w:val="72"/>
              </w:rPr>
              <w:t xml:space="preserve"> +0.4%</w:t>
            </w:r>
          </w:p>
          <w:p w:rsidR="005E4EF1" w:rsidRPr="005E4EF1" w:rsidRDefault="005E4EF1" w:rsidP="005E4EF1">
            <w:pPr>
              <w:jc w:val="center"/>
              <w:rPr>
                <w:rFonts w:ascii="Noto Sans" w:hAnsi="Noto Sans" w:cs="Noto Sans"/>
                <w:color w:val="FFFFFF" w:themeColor="background1"/>
                <w:sz w:val="20"/>
                <w:szCs w:val="20"/>
              </w:rPr>
            </w:pPr>
            <w:r w:rsidRPr="005E4EF1">
              <w:rPr>
                <w:rFonts w:ascii="Noto Sans" w:eastAsia="Noto Sans" w:hAnsi="Noto Sans" w:cs="Noto Sans"/>
                <w:color w:val="6B6864"/>
                <w:sz w:val="16"/>
                <w:szCs w:val="16"/>
              </w:rPr>
              <w:t>Comparación 1T-2026 vs. 1T-2025</w:t>
            </w:r>
          </w:p>
        </w:tc>
      </w:tr>
    </w:tbl>
    <w:p w:rsidR="005E4EF1" w:rsidRPr="00863E15" w:rsidRDefault="005E4EF1" w:rsidP="00E263B4">
      <w:pPr>
        <w:spacing w:after="0" w:line="240" w:lineRule="auto"/>
        <w:rPr>
          <w:rFonts w:ascii="Noto Sans" w:eastAsia="Noto Sans" w:hAnsi="Noto Sans" w:cs="Noto Sans"/>
          <w:sz w:val="6"/>
          <w:szCs w:val="6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4F4F2"/>
        <w:tblLook w:val="04A0" w:firstRow="1" w:lastRow="0" w:firstColumn="1" w:lastColumn="0" w:noHBand="0" w:noVBand="1"/>
      </w:tblPr>
      <w:tblGrid>
        <w:gridCol w:w="1471"/>
        <w:gridCol w:w="1471"/>
        <w:gridCol w:w="1471"/>
        <w:gridCol w:w="1472"/>
        <w:gridCol w:w="1471"/>
        <w:gridCol w:w="1472"/>
      </w:tblGrid>
      <w:tr w:rsidR="00EE383C" w:rsidRPr="00E263B4" w:rsidTr="00390772">
        <w:tc>
          <w:tcPr>
            <w:tcW w:w="2942" w:type="dxa"/>
            <w:gridSpan w:val="2"/>
            <w:shd w:val="clear" w:color="auto" w:fill="235B4C"/>
          </w:tcPr>
          <w:p w:rsidR="00EE383C" w:rsidRPr="00E263B4" w:rsidRDefault="00EE383C" w:rsidP="00EE383C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22"/>
                <w:szCs w:val="22"/>
              </w:rPr>
            </w:pPr>
            <w:r w:rsidRPr="00E263B4">
              <w:rPr>
                <w:rFonts w:ascii="Noto Sans" w:hAnsi="Noto Sans" w:cs="Noto Sans"/>
                <w:b/>
                <w:bCs/>
                <w:color w:val="FFFFFF" w:themeColor="background1"/>
                <w:sz w:val="22"/>
                <w:szCs w:val="22"/>
              </w:rPr>
              <w:t>Actividades primarias</w:t>
            </w:r>
          </w:p>
        </w:tc>
        <w:tc>
          <w:tcPr>
            <w:tcW w:w="2943" w:type="dxa"/>
            <w:gridSpan w:val="2"/>
            <w:shd w:val="clear" w:color="auto" w:fill="235B4C"/>
          </w:tcPr>
          <w:p w:rsidR="00EE383C" w:rsidRPr="00E263B4" w:rsidRDefault="00EE383C" w:rsidP="00EE383C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22"/>
                <w:szCs w:val="22"/>
              </w:rPr>
            </w:pPr>
            <w:r w:rsidRPr="00E263B4">
              <w:rPr>
                <w:rFonts w:ascii="Noto Sans" w:hAnsi="Noto Sans" w:cs="Noto Sans"/>
                <w:b/>
                <w:bCs/>
                <w:color w:val="FFFFFF" w:themeColor="background1"/>
                <w:sz w:val="22"/>
                <w:szCs w:val="22"/>
              </w:rPr>
              <w:t>Actividades secundarias</w:t>
            </w:r>
          </w:p>
        </w:tc>
        <w:tc>
          <w:tcPr>
            <w:tcW w:w="2943" w:type="dxa"/>
            <w:gridSpan w:val="2"/>
            <w:shd w:val="clear" w:color="auto" w:fill="235B4C"/>
          </w:tcPr>
          <w:p w:rsidR="00EE383C" w:rsidRPr="00E263B4" w:rsidRDefault="00EE383C" w:rsidP="00EE383C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22"/>
                <w:szCs w:val="22"/>
              </w:rPr>
            </w:pPr>
            <w:r w:rsidRPr="00E263B4">
              <w:rPr>
                <w:rFonts w:ascii="Noto Sans" w:hAnsi="Noto Sans" w:cs="Noto Sans"/>
                <w:b/>
                <w:bCs/>
                <w:color w:val="FFFFFF" w:themeColor="background1"/>
                <w:sz w:val="22"/>
                <w:szCs w:val="22"/>
              </w:rPr>
              <w:t>Actividades terciarias</w:t>
            </w:r>
          </w:p>
        </w:tc>
      </w:tr>
      <w:tr w:rsidR="00EE383C" w:rsidRPr="00E263B4" w:rsidTr="00390772">
        <w:tc>
          <w:tcPr>
            <w:tcW w:w="147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4F4F2"/>
          </w:tcPr>
          <w:p w:rsidR="00EE383C" w:rsidRPr="00E263B4" w:rsidRDefault="00EE383C" w:rsidP="00EE383C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 w:rsidRPr="00E263B4">
              <w:rPr>
                <w:rFonts w:ascii="Noto Sans" w:hAnsi="Noto Sans" w:cs="Noto Sans"/>
                <w:sz w:val="22"/>
                <w:szCs w:val="22"/>
              </w:rPr>
              <w:t>Trimestral</w:t>
            </w:r>
          </w:p>
        </w:tc>
        <w:tc>
          <w:tcPr>
            <w:tcW w:w="14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2"/>
          </w:tcPr>
          <w:p w:rsidR="00EE383C" w:rsidRPr="00E263B4" w:rsidRDefault="00EE383C" w:rsidP="00EE383C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 w:rsidRPr="00E263B4">
              <w:rPr>
                <w:rFonts w:ascii="Noto Sans" w:hAnsi="Noto Sans" w:cs="Noto Sans"/>
                <w:sz w:val="22"/>
                <w:szCs w:val="22"/>
              </w:rPr>
              <w:t>Anual</w:t>
            </w:r>
          </w:p>
        </w:tc>
        <w:tc>
          <w:tcPr>
            <w:tcW w:w="14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2"/>
          </w:tcPr>
          <w:p w:rsidR="00EE383C" w:rsidRPr="00E263B4" w:rsidRDefault="00EE383C" w:rsidP="00EE383C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 w:rsidRPr="00E263B4">
              <w:rPr>
                <w:rFonts w:ascii="Noto Sans" w:hAnsi="Noto Sans" w:cs="Noto Sans"/>
                <w:sz w:val="22"/>
                <w:szCs w:val="22"/>
              </w:rPr>
              <w:t>Trimestral</w:t>
            </w:r>
          </w:p>
        </w:tc>
        <w:tc>
          <w:tcPr>
            <w:tcW w:w="14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2"/>
          </w:tcPr>
          <w:p w:rsidR="00EE383C" w:rsidRPr="00E263B4" w:rsidRDefault="00EE383C" w:rsidP="00EE383C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 w:rsidRPr="00E263B4">
              <w:rPr>
                <w:rFonts w:ascii="Noto Sans" w:hAnsi="Noto Sans" w:cs="Noto Sans"/>
                <w:sz w:val="22"/>
                <w:szCs w:val="22"/>
              </w:rPr>
              <w:t>Anual</w:t>
            </w:r>
          </w:p>
        </w:tc>
        <w:tc>
          <w:tcPr>
            <w:tcW w:w="14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2"/>
          </w:tcPr>
          <w:p w:rsidR="00EE383C" w:rsidRPr="00E263B4" w:rsidRDefault="00EE383C" w:rsidP="00EE383C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 w:rsidRPr="00E263B4">
              <w:rPr>
                <w:rFonts w:ascii="Noto Sans" w:hAnsi="Noto Sans" w:cs="Noto Sans"/>
                <w:sz w:val="22"/>
                <w:szCs w:val="22"/>
              </w:rPr>
              <w:t>Trimestral</w:t>
            </w:r>
          </w:p>
        </w:tc>
        <w:tc>
          <w:tcPr>
            <w:tcW w:w="147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4F4F2"/>
          </w:tcPr>
          <w:p w:rsidR="00EE383C" w:rsidRPr="00E263B4" w:rsidRDefault="00EE383C" w:rsidP="00EE383C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 w:rsidRPr="00E263B4">
              <w:rPr>
                <w:rFonts w:ascii="Noto Sans" w:hAnsi="Noto Sans" w:cs="Noto Sans"/>
                <w:sz w:val="22"/>
                <w:szCs w:val="22"/>
              </w:rPr>
              <w:t>Anual</w:t>
            </w:r>
          </w:p>
        </w:tc>
      </w:tr>
      <w:tr w:rsidR="00E263B4" w:rsidRPr="00E263B4" w:rsidTr="00390772">
        <w:trPr>
          <w:trHeight w:val="170"/>
        </w:trPr>
        <w:tc>
          <w:tcPr>
            <w:tcW w:w="1471" w:type="dxa"/>
            <w:tcBorders>
              <w:top w:val="single" w:sz="4" w:space="0" w:color="auto"/>
              <w:right w:val="single" w:sz="4" w:space="0" w:color="auto"/>
            </w:tcBorders>
            <w:shd w:val="clear" w:color="auto" w:fill="F4F4F2"/>
          </w:tcPr>
          <w:p w:rsidR="00E263B4" w:rsidRPr="00E263B4" w:rsidRDefault="00E263B4" w:rsidP="00E263B4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 w:rsidRPr="00E263B4">
              <w:rPr>
                <w:rFonts w:ascii="Arial" w:hAnsi="Arial" w:cs="Arial"/>
                <w:b/>
                <w:color w:val="C00000"/>
                <w:sz w:val="20"/>
              </w:rPr>
              <w:t>▼</w:t>
            </w:r>
            <w:r w:rsidRPr="00E263B4">
              <w:rPr>
                <w:rFonts w:ascii="Noto Sans" w:hAnsi="Noto Sans" w:cs="Noto Sans"/>
                <w:b/>
                <w:color w:val="C00000"/>
                <w:sz w:val="20"/>
              </w:rPr>
              <w:t xml:space="preserve"> -1.7 %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F4F2"/>
          </w:tcPr>
          <w:p w:rsidR="00E263B4" w:rsidRPr="00E263B4" w:rsidRDefault="00E263B4" w:rsidP="00E263B4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 w:rsidRPr="00E263B4">
              <w:rPr>
                <w:rFonts w:ascii="Arial" w:hAnsi="Arial" w:cs="Arial"/>
                <w:b/>
                <w:color w:val="000000"/>
                <w:sz w:val="20"/>
              </w:rPr>
              <w:t>▲</w:t>
            </w:r>
            <w:r w:rsidRPr="00E263B4">
              <w:rPr>
                <w:rFonts w:ascii="Noto Sans" w:hAnsi="Noto Sans" w:cs="Noto Sans"/>
                <w:b/>
                <w:color w:val="000000"/>
                <w:sz w:val="20"/>
              </w:rPr>
              <w:t xml:space="preserve"> 0.3 %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F4F2"/>
          </w:tcPr>
          <w:p w:rsidR="00E263B4" w:rsidRPr="00E263B4" w:rsidRDefault="00E263B4" w:rsidP="00E263B4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 w:rsidRPr="00E263B4">
              <w:rPr>
                <w:rFonts w:ascii="Arial" w:hAnsi="Arial" w:cs="Arial"/>
                <w:b/>
                <w:color w:val="C00000"/>
                <w:sz w:val="20"/>
              </w:rPr>
              <w:t>▼</w:t>
            </w:r>
            <w:r w:rsidRPr="00E263B4">
              <w:rPr>
                <w:rFonts w:ascii="Noto Sans" w:hAnsi="Noto Sans" w:cs="Noto Sans"/>
                <w:b/>
                <w:color w:val="C00000"/>
                <w:sz w:val="20"/>
              </w:rPr>
              <w:t xml:space="preserve"> -1.0 %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F4F2"/>
          </w:tcPr>
          <w:p w:rsidR="00E263B4" w:rsidRPr="00E263B4" w:rsidRDefault="00E263B4" w:rsidP="00E263B4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 w:rsidRPr="00E263B4">
              <w:rPr>
                <w:rFonts w:ascii="Arial" w:hAnsi="Arial" w:cs="Arial"/>
                <w:b/>
                <w:color w:val="C00000"/>
                <w:sz w:val="20"/>
              </w:rPr>
              <w:t>▼</w:t>
            </w:r>
            <w:r w:rsidRPr="00E263B4">
              <w:rPr>
                <w:rFonts w:ascii="Noto Sans" w:hAnsi="Noto Sans" w:cs="Noto Sans"/>
                <w:b/>
                <w:color w:val="C00000"/>
                <w:sz w:val="20"/>
              </w:rPr>
              <w:t xml:space="preserve"> -1.1 %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F4F2"/>
          </w:tcPr>
          <w:p w:rsidR="00E263B4" w:rsidRPr="00E263B4" w:rsidRDefault="00E263B4" w:rsidP="00E263B4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 w:rsidRPr="00E263B4">
              <w:rPr>
                <w:rFonts w:ascii="Arial" w:hAnsi="Arial" w:cs="Arial"/>
                <w:b/>
                <w:color w:val="C00000"/>
                <w:sz w:val="20"/>
              </w:rPr>
              <w:t>▼</w:t>
            </w:r>
            <w:r w:rsidRPr="00E263B4">
              <w:rPr>
                <w:rFonts w:ascii="Noto Sans" w:hAnsi="Noto Sans" w:cs="Noto Sans"/>
                <w:b/>
                <w:color w:val="C00000"/>
                <w:sz w:val="20"/>
              </w:rPr>
              <w:t xml:space="preserve"> -0.4 %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</w:tcBorders>
            <w:shd w:val="clear" w:color="auto" w:fill="F4F4F2"/>
          </w:tcPr>
          <w:p w:rsidR="00E263B4" w:rsidRPr="00E263B4" w:rsidRDefault="00E263B4" w:rsidP="00E263B4">
            <w:pPr>
              <w:jc w:val="center"/>
              <w:rPr>
                <w:rFonts w:ascii="Noto Sans" w:hAnsi="Noto Sans" w:cs="Noto Sans"/>
                <w:sz w:val="22"/>
                <w:szCs w:val="22"/>
              </w:rPr>
            </w:pPr>
            <w:r w:rsidRPr="00E263B4">
              <w:rPr>
                <w:rFonts w:ascii="Arial" w:hAnsi="Arial" w:cs="Arial"/>
                <w:b/>
                <w:color w:val="000000"/>
                <w:sz w:val="20"/>
              </w:rPr>
              <w:t>▲</w:t>
            </w:r>
            <w:r w:rsidRPr="00E263B4">
              <w:rPr>
                <w:rFonts w:ascii="Noto Sans" w:hAnsi="Noto Sans" w:cs="Noto Sans"/>
                <w:b/>
                <w:color w:val="000000"/>
                <w:sz w:val="20"/>
              </w:rPr>
              <w:t xml:space="preserve"> 1.1 %</w:t>
            </w:r>
          </w:p>
        </w:tc>
      </w:tr>
    </w:tbl>
    <w:p w:rsidR="005E4EF1" w:rsidRPr="00863E15" w:rsidRDefault="005E4EF1" w:rsidP="005E4EF1">
      <w:pPr>
        <w:spacing w:after="0" w:line="240" w:lineRule="auto"/>
        <w:rPr>
          <w:rFonts w:ascii="Noto Sans" w:hAnsi="Noto Sans" w:cs="Noto Sans"/>
          <w:sz w:val="22"/>
          <w:szCs w:val="22"/>
        </w:rPr>
      </w:pPr>
    </w:p>
    <w:p w:rsidR="00E263B4" w:rsidRDefault="00E263B4" w:rsidP="00E263B4">
      <w:pPr>
        <w:spacing w:line="240" w:lineRule="auto"/>
        <w:rPr>
          <w:rFonts w:ascii="Noto Sans" w:eastAsia="Noto Sans" w:hAnsi="Noto Sans" w:cs="Noto Sans"/>
          <w:sz w:val="21"/>
          <w:szCs w:val="21"/>
        </w:rPr>
      </w:pPr>
      <w:r w:rsidRPr="00E263B4">
        <w:rPr>
          <w:rFonts w:ascii="Noto Sans" w:eastAsia="Noto Sans" w:hAnsi="Noto Sans" w:cs="Noto Sans"/>
          <w:b/>
          <w:bCs/>
          <w:color w:val="1A1A1A"/>
          <w:sz w:val="22"/>
          <w:szCs w:val="22"/>
        </w:rPr>
        <w:t>El dato definitivo confirma la desaceleración que ya anticipaba el PIB oportuno de abril.</w:t>
      </w:r>
      <w:r w:rsidRPr="00E263B4">
        <w:rPr>
          <w:rFonts w:ascii="Noto Sans" w:eastAsia="Noto Sans" w:hAnsi="Noto Sans" w:cs="Noto Sans"/>
          <w:bCs/>
          <w:color w:val="1A1A1A"/>
          <w:sz w:val="22"/>
          <w:szCs w:val="22"/>
        </w:rPr>
        <w:t xml:space="preserve"> La caída trimestral fue ligeramente menor a la estimada inicialmente, y la contracción se generalizó entre las tres grandes actividades económicas.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4F4F2"/>
        <w:tblLook w:val="04A0" w:firstRow="1" w:lastRow="0" w:firstColumn="1" w:lastColumn="0" w:noHBand="0" w:noVBand="1"/>
      </w:tblPr>
      <w:tblGrid>
        <w:gridCol w:w="8828"/>
      </w:tblGrid>
      <w:tr w:rsidR="00E263B4" w:rsidTr="00E263B4">
        <w:tc>
          <w:tcPr>
            <w:tcW w:w="8828" w:type="dxa"/>
            <w:shd w:val="clear" w:color="auto" w:fill="F4F4F2"/>
          </w:tcPr>
          <w:p w:rsidR="00E263B4" w:rsidRPr="00E263B4" w:rsidRDefault="00E263B4" w:rsidP="00E263B4">
            <w:pPr>
              <w:shd w:val="clear" w:color="auto" w:fill="F4F4F2"/>
              <w:rPr>
                <w:rFonts w:ascii="Noto Sans" w:hAnsi="Noto Sans" w:cs="Noto Sans"/>
                <w:b/>
                <w:bCs/>
                <w:color w:val="10312B"/>
              </w:rPr>
            </w:pPr>
            <w:r w:rsidRPr="00E263B4">
              <w:rPr>
                <w:rFonts w:ascii="Noto Sans" w:hAnsi="Noto Sans" w:cs="Noto Sans"/>
                <w:b/>
                <w:bCs/>
                <w:color w:val="10312B"/>
              </w:rPr>
              <w:t>Resumen ejecutivo</w:t>
            </w:r>
          </w:p>
          <w:p w:rsidR="00E263B4" w:rsidRPr="00E263B4" w:rsidRDefault="00E263B4" w:rsidP="00E263B4">
            <w:pPr>
              <w:pStyle w:val="Prrafodelista"/>
              <w:numPr>
                <w:ilvl w:val="0"/>
                <w:numId w:val="2"/>
              </w:numPr>
              <w:shd w:val="clear" w:color="auto" w:fill="F4F4F2"/>
              <w:spacing w:before="30" w:after="30"/>
              <w:jc w:val="both"/>
              <w:rPr>
                <w:rFonts w:ascii="Noto Sans" w:hAnsi="Noto Sans" w:cs="Noto Sans"/>
                <w:color w:val="000000"/>
                <w:sz w:val="20"/>
              </w:rPr>
            </w:pPr>
            <w:r w:rsidRPr="00E263B4">
              <w:rPr>
                <w:rFonts w:ascii="Noto Sans" w:hAnsi="Noto Sans" w:cs="Noto Sans"/>
                <w:color w:val="000000"/>
                <w:sz w:val="20"/>
              </w:rPr>
              <w:t xml:space="preserve">El PIB disminuyó </w:t>
            </w:r>
            <w:r w:rsidRPr="00E263B4">
              <w:rPr>
                <w:rFonts w:ascii="Noto Sans" w:hAnsi="Noto Sans" w:cs="Noto Sans"/>
                <w:b/>
                <w:color w:val="000000"/>
                <w:sz w:val="20"/>
              </w:rPr>
              <w:t>0.6 % trimestral</w:t>
            </w:r>
            <w:r w:rsidRPr="00E263B4">
              <w:rPr>
                <w:rFonts w:ascii="Noto Sans" w:hAnsi="Noto Sans" w:cs="Noto Sans"/>
                <w:color w:val="000000"/>
                <w:sz w:val="20"/>
              </w:rPr>
              <w:t xml:space="preserve"> en el 1T-2026, con cifras desestacionalizadas, y avanzó </w:t>
            </w:r>
            <w:r w:rsidRPr="00E263B4">
              <w:rPr>
                <w:rFonts w:ascii="Noto Sans" w:hAnsi="Noto Sans" w:cs="Noto Sans"/>
                <w:b/>
                <w:color w:val="000000"/>
                <w:sz w:val="20"/>
              </w:rPr>
              <w:t>0.4 % anual</w:t>
            </w:r>
            <w:r w:rsidRPr="00E263B4">
              <w:rPr>
                <w:rFonts w:ascii="Noto Sans" w:hAnsi="Noto Sans" w:cs="Noto Sans"/>
                <w:color w:val="000000"/>
                <w:sz w:val="20"/>
              </w:rPr>
              <w:t xml:space="preserve"> — ritmo menor al 0.5 % de todo 2025.</w:t>
            </w:r>
          </w:p>
          <w:p w:rsidR="00E263B4" w:rsidRPr="00E263B4" w:rsidRDefault="00E263B4" w:rsidP="00E263B4">
            <w:pPr>
              <w:pStyle w:val="Prrafodelista"/>
              <w:numPr>
                <w:ilvl w:val="0"/>
                <w:numId w:val="2"/>
              </w:numPr>
              <w:shd w:val="clear" w:color="auto" w:fill="F4F4F2"/>
              <w:spacing w:before="30" w:after="30"/>
              <w:jc w:val="both"/>
              <w:rPr>
                <w:rFonts w:ascii="Noto Sans" w:hAnsi="Noto Sans" w:cs="Noto Sans"/>
                <w:color w:val="000000"/>
                <w:sz w:val="20"/>
              </w:rPr>
            </w:pPr>
            <w:r w:rsidRPr="00E263B4">
              <w:rPr>
                <w:rFonts w:ascii="Noto Sans" w:hAnsi="Noto Sans" w:cs="Noto Sans"/>
                <w:color w:val="000000"/>
                <w:sz w:val="20"/>
              </w:rPr>
              <w:t xml:space="preserve">La contracción trimestral fue generalizada: primarias </w:t>
            </w:r>
            <w:r w:rsidRPr="00E263B4">
              <w:rPr>
                <w:rFonts w:ascii="Noto Sans" w:hAnsi="Noto Sans" w:cs="Noto Sans"/>
                <w:b/>
                <w:color w:val="000000"/>
                <w:sz w:val="20"/>
              </w:rPr>
              <w:t>-1.7 %</w:t>
            </w:r>
            <w:r w:rsidRPr="00E263B4">
              <w:rPr>
                <w:rFonts w:ascii="Noto Sans" w:hAnsi="Noto Sans" w:cs="Noto Sans"/>
                <w:color w:val="000000"/>
                <w:sz w:val="20"/>
              </w:rPr>
              <w:t xml:space="preserve">, secundarias </w:t>
            </w:r>
            <w:r w:rsidRPr="00E263B4">
              <w:rPr>
                <w:rFonts w:ascii="Noto Sans" w:hAnsi="Noto Sans" w:cs="Noto Sans"/>
                <w:b/>
                <w:color w:val="000000"/>
                <w:sz w:val="20"/>
              </w:rPr>
              <w:t>-1.0 %</w:t>
            </w:r>
            <w:r w:rsidRPr="00E263B4">
              <w:rPr>
                <w:rFonts w:ascii="Noto Sans" w:hAnsi="Noto Sans" w:cs="Noto Sans"/>
                <w:color w:val="000000"/>
                <w:sz w:val="20"/>
              </w:rPr>
              <w:t xml:space="preserve"> y terciarias </w:t>
            </w:r>
            <w:r w:rsidRPr="00E263B4">
              <w:rPr>
                <w:rFonts w:ascii="Noto Sans" w:hAnsi="Noto Sans" w:cs="Noto Sans"/>
                <w:b/>
                <w:color w:val="000000"/>
                <w:sz w:val="20"/>
              </w:rPr>
              <w:t>-0.4 %</w:t>
            </w:r>
            <w:r w:rsidRPr="00E263B4">
              <w:rPr>
                <w:rFonts w:ascii="Noto Sans" w:hAnsi="Noto Sans" w:cs="Noto Sans"/>
                <w:color w:val="000000"/>
                <w:sz w:val="20"/>
              </w:rPr>
              <w:t>; a tasa anual, el crecimiento se sostuvo por las terciarias mientras las secundarias permanecieron negativas (</w:t>
            </w:r>
            <w:r w:rsidRPr="00E263B4">
              <w:rPr>
                <w:rFonts w:ascii="Noto Sans" w:hAnsi="Noto Sans" w:cs="Noto Sans"/>
                <w:b/>
                <w:color w:val="000000"/>
                <w:sz w:val="20"/>
              </w:rPr>
              <w:t>-1.1 %</w:t>
            </w:r>
            <w:r w:rsidRPr="00E263B4">
              <w:rPr>
                <w:rFonts w:ascii="Noto Sans" w:hAnsi="Noto Sans" w:cs="Noto Sans"/>
                <w:color w:val="000000"/>
                <w:sz w:val="20"/>
              </w:rPr>
              <w:t>).</w:t>
            </w:r>
          </w:p>
          <w:p w:rsidR="00E263B4" w:rsidRPr="00E263B4" w:rsidRDefault="00E263B4" w:rsidP="00E263B4">
            <w:pPr>
              <w:pStyle w:val="Prrafodelista"/>
              <w:numPr>
                <w:ilvl w:val="0"/>
                <w:numId w:val="2"/>
              </w:numPr>
              <w:shd w:val="clear" w:color="auto" w:fill="F4F4F2"/>
              <w:spacing w:before="30" w:after="30"/>
              <w:jc w:val="both"/>
              <w:rPr>
                <w:rFonts w:ascii="Noto Sans" w:hAnsi="Noto Sans" w:cs="Noto Sans"/>
              </w:rPr>
            </w:pPr>
            <w:r w:rsidRPr="00E263B4">
              <w:rPr>
                <w:rFonts w:ascii="Noto Sans" w:hAnsi="Noto Sans" w:cs="Noto Sans"/>
                <w:color w:val="000000"/>
                <w:sz w:val="20"/>
              </w:rPr>
              <w:t xml:space="preserve">Las industrias manufactureras acumulan </w:t>
            </w:r>
            <w:r w:rsidRPr="00E263B4">
              <w:rPr>
                <w:rFonts w:ascii="Noto Sans" w:hAnsi="Noto Sans" w:cs="Noto Sans"/>
                <w:b/>
                <w:color w:val="000000"/>
                <w:sz w:val="20"/>
              </w:rPr>
              <w:t>cuatro trimestres consecutivos</w:t>
            </w:r>
            <w:r w:rsidRPr="00E263B4">
              <w:rPr>
                <w:rFonts w:ascii="Noto Sans" w:hAnsi="Noto Sans" w:cs="Noto Sans"/>
                <w:color w:val="000000"/>
                <w:sz w:val="20"/>
              </w:rPr>
              <w:t xml:space="preserve"> de contracción anual, con una caída de </w:t>
            </w:r>
            <w:r w:rsidRPr="00E263B4">
              <w:rPr>
                <w:rFonts w:ascii="Noto Sans" w:hAnsi="Noto Sans" w:cs="Noto Sans"/>
                <w:b/>
                <w:color w:val="000000"/>
                <w:sz w:val="20"/>
              </w:rPr>
              <w:t>2.0 %</w:t>
            </w:r>
            <w:r w:rsidRPr="00E263B4">
              <w:rPr>
                <w:rFonts w:ascii="Noto Sans" w:hAnsi="Noto Sans" w:cs="Noto Sans"/>
                <w:color w:val="000000"/>
                <w:sz w:val="20"/>
              </w:rPr>
              <w:t xml:space="preserve"> en el 1T-2026 — la señal más relevante para la agenda de política industrial y nearshoring.</w:t>
            </w:r>
          </w:p>
        </w:tc>
      </w:tr>
    </w:tbl>
    <w:p w:rsidR="00E263B4" w:rsidRPr="00863E15" w:rsidRDefault="00E263B4" w:rsidP="00863E15">
      <w:pPr>
        <w:keepNext/>
        <w:spacing w:after="0"/>
        <w:jc w:val="both"/>
        <w:rPr>
          <w:rFonts w:ascii="Noto Sans" w:hAnsi="Noto Sans" w:cs="Noto Sans"/>
          <w:b/>
          <w:color w:val="000000" w:themeColor="text1"/>
          <w:sz w:val="22"/>
          <w:szCs w:val="22"/>
        </w:rPr>
      </w:pPr>
    </w:p>
    <w:p w:rsidR="00E263B4" w:rsidRPr="00863E15" w:rsidRDefault="00E263B4" w:rsidP="00863E15">
      <w:pPr>
        <w:keepNext/>
        <w:spacing w:after="0" w:line="240" w:lineRule="auto"/>
        <w:jc w:val="center"/>
        <w:rPr>
          <w:rFonts w:ascii="Noto Sans" w:hAnsi="Noto Sans" w:cs="Noto Sans"/>
          <w:b/>
          <w:color w:val="10312B"/>
          <w:sz w:val="22"/>
          <w:szCs w:val="22"/>
        </w:rPr>
      </w:pPr>
      <w:r w:rsidRPr="00863E15">
        <w:rPr>
          <w:rFonts w:ascii="Noto Sans" w:hAnsi="Noto Sans" w:cs="Noto Sans"/>
          <w:b/>
          <w:color w:val="10312B"/>
          <w:sz w:val="22"/>
          <w:szCs w:val="22"/>
        </w:rPr>
        <w:t>Variación trimestral del PIB, cifras desestacionalizadas, 1T-2021 a 1T-2026</w:t>
      </w:r>
    </w:p>
    <w:p w:rsidR="00863E15" w:rsidRDefault="00E263B4" w:rsidP="00863E15">
      <w:pPr>
        <w:spacing w:line="240" w:lineRule="auto"/>
        <w:jc w:val="center"/>
        <w:rPr>
          <w:rFonts w:ascii="Noto Sans" w:hAnsi="Noto Sans" w:cs="Noto Sans"/>
          <w:color w:val="10312B"/>
          <w:sz w:val="22"/>
          <w:szCs w:val="22"/>
        </w:rPr>
      </w:pPr>
      <w:r>
        <w:rPr>
          <w:noProof/>
        </w:rPr>
        <w:drawing>
          <wp:inline distT="0" distB="0" distL="0" distR="0">
            <wp:extent cx="4937760" cy="16650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a1_v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66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3B4" w:rsidRDefault="00863E15" w:rsidP="00863E15">
      <w:pPr>
        <w:spacing w:after="0" w:line="240" w:lineRule="auto"/>
        <w:jc w:val="both"/>
        <w:rPr>
          <w:rFonts w:ascii="Noto Sans" w:hAnsi="Noto Sans" w:cs="Noto Sans"/>
          <w:color w:val="10312B"/>
          <w:sz w:val="22"/>
          <w:szCs w:val="22"/>
        </w:rPr>
      </w:pPr>
      <w:r w:rsidRPr="00E263B4">
        <w:rPr>
          <w:rFonts w:ascii="Noto Sans" w:hAnsi="Noto Sans" w:cs="Noto Sans"/>
          <w:color w:val="10312B"/>
          <w:sz w:val="22"/>
          <w:szCs w:val="22"/>
        </w:rPr>
        <w:t>El PIB retrocedió 0.6 % en el 1T-2026, tras crecer 0.7 % en el trimestre previo: es la tercera caída trimestral aislada del periodo 2021-2026, sin encadenar todavía dos retrocesos consecutivos.</w:t>
      </w:r>
    </w:p>
    <w:p w:rsidR="0032641C" w:rsidRDefault="0032641C" w:rsidP="00863E15">
      <w:pPr>
        <w:spacing w:after="0" w:line="240" w:lineRule="auto"/>
        <w:jc w:val="both"/>
        <w:rPr>
          <w:rFonts w:ascii="Noto Sans" w:hAnsi="Noto Sans" w:cs="Noto Sans"/>
          <w:color w:val="10312B"/>
          <w:sz w:val="22"/>
          <w:szCs w:val="22"/>
        </w:rPr>
      </w:pPr>
    </w:p>
    <w:p w:rsidR="00863E15" w:rsidRPr="00863E15" w:rsidRDefault="00863E15" w:rsidP="00863E15">
      <w:pPr>
        <w:shd w:val="clear" w:color="auto" w:fill="005E4C"/>
        <w:spacing w:after="0" w:line="240" w:lineRule="auto"/>
        <w:jc w:val="both"/>
        <w:rPr>
          <w:rFonts w:ascii="Noto Sans" w:hAnsi="Noto Sans" w:cs="Noto Sans"/>
          <w:b/>
          <w:bCs/>
          <w:color w:val="FFFFFF" w:themeColor="background1"/>
          <w:sz w:val="22"/>
          <w:szCs w:val="22"/>
        </w:rPr>
      </w:pPr>
      <w:r w:rsidRPr="00863E15">
        <w:rPr>
          <w:rFonts w:ascii="Noto Sans" w:hAnsi="Noto Sans" w:cs="Noto Sans"/>
          <w:b/>
          <w:bCs/>
          <w:color w:val="FFFFFF" w:themeColor="background1"/>
          <w:sz w:val="22"/>
          <w:szCs w:val="22"/>
        </w:rPr>
        <w:t>Análisis</w:t>
      </w:r>
    </w:p>
    <w:p w:rsidR="00863E15" w:rsidRPr="00863E15" w:rsidRDefault="00863E15" w:rsidP="00863E15">
      <w:pPr>
        <w:pStyle w:val="pdq2pgselectionanchorcontainer"/>
        <w:numPr>
          <w:ilvl w:val="0"/>
          <w:numId w:val="5"/>
        </w:numPr>
        <w:spacing w:before="0" w:beforeAutospacing="0" w:after="0" w:afterAutospacing="0"/>
        <w:jc w:val="both"/>
        <w:rPr>
          <w:rFonts w:ascii="Noto Sans" w:hAnsi="Noto Sans" w:cs="Noto Sans"/>
          <w:color w:val="000000"/>
          <w:sz w:val="22"/>
          <w:szCs w:val="22"/>
          <w:lang w:eastAsia="es-MX"/>
        </w:rPr>
      </w:pPr>
      <w:r>
        <w:rPr>
          <w:rFonts w:ascii="Noto Sans" w:hAnsi="Noto Sans" w:cs="Noto Sans"/>
          <w:color w:val="000000"/>
          <w:sz w:val="22"/>
          <w:szCs w:val="22"/>
          <w:lang w:eastAsia="es-MX"/>
        </w:rPr>
        <w:t xml:space="preserve">La caída trimestral de las tres grandes actividades muestra un </w:t>
      </w:r>
      <w:r>
        <w:rPr>
          <w:rFonts w:ascii="Noto Sans" w:hAnsi="Noto Sans" w:cs="Noto Sans"/>
          <w:b/>
          <w:color w:val="000000"/>
          <w:sz w:val="22"/>
          <w:szCs w:val="22"/>
          <w:lang w:eastAsia="es-MX"/>
        </w:rPr>
        <w:t>enfriamiento amplio</w:t>
      </w:r>
      <w:r>
        <w:rPr>
          <w:rFonts w:ascii="Noto Sans" w:hAnsi="Noto Sans" w:cs="Noto Sans"/>
          <w:color w:val="000000"/>
          <w:sz w:val="22"/>
          <w:szCs w:val="22"/>
          <w:lang w:eastAsia="es-MX"/>
        </w:rPr>
        <w:t>, no un ajuste concentrado en un sector; conviene dar seguimiento al 2T-2026 para descartar una contracción técnica.</w:t>
      </w:r>
    </w:p>
    <w:p w:rsidR="00863E15" w:rsidRPr="00863E15" w:rsidRDefault="00863E15" w:rsidP="00863E15">
      <w:pPr>
        <w:pStyle w:val="pdq2pgselectionanchorcontainer"/>
        <w:numPr>
          <w:ilvl w:val="0"/>
          <w:numId w:val="5"/>
        </w:numPr>
        <w:spacing w:before="0" w:beforeAutospacing="0" w:after="0" w:afterAutospacing="0"/>
        <w:jc w:val="both"/>
        <w:rPr>
          <w:rFonts w:ascii="Noto Sans" w:hAnsi="Noto Sans" w:cs="Noto Sans"/>
          <w:color w:val="000000"/>
          <w:sz w:val="22"/>
          <w:szCs w:val="22"/>
          <w:lang w:eastAsia="es-MX"/>
        </w:rPr>
      </w:pPr>
      <w:r w:rsidRPr="00863E15">
        <w:rPr>
          <w:rFonts w:ascii="Noto Sans" w:hAnsi="Noto Sans" w:cs="Noto Sans"/>
          <w:color w:val="000000"/>
          <w:sz w:val="22"/>
          <w:szCs w:val="22"/>
        </w:rPr>
        <w:t xml:space="preserve">La señal más relevante viene de </w:t>
      </w:r>
      <w:r w:rsidRPr="00863E15">
        <w:rPr>
          <w:rFonts w:ascii="Noto Sans" w:hAnsi="Noto Sans" w:cs="Noto Sans"/>
          <w:b/>
          <w:color w:val="000000"/>
          <w:sz w:val="22"/>
          <w:szCs w:val="22"/>
        </w:rPr>
        <w:t>manufacturas</w:t>
      </w:r>
      <w:r w:rsidRPr="00863E15">
        <w:rPr>
          <w:rFonts w:ascii="Noto Sans" w:hAnsi="Noto Sans" w:cs="Noto Sans"/>
          <w:color w:val="000000"/>
          <w:sz w:val="22"/>
          <w:szCs w:val="22"/>
        </w:rPr>
        <w:t>, que acumulan cuatro trimestres consecutivos en terreno negativo (-2.0 % en el 1T-2026) — ocurre en paralelo al esfuerzo de atracción de inversión por nearshoring, lo que amerita distinguir entre ciclo de inventarios y pérdida de competitividad.</w:t>
      </w:r>
    </w:p>
    <w:p w:rsidR="00863E15" w:rsidRPr="00863E15" w:rsidRDefault="00863E15" w:rsidP="00863E15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="Noto Sans" w:hAnsi="Noto Sans" w:cs="Noto Sans"/>
          <w:color w:val="000000"/>
          <w:sz w:val="22"/>
          <w:szCs w:val="22"/>
        </w:rPr>
      </w:pPr>
      <w:r w:rsidRPr="00863E15">
        <w:rPr>
          <w:rFonts w:ascii="Noto Sans" w:hAnsi="Noto Sans" w:cs="Noto Sans"/>
          <w:color w:val="000000"/>
          <w:sz w:val="22"/>
          <w:szCs w:val="22"/>
        </w:rPr>
        <w:t>Construcción también cayó en términos anuales (</w:t>
      </w:r>
      <w:r w:rsidRPr="00863E15">
        <w:rPr>
          <w:rFonts w:ascii="Noto Sans" w:hAnsi="Noto Sans" w:cs="Noto Sans"/>
          <w:b/>
          <w:color w:val="000000"/>
          <w:sz w:val="22"/>
          <w:szCs w:val="22"/>
        </w:rPr>
        <w:t>-0.7 %</w:t>
      </w:r>
      <w:r w:rsidRPr="00863E15">
        <w:rPr>
          <w:rFonts w:ascii="Noto Sans" w:hAnsi="Noto Sans" w:cs="Noto Sans"/>
          <w:color w:val="000000"/>
          <w:sz w:val="22"/>
          <w:szCs w:val="22"/>
        </w:rPr>
        <w:t>), tras el repunte de +4.1 % en el 4T-2025 — señal de una recuperación todavía irregular en la inversión de infraestructura.</w:t>
      </w:r>
    </w:p>
    <w:p w:rsidR="00863E15" w:rsidRDefault="00863E15" w:rsidP="00863E15">
      <w:pPr>
        <w:keepNext/>
        <w:spacing w:after="0" w:line="240" w:lineRule="auto"/>
        <w:jc w:val="both"/>
        <w:rPr>
          <w:rFonts w:ascii="Noto Sans" w:hAnsi="Noto Sans" w:cs="Noto Sans"/>
          <w:b/>
          <w:color w:val="000000" w:themeColor="text1"/>
          <w:sz w:val="22"/>
          <w:szCs w:val="22"/>
        </w:rPr>
      </w:pPr>
    </w:p>
    <w:p w:rsidR="00863E15" w:rsidRPr="00863E15" w:rsidRDefault="00863E15" w:rsidP="00863E15">
      <w:pPr>
        <w:keepNext/>
        <w:spacing w:after="0" w:line="240" w:lineRule="auto"/>
        <w:jc w:val="center"/>
        <w:rPr>
          <w:rFonts w:ascii="Noto Sans" w:hAnsi="Noto Sans" w:cs="Noto Sans"/>
          <w:color w:val="000000" w:themeColor="text1"/>
          <w:sz w:val="22"/>
          <w:szCs w:val="22"/>
        </w:rPr>
      </w:pPr>
      <w:r w:rsidRPr="00863E15">
        <w:rPr>
          <w:rFonts w:ascii="Noto Sans" w:hAnsi="Noto Sans" w:cs="Noto Sans"/>
          <w:b/>
          <w:color w:val="10312B"/>
          <w:sz w:val="22"/>
          <w:szCs w:val="22"/>
        </w:rPr>
        <w:t>Variación anual por sector, cifras originales, 1T-2026</w:t>
      </w:r>
    </w:p>
    <w:p w:rsidR="00863E15" w:rsidRDefault="00863E15" w:rsidP="00863E15">
      <w:pPr>
        <w:spacing w:after="0" w:line="240" w:lineRule="auto"/>
        <w:jc w:val="center"/>
        <w:rPr>
          <w:rFonts w:ascii="Noto Sans" w:hAnsi="Noto Sans" w:cs="Noto Sans"/>
          <w:color w:val="4C545B"/>
          <w:sz w:val="22"/>
          <w:szCs w:val="22"/>
        </w:rPr>
      </w:pPr>
      <w:r>
        <w:rPr>
          <w:noProof/>
        </w:rPr>
        <w:drawing>
          <wp:inline distT="0" distB="0" distL="0" distR="0">
            <wp:extent cx="4937760" cy="17721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a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77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E15" w:rsidRPr="00863E15" w:rsidRDefault="00863E15" w:rsidP="00863E15">
      <w:pPr>
        <w:keepNext/>
        <w:spacing w:after="0" w:line="240" w:lineRule="auto"/>
        <w:jc w:val="both"/>
        <w:rPr>
          <w:rFonts w:ascii="Noto Sans" w:hAnsi="Noto Sans" w:cs="Noto Sans"/>
          <w:color w:val="10312B"/>
          <w:sz w:val="22"/>
          <w:szCs w:val="22"/>
        </w:rPr>
      </w:pPr>
      <w:r w:rsidRPr="00863E15">
        <w:rPr>
          <w:rFonts w:ascii="Noto Sans" w:hAnsi="Noto Sans" w:cs="Noto Sans"/>
          <w:color w:val="10312B"/>
          <w:sz w:val="22"/>
          <w:szCs w:val="22"/>
        </w:rPr>
        <w:t>Las mayores alzas se observaron en salud, minería y esparcimiento; entre las caídas destaca manufacturas, por su peso en la producción de bienes y las exportaciones.</w:t>
      </w:r>
    </w:p>
    <w:p w:rsidR="00863E15" w:rsidRPr="00863E15" w:rsidRDefault="00863E15" w:rsidP="00863E15">
      <w:pPr>
        <w:spacing w:after="0" w:line="240" w:lineRule="auto"/>
        <w:rPr>
          <w:rFonts w:ascii="Noto Sans" w:hAnsi="Noto Sans" w:cs="Noto Sans"/>
          <w:color w:val="4C545B"/>
          <w:sz w:val="22"/>
          <w:szCs w:val="22"/>
        </w:rPr>
      </w:pPr>
    </w:p>
    <w:p w:rsidR="00863E15" w:rsidRPr="00863E15" w:rsidRDefault="00863E15" w:rsidP="00863E15">
      <w:pPr>
        <w:shd w:val="clear" w:color="auto" w:fill="005E4C"/>
        <w:spacing w:after="0" w:line="240" w:lineRule="auto"/>
        <w:jc w:val="both"/>
        <w:rPr>
          <w:rFonts w:ascii="Noto Sans" w:hAnsi="Noto Sans" w:cs="Noto Sans"/>
          <w:b/>
          <w:bCs/>
          <w:color w:val="FFFFFF" w:themeColor="background1"/>
          <w:sz w:val="22"/>
          <w:szCs w:val="22"/>
        </w:rPr>
      </w:pPr>
      <w:r w:rsidRPr="00863E15">
        <w:rPr>
          <w:rFonts w:ascii="Noto Sans" w:hAnsi="Noto Sans" w:cs="Noto Sans"/>
          <w:b/>
          <w:bCs/>
          <w:color w:val="FFFFFF" w:themeColor="background1"/>
          <w:sz w:val="22"/>
          <w:szCs w:val="22"/>
        </w:rPr>
        <w:t>Implicaciones</w:t>
      </w:r>
    </w:p>
    <w:p w:rsidR="00863E15" w:rsidRPr="00863E15" w:rsidRDefault="00863E15" w:rsidP="00863E15">
      <w:pPr>
        <w:spacing w:after="0" w:line="240" w:lineRule="auto"/>
        <w:jc w:val="both"/>
        <w:rPr>
          <w:rFonts w:ascii="Noto Sans" w:hAnsi="Noto Sans" w:cs="Noto Sans"/>
          <w:sz w:val="22"/>
          <w:szCs w:val="22"/>
        </w:rPr>
      </w:pPr>
      <w:r w:rsidRPr="00863E15">
        <w:rPr>
          <w:rFonts w:ascii="Noto Sans" w:hAnsi="Noto Sans" w:cs="Noto Sans"/>
          <w:sz w:val="22"/>
          <w:szCs w:val="22"/>
        </w:rPr>
        <w:t xml:space="preserve">El dato del 1T-2026 confirma una desaceleración amplia, sin configurar aún una recesión técnica: la caída trimestral fue generalizada y el crecimiento anual de 0.4 % depende sobre todo de servicios. Conviene contrastar la debilidad de manufacturas con inversión, IED, pedidos manufactureros y exportaciones, para distinguir un factor temporal de una pérdida estructural de competitividad. El INEGI publicará el siguiente dato del PIBT el </w:t>
      </w:r>
      <w:r w:rsidRPr="00863E15">
        <w:rPr>
          <w:rFonts w:ascii="Noto Sans" w:hAnsi="Noto Sans" w:cs="Noto Sans"/>
          <w:b/>
          <w:sz w:val="22"/>
          <w:szCs w:val="22"/>
        </w:rPr>
        <w:t>24 de agosto de 2026</w:t>
      </w:r>
      <w:r w:rsidRPr="00863E15">
        <w:rPr>
          <w:rFonts w:ascii="Noto Sans" w:hAnsi="Noto Sans" w:cs="Noto Sans"/>
          <w:sz w:val="22"/>
          <w:szCs w:val="22"/>
        </w:rPr>
        <w:t>; hasta entonces, el mensaje debe ser prudente sobre la fortaleza real de la producción de bienes.</w:t>
      </w:r>
    </w:p>
    <w:p w:rsidR="00863E15" w:rsidRDefault="00863E15" w:rsidP="00863E15">
      <w:pPr>
        <w:spacing w:after="0" w:line="240" w:lineRule="auto"/>
        <w:jc w:val="both"/>
        <w:rPr>
          <w:rFonts w:ascii="Arial" w:hAnsi="Arial"/>
          <w:color w:val="4C545B"/>
          <w:sz w:val="15"/>
        </w:rPr>
      </w:pPr>
    </w:p>
    <w:p w:rsidR="00863E15" w:rsidRDefault="00863E15" w:rsidP="00863E15">
      <w:pPr>
        <w:spacing w:after="0" w:line="240" w:lineRule="auto"/>
        <w:jc w:val="both"/>
        <w:rPr>
          <w:rFonts w:ascii="Arial" w:hAnsi="Arial"/>
          <w:color w:val="4C545B"/>
          <w:sz w:val="15"/>
        </w:rPr>
      </w:pPr>
      <w:bookmarkStart w:id="0" w:name="_GoBack"/>
      <w:bookmarkEnd w:id="0"/>
    </w:p>
    <w:p w:rsidR="00863E15" w:rsidRPr="00863E15" w:rsidRDefault="00863E15" w:rsidP="00863E15">
      <w:pPr>
        <w:spacing w:after="0" w:line="240" w:lineRule="auto"/>
        <w:jc w:val="both"/>
        <w:rPr>
          <w:rFonts w:ascii="Noto Sans" w:eastAsia="Noto Sans" w:hAnsi="Noto Sans" w:cs="Noto Sans"/>
          <w:sz w:val="21"/>
          <w:szCs w:val="21"/>
        </w:rPr>
      </w:pPr>
      <w:r>
        <w:rPr>
          <w:rFonts w:ascii="Arial" w:hAnsi="Arial"/>
          <w:color w:val="4C545B"/>
          <w:sz w:val="15"/>
        </w:rPr>
        <w:t>Fuente: INEGI. Sistema de Cuentas Nacionales de México (SCNM). Producto Interno Bruto Trimestral (PIBT), Boletín de Indicador 295/26, 22 de mayo de 2026 (cifras preliminares del primer trimestre de 2026).</w:t>
      </w:r>
    </w:p>
    <w:sectPr w:rsidR="00863E15" w:rsidRPr="00863E15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0962" w:rsidRDefault="005C0962" w:rsidP="005E4EF1">
      <w:pPr>
        <w:spacing w:after="0" w:line="240" w:lineRule="auto"/>
      </w:pPr>
      <w:r>
        <w:separator/>
      </w:r>
    </w:p>
  </w:endnote>
  <w:endnote w:type="continuationSeparator" w:id="0">
    <w:p w:rsidR="005C0962" w:rsidRDefault="005C0962" w:rsidP="005E4E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Noto Sans">
    <w:altName w:val="Calibri"/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3E15" w:rsidRDefault="00863E15">
    <w:pPr>
      <w:pStyle w:val="Piedepgina"/>
      <w:rPr>
        <w:noProof/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1312" behindDoc="1" locked="0" layoutInCell="1" allowOverlap="1" wp14:anchorId="163ED61F" wp14:editId="6F37EF7C">
          <wp:simplePos x="0" y="0"/>
          <wp:positionH relativeFrom="page">
            <wp:posOffset>-121920</wp:posOffset>
          </wp:positionH>
          <wp:positionV relativeFrom="paragraph">
            <wp:posOffset>-45085</wp:posOffset>
          </wp:positionV>
          <wp:extent cx="7894873" cy="1293628"/>
          <wp:effectExtent l="0" t="0" r="0" b="1905"/>
          <wp:wrapNone/>
          <wp:docPr id="441815502" name="Imagen 1" descr="Imagen que contiene Aplicación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7835576" name="Imagen 1" descr="Imagen que contiene Aplicación  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39"/>
                  <a:stretch>
                    <a:fillRect/>
                  </a:stretch>
                </pic:blipFill>
                <pic:spPr bwMode="auto">
                  <a:xfrm>
                    <a:off x="0" y="0"/>
                    <a:ext cx="7894873" cy="12936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63E15" w:rsidRDefault="00863E15">
    <w:pPr>
      <w:pStyle w:val="Piedepgina"/>
      <w:rPr>
        <w:noProof/>
        <w:color w:val="000000"/>
      </w:rPr>
    </w:pPr>
  </w:p>
  <w:p w:rsidR="00863E15" w:rsidRDefault="00863E1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0962" w:rsidRDefault="005C0962" w:rsidP="005E4EF1">
      <w:pPr>
        <w:spacing w:after="0" w:line="240" w:lineRule="auto"/>
      </w:pPr>
      <w:r>
        <w:separator/>
      </w:r>
    </w:p>
  </w:footnote>
  <w:footnote w:type="continuationSeparator" w:id="0">
    <w:p w:rsidR="005C0962" w:rsidRDefault="005C0962" w:rsidP="005E4E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E4EF1" w:rsidRDefault="005E4EF1">
    <w:pPr>
      <w:pStyle w:val="Encabezado"/>
      <w:rPr>
        <w:noProof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232A0099" wp14:editId="70D9951A">
          <wp:simplePos x="0" y="0"/>
          <wp:positionH relativeFrom="page">
            <wp:posOffset>19050</wp:posOffset>
          </wp:positionH>
          <wp:positionV relativeFrom="paragraph">
            <wp:posOffset>-440902</wp:posOffset>
          </wp:positionV>
          <wp:extent cx="7753939" cy="1257300"/>
          <wp:effectExtent l="0" t="0" r="0" b="0"/>
          <wp:wrapNone/>
          <wp:docPr id="1637245364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16596"/>
                  <a:stretch>
                    <a:fillRect/>
                  </a:stretch>
                </pic:blipFill>
                <pic:spPr>
                  <a:xfrm>
                    <a:off x="0" y="0"/>
                    <a:ext cx="7753939" cy="1257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5E4EF1" w:rsidRDefault="005E4EF1">
    <w:pPr>
      <w:pStyle w:val="Encabezado"/>
      <w:rPr>
        <w:noProof/>
      </w:rPr>
    </w:pPr>
  </w:p>
  <w:p w:rsidR="005E4EF1" w:rsidRDefault="005E4EF1">
    <w:pPr>
      <w:pStyle w:val="Encabezado"/>
    </w:pPr>
  </w:p>
  <w:p w:rsidR="005E4EF1" w:rsidRDefault="005E4EF1" w:rsidP="005E4EF1">
    <w:pPr>
      <w:pStyle w:val="Encabezado"/>
      <w:ind w:left="-426"/>
      <w:rPr>
        <w:rFonts w:ascii="Noto Sans" w:hAnsi="Noto Sans" w:cs="Noto Sans"/>
        <w:b/>
        <w:bCs/>
        <w:sz w:val="20"/>
        <w:szCs w:val="20"/>
      </w:rPr>
    </w:pPr>
    <w:r w:rsidRPr="005E4EF1">
      <w:rPr>
        <w:rFonts w:ascii="Noto Sans" w:hAnsi="Noto Sans" w:cs="Noto Sans"/>
        <w:b/>
        <w:bCs/>
        <w:sz w:val="20"/>
        <w:szCs w:val="20"/>
      </w:rPr>
      <w:t xml:space="preserve">  Subsecretaría de Industria y Comercio</w:t>
    </w:r>
  </w:p>
  <w:p w:rsidR="005E4EF1" w:rsidRPr="005E4EF1" w:rsidRDefault="005E4EF1" w:rsidP="005E4EF1">
    <w:pPr>
      <w:pStyle w:val="Encabezado"/>
      <w:ind w:left="-426"/>
      <w:rPr>
        <w:rFonts w:ascii="Noto Sans" w:hAnsi="Noto Sans" w:cs="Noto Sans"/>
        <w:b/>
        <w:bCs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A07DA"/>
    <w:multiLevelType w:val="hybridMultilevel"/>
    <w:tmpl w:val="C9881CB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2E6AF9"/>
    <w:multiLevelType w:val="hybridMultilevel"/>
    <w:tmpl w:val="47145E4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AD523C"/>
    <w:multiLevelType w:val="hybridMultilevel"/>
    <w:tmpl w:val="3CDE8794"/>
    <w:lvl w:ilvl="0" w:tplc="AC36181E">
      <w:numFmt w:val="bullet"/>
      <w:lvlText w:val="•"/>
      <w:lvlJc w:val="left"/>
      <w:pPr>
        <w:ind w:left="864" w:hanging="360"/>
      </w:pPr>
      <w:rPr>
        <w:rFonts w:ascii="Arial" w:eastAsia="Times New Roman" w:hAnsi="Arial" w:cs="Arial" w:hint="default"/>
        <w:sz w:val="20"/>
        <w:szCs w:val="2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E01880"/>
    <w:multiLevelType w:val="hybridMultilevel"/>
    <w:tmpl w:val="BD62FC74"/>
    <w:lvl w:ilvl="0" w:tplc="AC36181E">
      <w:numFmt w:val="bullet"/>
      <w:lvlText w:val="•"/>
      <w:lvlJc w:val="left"/>
      <w:pPr>
        <w:ind w:left="864" w:hanging="360"/>
      </w:pPr>
      <w:rPr>
        <w:rFonts w:ascii="Arial" w:eastAsia="Times New Roman" w:hAnsi="Arial" w:cs="Arial" w:hint="default"/>
        <w:sz w:val="20"/>
        <w:szCs w:val="20"/>
      </w:rPr>
    </w:lvl>
    <w:lvl w:ilvl="1" w:tplc="040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39860191"/>
    <w:multiLevelType w:val="hybridMultilevel"/>
    <w:tmpl w:val="7A3CF6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EF1"/>
    <w:rsid w:val="002B4C10"/>
    <w:rsid w:val="0032641C"/>
    <w:rsid w:val="00381629"/>
    <w:rsid w:val="00390772"/>
    <w:rsid w:val="005C0962"/>
    <w:rsid w:val="005E4EF1"/>
    <w:rsid w:val="00863E15"/>
    <w:rsid w:val="00C84342"/>
    <w:rsid w:val="00D35FB2"/>
    <w:rsid w:val="00DB1DF0"/>
    <w:rsid w:val="00E263B4"/>
    <w:rsid w:val="00EE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A5CF5"/>
  <w15:chartTrackingRefBased/>
  <w15:docId w15:val="{9104A20B-CAB9-4A91-9DE6-4CAF6BEE6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4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4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4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4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4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4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4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4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4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4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4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4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4E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4E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4E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4E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4E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4E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4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4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4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4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4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4E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4E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4E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4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4E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4EF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E4E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4EF1"/>
  </w:style>
  <w:style w:type="paragraph" w:styleId="Piedepgina">
    <w:name w:val="footer"/>
    <w:basedOn w:val="Normal"/>
    <w:link w:val="PiedepginaCar"/>
    <w:uiPriority w:val="99"/>
    <w:unhideWhenUsed/>
    <w:rsid w:val="005E4E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4EF1"/>
  </w:style>
  <w:style w:type="table" w:styleId="Tablaconcuadrcula">
    <w:name w:val="Table Grid"/>
    <w:basedOn w:val="Tablanormal"/>
    <w:uiPriority w:val="39"/>
    <w:rsid w:val="005E4E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63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863E15"/>
    <w:rPr>
      <w:b/>
      <w:bCs/>
    </w:rPr>
  </w:style>
  <w:style w:type="paragraph" w:customStyle="1" w:styleId="pdq2pgselectionanchorcontainer">
    <w:name w:val="pdq2pg_selectionanchorcontainer"/>
    <w:basedOn w:val="Normal"/>
    <w:rsid w:val="00863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C73354-401C-9A44-8576-6FC51F712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494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Fabiola Alejandra Abreu Iris</dc:creator>
  <cp:keywords/>
  <dc:description/>
  <cp:lastModifiedBy>maria eugenia garcia macias</cp:lastModifiedBy>
  <cp:revision>2</cp:revision>
  <dcterms:created xsi:type="dcterms:W3CDTF">2026-07-15T17:45:00Z</dcterms:created>
  <dcterms:modified xsi:type="dcterms:W3CDTF">2026-07-15T19:12:00Z</dcterms:modified>
</cp:coreProperties>
</file>