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10312B"/>
        <w:tblLook w:val="04A0" w:firstRow="1" w:lastRow="0" w:firstColumn="1" w:lastColumn="0" w:noHBand="0" w:noVBand="1"/>
      </w:tblPr>
      <w:tblGrid>
        <w:gridCol w:w="5524"/>
      </w:tblGrid>
      <w:tr w:rsidR="0078735F" w:rsidRPr="008B5571" w:rsidTr="00116F66">
        <w:tc>
          <w:tcPr>
            <w:tcW w:w="5524" w:type="dxa"/>
            <w:shd w:val="clear" w:color="auto" w:fill="10312B"/>
          </w:tcPr>
          <w:p w:rsidR="0078735F" w:rsidRPr="008B5571" w:rsidRDefault="0078735F" w:rsidP="00116F66">
            <w:pP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</w:pP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Boletín de Indicador del </w:t>
            </w:r>
            <w:r w:rsidR="005F7998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>27</w:t>
            </w: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 de </w:t>
            </w:r>
            <w:r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>agosto</w:t>
            </w:r>
            <w:r w:rsidRPr="008B5571">
              <w:rPr>
                <w:rFonts w:ascii="Noto Sans" w:hAnsi="Noto Sans" w:cs="Noto Sans"/>
                <w:b/>
                <w:bCs/>
                <w:color w:val="FFFFFF" w:themeColor="background1"/>
                <w:sz w:val="20"/>
                <w:lang w:val="es-ES"/>
              </w:rPr>
              <w:t xml:space="preserve"> de 2026 | INEGI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00"/>
        <w:gridCol w:w="1682"/>
        <w:gridCol w:w="632"/>
        <w:gridCol w:w="1050"/>
        <w:gridCol w:w="1682"/>
        <w:gridCol w:w="1682"/>
      </w:tblGrid>
      <w:tr w:rsidR="00B95E6E">
        <w:tc>
          <w:tcPr>
            <w:tcW w:w="88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A95502" w:rsidRDefault="003E5182" w:rsidP="00A95502">
            <w:pPr>
              <w:spacing w:before="60"/>
              <w:jc w:val="center"/>
              <w:rPr>
                <w:rFonts w:ascii="Noto Sans" w:hAnsi="Noto Sans" w:cs="Noto Sans"/>
                <w:color w:val="FFFFFF"/>
                <w:sz w:val="17"/>
              </w:rPr>
            </w:pPr>
            <w:r>
              <w:rPr>
                <w:rFonts w:ascii="Noto Sans" w:hAnsi="Noto Sans" w:cs="Noto Sans"/>
                <w:color w:val="FFFFFF"/>
                <w:sz w:val="17"/>
              </w:rPr>
              <w:t xml:space="preserve">Balanza Comercial de Mercancías de México (BCMM) · INEGI </w:t>
            </w:r>
          </w:p>
          <w:p w:rsidR="00B95E6E" w:rsidRDefault="003E5182" w:rsidP="00A95502">
            <w:pPr>
              <w:spacing w:before="60"/>
              <w:jc w:val="center"/>
            </w:pPr>
            <w:r>
              <w:rPr>
                <w:rFonts w:ascii="Noto Sans" w:hAnsi="Noto Sans" w:cs="Noto Sans"/>
                <w:b/>
                <w:color w:val="FFFFFF"/>
                <w:sz w:val="28"/>
              </w:rPr>
              <w:t>Comercio exterior de México · Julio 2026</w:t>
            </w:r>
          </w:p>
        </w:tc>
      </w:tr>
      <w:tr w:rsidR="00B95E6E">
        <w:trPr>
          <w:trHeight w:val="950"/>
        </w:trPr>
        <w:tc>
          <w:tcPr>
            <w:tcW w:w="4414" w:type="dxa"/>
            <w:gridSpan w:val="3"/>
            <w:tcBorders>
              <w:bottom w:val="single" w:sz="4" w:space="0" w:color="auto"/>
            </w:tcBorders>
            <w:shd w:val="clear" w:color="auto" w:fill="611232"/>
            <w:vAlign w:val="center"/>
          </w:tcPr>
          <w:p w:rsidR="00B95E6E" w:rsidRDefault="003E5182">
            <w:pPr>
              <w:spacing w:before="80"/>
              <w:jc w:val="center"/>
            </w:pPr>
            <w:r>
              <w:rPr>
                <w:rFonts w:ascii="Noto Sans" w:hAnsi="Noto Sans" w:cs="Noto Sans"/>
                <w:b/>
                <w:color w:val="FFFFFF"/>
                <w:sz w:val="15"/>
              </w:rPr>
              <w:t>SALDO COMERCIAL · JULIO 2026</w:t>
            </w:r>
          </w:p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48"/>
              </w:rPr>
              <w:t>-$848 mdd</w:t>
            </w:r>
          </w:p>
          <w:p w:rsidR="00B95E6E" w:rsidRDefault="003E5182">
            <w:pPr>
              <w:spacing w:after="80"/>
              <w:jc w:val="center"/>
            </w:pPr>
            <w:r>
              <w:rPr>
                <w:rFonts w:ascii="Noto Sans" w:hAnsi="Noto Sans" w:cs="Noto Sans"/>
                <w:color w:val="FFFFFF"/>
                <w:sz w:val="13"/>
              </w:rPr>
              <w:t>Déficit; vs. +$4,060 mdd en junio</w:t>
            </w:r>
          </w:p>
        </w:tc>
        <w:tc>
          <w:tcPr>
            <w:tcW w:w="4414" w:type="dxa"/>
            <w:gridSpan w:val="3"/>
            <w:tcBorders>
              <w:bottom w:val="single" w:sz="4" w:space="0" w:color="auto"/>
            </w:tcBorders>
            <w:shd w:val="clear" w:color="auto" w:fill="F4F4F2"/>
            <w:vAlign w:val="center"/>
          </w:tcPr>
          <w:p w:rsidR="00B95E6E" w:rsidRDefault="003E5182">
            <w:pPr>
              <w:spacing w:before="80"/>
              <w:jc w:val="center"/>
            </w:pPr>
            <w:r>
              <w:rPr>
                <w:rFonts w:ascii="Noto Sans" w:hAnsi="Noto Sans" w:cs="Noto Sans"/>
                <w:b/>
                <w:color w:val="8C8C8C"/>
                <w:sz w:val="15"/>
              </w:rPr>
              <w:t>SALDO COMERCIAL · ACUMULADO ENE-JUL</w:t>
            </w:r>
          </w:p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006341"/>
                <w:sz w:val="48"/>
              </w:rPr>
              <w:t>+$9,255 mdd</w:t>
            </w:r>
          </w:p>
          <w:p w:rsidR="00B95E6E" w:rsidRDefault="003E5182">
            <w:pPr>
              <w:spacing w:after="80"/>
              <w:jc w:val="center"/>
            </w:pPr>
            <w:r>
              <w:rPr>
                <w:rFonts w:ascii="Noto Sans" w:hAnsi="Noto Sans" w:cs="Noto Sans"/>
                <w:color w:val="4C545B"/>
                <w:sz w:val="13"/>
              </w:rPr>
              <w:t>vs. $1,176 mdd en el mismo periodo de 2025</w:t>
            </w:r>
          </w:p>
        </w:tc>
      </w:tr>
      <w:tr w:rsidR="00B95E6E">
        <w:tblPrEx>
          <w:tblCellMar>
            <w:top w:w="6" w:type="dxa"/>
            <w:left w:w="80" w:type="dxa"/>
            <w:bottom w:w="6" w:type="dxa"/>
            <w:right w:w="80" w:type="dxa"/>
          </w:tblCellMar>
        </w:tblPrEx>
        <w:tc>
          <w:tcPr>
            <w:tcW w:w="2100" w:type="dxa"/>
            <w:shd w:val="clear" w:color="auto" w:fill="10312B"/>
          </w:tcPr>
          <w:p w:rsidR="00B95E6E" w:rsidRDefault="00B95E6E">
            <w:pPr>
              <w:jc w:val="center"/>
            </w:pPr>
          </w:p>
        </w:tc>
        <w:tc>
          <w:tcPr>
            <w:tcW w:w="3364" w:type="dxa"/>
            <w:gridSpan w:val="3"/>
            <w:shd w:val="clear" w:color="auto" w:fill="235B4C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15"/>
              </w:rPr>
              <w:t>EXPORTACIONES</w:t>
            </w:r>
          </w:p>
        </w:tc>
        <w:tc>
          <w:tcPr>
            <w:tcW w:w="3364" w:type="dxa"/>
            <w:gridSpan w:val="2"/>
            <w:shd w:val="clear" w:color="auto" w:fill="235B4C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15"/>
              </w:rPr>
              <w:t>IMPORTACIONES</w:t>
            </w:r>
          </w:p>
        </w:tc>
      </w:tr>
      <w:tr w:rsidR="00B95E6E">
        <w:tblPrEx>
          <w:tblCellMar>
            <w:top w:w="6" w:type="dxa"/>
            <w:left w:w="80" w:type="dxa"/>
            <w:bottom w:w="6" w:type="dxa"/>
            <w:right w:w="80" w:type="dxa"/>
          </w:tblCellMar>
        </w:tblPrEx>
        <w:tc>
          <w:tcPr>
            <w:tcW w:w="2100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10312B"/>
                <w:sz w:val="13"/>
              </w:rPr>
              <w:t>Periodo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10312B"/>
                <w:sz w:val="13"/>
              </w:rPr>
              <w:t>mdd</w:t>
            </w:r>
          </w:p>
        </w:tc>
        <w:tc>
          <w:tcPr>
            <w:tcW w:w="1682" w:type="dxa"/>
            <w:gridSpan w:val="2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10312B"/>
                <w:sz w:val="13"/>
              </w:rPr>
              <w:t>Var. anual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10312B"/>
                <w:sz w:val="13"/>
              </w:rPr>
              <w:t>mdd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10312B"/>
                <w:sz w:val="13"/>
              </w:rPr>
              <w:t>Var. anual</w:t>
            </w:r>
          </w:p>
        </w:tc>
      </w:tr>
      <w:tr w:rsidR="00B95E6E">
        <w:tblPrEx>
          <w:tblCellMar>
            <w:top w:w="6" w:type="dxa"/>
            <w:left w:w="80" w:type="dxa"/>
            <w:bottom w:w="6" w:type="dxa"/>
            <w:right w:w="80" w:type="dxa"/>
          </w:tblCellMar>
        </w:tblPrEx>
        <w:tc>
          <w:tcPr>
            <w:tcW w:w="2100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0312B"/>
                <w:sz w:val="16"/>
              </w:rPr>
              <w:t>Julio 2026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000000"/>
                <w:sz w:val="16"/>
              </w:rPr>
              <w:t>81,420.0</w:t>
            </w:r>
          </w:p>
        </w:tc>
        <w:tc>
          <w:tcPr>
            <w:tcW w:w="1682" w:type="dxa"/>
            <w:gridSpan w:val="2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E6E5C"/>
                <w:sz w:val="16"/>
              </w:rPr>
              <w:t>▲ +43.7 %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000000"/>
                <w:sz w:val="16"/>
              </w:rPr>
              <w:t>82,267.6</w:t>
            </w:r>
          </w:p>
        </w:tc>
        <w:tc>
          <w:tcPr>
            <w:tcW w:w="1682" w:type="dxa"/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E6E5C"/>
                <w:sz w:val="16"/>
              </w:rPr>
              <w:t>▲ +45.0 %</w:t>
            </w:r>
          </w:p>
        </w:tc>
      </w:tr>
      <w:tr w:rsidR="00B95E6E">
        <w:tblPrEx>
          <w:tblCellMar>
            <w:top w:w="6" w:type="dxa"/>
            <w:left w:w="80" w:type="dxa"/>
            <w:bottom w:w="6" w:type="dxa"/>
            <w:right w:w="80" w:type="dxa"/>
          </w:tblCellMar>
        </w:tblPrEx>
        <w:tc>
          <w:tcPr>
            <w:tcW w:w="2100" w:type="dxa"/>
            <w:tcBorders>
              <w:top w:val="single" w:sz="4" w:space="0" w:color="C8C8C8"/>
            </w:tcBorders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0312B"/>
                <w:sz w:val="16"/>
              </w:rPr>
              <w:t>Acumulado ene-jul</w:t>
            </w:r>
          </w:p>
        </w:tc>
        <w:tc>
          <w:tcPr>
            <w:tcW w:w="1682" w:type="dxa"/>
            <w:tcBorders>
              <w:top w:val="single" w:sz="4" w:space="0" w:color="C8C8C8"/>
            </w:tcBorders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000000"/>
                <w:sz w:val="16"/>
              </w:rPr>
              <w:t>471,387.1</w:t>
            </w:r>
          </w:p>
        </w:tc>
        <w:tc>
          <w:tcPr>
            <w:tcW w:w="1682" w:type="dxa"/>
            <w:gridSpan w:val="2"/>
            <w:tcBorders>
              <w:top w:val="single" w:sz="4" w:space="0" w:color="C8C8C8"/>
            </w:tcBorders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E6E5C"/>
                <w:sz w:val="16"/>
              </w:rPr>
              <w:t>▲ +27.7 %</w:t>
            </w:r>
          </w:p>
        </w:tc>
        <w:tc>
          <w:tcPr>
            <w:tcW w:w="1682" w:type="dxa"/>
            <w:tcBorders>
              <w:top w:val="single" w:sz="4" w:space="0" w:color="C8C8C8"/>
            </w:tcBorders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b/>
                <w:color w:val="000000"/>
                <w:sz w:val="16"/>
              </w:rPr>
              <w:t>462,132.2</w:t>
            </w:r>
          </w:p>
        </w:tc>
        <w:tc>
          <w:tcPr>
            <w:tcW w:w="1682" w:type="dxa"/>
            <w:tcBorders>
              <w:top w:val="single" w:sz="4" w:space="0" w:color="C8C8C8"/>
            </w:tcBorders>
            <w:shd w:val="clear" w:color="auto" w:fill="F4F4F2"/>
          </w:tcPr>
          <w:p w:rsidR="00B95E6E" w:rsidRDefault="003E5182">
            <w:pPr>
              <w:jc w:val="center"/>
            </w:pPr>
            <w:r>
              <w:rPr>
                <w:rFonts w:ascii="Noto Sans" w:hAnsi="Noto Sans" w:cs="Noto Sans"/>
                <w:color w:val="1E6E5C"/>
                <w:sz w:val="16"/>
              </w:rPr>
              <w:t>▲ +25.6 %</w:t>
            </w:r>
          </w:p>
        </w:tc>
      </w:tr>
    </w:tbl>
    <w:p w:rsidR="00B95E6E" w:rsidRPr="00A313E4" w:rsidRDefault="006753CB" w:rsidP="006753CB">
      <w:pPr>
        <w:jc w:val="both"/>
        <w:rPr>
          <w:rFonts w:ascii="Noto Sans" w:hAnsi="Noto Sans" w:cs="Noto Sans"/>
          <w:color w:val="808080" w:themeColor="background1" w:themeShade="80"/>
          <w:sz w:val="10"/>
        </w:rPr>
      </w:pPr>
      <w:r w:rsidRPr="006753CB">
        <w:rPr>
          <w:rFonts w:ascii="Noto Sans" w:hAnsi="Noto Sans" w:cs="Noto Sans"/>
          <w:color w:val="808080" w:themeColor="background1" w:themeShade="80"/>
          <w:sz w:val="16"/>
        </w:rPr>
        <w:t xml:space="preserve">Nota: La BCMM se elabora principalmente con registros administrativos de los pedimentos aduanales, que registran las operaciones de entrada y salida de mercancías del territorio nacional. </w:t>
      </w:r>
    </w:p>
    <w:p w:rsidR="00B95E6E" w:rsidRPr="00A313E4" w:rsidRDefault="00B06C84">
      <w:pPr>
        <w:spacing w:before="40"/>
        <w:jc w:val="both"/>
      </w:pPr>
      <w:r w:rsidRPr="00B06C84">
        <w:rPr>
          <w:rFonts w:ascii="Noto Sans" w:hAnsi="Noto Sans" w:cs="Noto Sans"/>
          <w:color w:val="000000"/>
          <w:sz w:val="22"/>
        </w:rPr>
        <w:t>En julio, el comercio exterior mantuvo un elevado dinamismo, con avances tanto en exportaciones como en importaciones. El saldo mensual fue deficitario, mientras que en el acumulado enero-julio la balanza comercial permaneció superavitaria</w:t>
      </w:r>
      <w:r w:rsidR="00A313E4" w:rsidRPr="00A313E4">
        <w:rPr>
          <w:rFonts w:ascii="Noto Sans" w:hAnsi="Noto Sans" w:cs="Noto Sans"/>
          <w:color w:val="000000"/>
          <w:sz w:val="22"/>
        </w:rPr>
        <w:t>.</w:t>
      </w:r>
    </w:p>
    <w:p w:rsidR="00B95E6E" w:rsidRPr="00A313E4" w:rsidRDefault="00B95E6E">
      <w:pPr>
        <w:rPr>
          <w:rFonts w:ascii="Noto Sans" w:hAnsi="Noto Sans" w:cs="Noto Sans"/>
          <w:sz w:val="11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828"/>
      </w:tblGrid>
      <w:tr w:rsidR="00B95E6E">
        <w:tc>
          <w:tcPr>
            <w:tcW w:w="8828" w:type="dxa"/>
            <w:shd w:val="clear" w:color="auto" w:fill="F4F4F2"/>
          </w:tcPr>
          <w:p w:rsidR="00B95E6E" w:rsidRDefault="003E5182">
            <w:pPr>
              <w:spacing w:before="80"/>
            </w:pPr>
            <w:r>
              <w:rPr>
                <w:rFonts w:ascii="Noto Sans" w:hAnsi="Noto Sans" w:cs="Noto Sans"/>
                <w:b/>
                <w:color w:val="10312B"/>
                <w:sz w:val="22"/>
              </w:rPr>
              <w:t>Resumen ejecutivo</w:t>
            </w:r>
          </w:p>
          <w:p w:rsidR="00A95502" w:rsidRPr="00A95502" w:rsidRDefault="00A95502" w:rsidP="00A95502">
            <w:pPr>
              <w:pStyle w:val="Prrafodelista"/>
              <w:numPr>
                <w:ilvl w:val="0"/>
                <w:numId w:val="39"/>
              </w:numPr>
              <w:spacing w:before="60" w:after="30"/>
              <w:ind w:left="315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A95502">
              <w:rPr>
                <w:rFonts w:ascii="Noto Sans" w:hAnsi="Noto Sans" w:cs="Noto Sans"/>
                <w:color w:val="000000"/>
                <w:sz w:val="22"/>
              </w:rPr>
              <w:t>Entre los componentes exportadores destacaron las manufacturas, con un crecimiento anual de 45.7%; a su interior, las no automotrices aumentaron 64.9% y las automotrices 2.4%.</w:t>
            </w:r>
          </w:p>
          <w:p w:rsidR="00A95502" w:rsidRPr="00A95502" w:rsidRDefault="00EC38C2" w:rsidP="00A95502">
            <w:pPr>
              <w:pStyle w:val="Prrafodelista"/>
              <w:numPr>
                <w:ilvl w:val="0"/>
                <w:numId w:val="39"/>
              </w:numPr>
              <w:spacing w:before="60" w:after="30"/>
              <w:ind w:left="315"/>
              <w:jc w:val="both"/>
              <w:rPr>
                <w:rFonts w:ascii="Noto Sans" w:hAnsi="Noto Sans" w:cs="Noto Sans"/>
                <w:color w:val="000000"/>
                <w:sz w:val="22"/>
              </w:rPr>
            </w:pPr>
            <w:r w:rsidRPr="00EC38C2">
              <w:rPr>
                <w:rFonts w:ascii="Noto Sans" w:hAnsi="Noto Sans" w:cs="Noto Sans"/>
                <w:color w:val="000000"/>
                <w:sz w:val="22"/>
              </w:rPr>
              <w:t>Las exportaciones no petroleras dirigidas a Estados Unidos —</w:t>
            </w:r>
            <w:r w:rsidR="00402FB7">
              <w:t xml:space="preserve"> </w:t>
            </w:r>
            <w:r w:rsidR="00402FB7" w:rsidRPr="00402FB7">
              <w:rPr>
                <w:rFonts w:ascii="Noto Sans" w:hAnsi="Noto Sans" w:cs="Noto Sans"/>
                <w:color w:val="000000"/>
                <w:sz w:val="22"/>
              </w:rPr>
              <w:t>que representaron 84.5% de las exportaciones no petroleras acumuladas entre enero y julio</w:t>
            </w:r>
            <w:r w:rsidRPr="00EC38C2">
              <w:rPr>
                <w:rFonts w:ascii="Noto Sans" w:hAnsi="Noto Sans" w:cs="Noto Sans"/>
                <w:color w:val="000000"/>
                <w:sz w:val="22"/>
              </w:rPr>
              <w:t>— aumentaron 49.8% anual en julio, frente a 21.0% de las canalizadas al resto del mundo</w:t>
            </w:r>
            <w:r w:rsidR="00A95502" w:rsidRPr="00A95502">
              <w:rPr>
                <w:rFonts w:ascii="Noto Sans" w:hAnsi="Noto Sans" w:cs="Noto Sans"/>
                <w:color w:val="000000"/>
                <w:sz w:val="22"/>
              </w:rPr>
              <w:t>.</w:t>
            </w:r>
          </w:p>
          <w:p w:rsidR="00B95E6E" w:rsidRDefault="00A95502" w:rsidP="00A95502">
            <w:pPr>
              <w:pStyle w:val="Prrafodelista"/>
              <w:numPr>
                <w:ilvl w:val="0"/>
                <w:numId w:val="39"/>
              </w:numPr>
              <w:spacing w:before="60" w:after="60"/>
              <w:ind w:left="315"/>
              <w:jc w:val="both"/>
            </w:pPr>
            <w:r w:rsidRPr="00A95502">
              <w:rPr>
                <w:rFonts w:ascii="Noto Sans" w:hAnsi="Noto Sans" w:cs="Noto Sans"/>
                <w:color w:val="000000"/>
                <w:sz w:val="22"/>
              </w:rPr>
              <w:t>Por el lado de las importaciones, los bienes intermedios crecieron 56.3% anual y los bienes de capital 9.9%</w:t>
            </w:r>
            <w:r w:rsidR="00E50A7C">
              <w:rPr>
                <w:rFonts w:ascii="Noto Sans" w:hAnsi="Noto Sans" w:cs="Noto Sans"/>
                <w:color w:val="000000"/>
                <w:sz w:val="22"/>
              </w:rPr>
              <w:t>.</w:t>
            </w:r>
            <w:bookmarkStart w:id="0" w:name="_GoBack"/>
            <w:bookmarkEnd w:id="0"/>
          </w:p>
        </w:tc>
      </w:tr>
    </w:tbl>
    <w:p w:rsidR="00B95E6E" w:rsidRPr="00240CB7" w:rsidRDefault="00B95E6E">
      <w:pPr>
        <w:rPr>
          <w:rFonts w:ascii="Noto Sans" w:hAnsi="Noto Sans" w:cs="Noto Sans"/>
          <w:sz w:val="13"/>
        </w:rPr>
      </w:pPr>
    </w:p>
    <w:p w:rsidR="00B95E6E" w:rsidRDefault="00A95502">
      <w:pPr>
        <w:spacing w:before="30" w:after="12"/>
        <w:jc w:val="center"/>
        <w:rPr>
          <w:rFonts w:ascii="Noto Sans" w:hAnsi="Noto Sans" w:cs="Noto Sans"/>
          <w:b/>
          <w:color w:val="10312B"/>
          <w:sz w:val="22"/>
        </w:rPr>
      </w:pPr>
      <w:r w:rsidRPr="00A95502">
        <w:rPr>
          <w:rFonts w:ascii="Noto Sans" w:hAnsi="Noto Sans" w:cs="Noto Sans"/>
          <w:b/>
          <w:color w:val="10312B"/>
          <w:sz w:val="22"/>
        </w:rPr>
        <w:t>Variación anual de los principales componentes del comercio exterior</w:t>
      </w:r>
    </w:p>
    <w:tbl>
      <w:tblPr>
        <w:tblW w:w="88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1528"/>
        <w:gridCol w:w="1897"/>
      </w:tblGrid>
      <w:tr w:rsidR="00A95502" w:rsidRPr="00A95502" w:rsidTr="00A95502">
        <w:trPr>
          <w:trHeight w:val="227"/>
          <w:tblHeader/>
          <w:tblCellSpacing w:w="15" w:type="dxa"/>
        </w:trPr>
        <w:tc>
          <w:tcPr>
            <w:tcW w:w="0" w:type="auto"/>
            <w:shd w:val="clear" w:color="auto" w:fill="225B4C"/>
            <w:vAlign w:val="center"/>
            <w:hideMark/>
          </w:tcPr>
          <w:p w:rsidR="00A95502" w:rsidRPr="00A95502" w:rsidRDefault="00A95502" w:rsidP="00A95502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  <w:t>Concepto</w:t>
            </w:r>
          </w:p>
        </w:tc>
        <w:tc>
          <w:tcPr>
            <w:tcW w:w="0" w:type="auto"/>
            <w:shd w:val="clear" w:color="auto" w:fill="225B4C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  <w:t>Julio 2026</w:t>
            </w:r>
          </w:p>
        </w:tc>
        <w:tc>
          <w:tcPr>
            <w:tcW w:w="0" w:type="auto"/>
            <w:shd w:val="clear" w:color="auto" w:fill="225B4C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color w:val="FFFFFF" w:themeColor="background1"/>
                <w:sz w:val="16"/>
              </w:rPr>
              <w:t>Ene-jul 2026</w:t>
            </w:r>
          </w:p>
        </w:tc>
      </w:tr>
      <w:tr w:rsidR="00A95502" w:rsidRPr="00A95502" w:rsidTr="00A95502">
        <w:trPr>
          <w:trHeight w:val="227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sz w:val="16"/>
              </w:rPr>
              <w:t>Exportaciones manufactureras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color w:val="225B4C"/>
                <w:sz w:val="16"/>
              </w:rPr>
              <w:t>+45.7%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sz w:val="16"/>
              </w:rPr>
              <w:t>+28.9%</w:t>
            </w:r>
          </w:p>
        </w:tc>
      </w:tr>
      <w:tr w:rsidR="00A95502" w:rsidRPr="00A95502" w:rsidTr="00A95502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Automotrices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color w:val="225B4C"/>
                <w:sz w:val="16"/>
              </w:rPr>
              <w:t>+2.4%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+1.2%</w:t>
            </w:r>
          </w:p>
        </w:tc>
      </w:tr>
      <w:tr w:rsidR="00A95502" w:rsidRPr="00A95502" w:rsidTr="00A95502">
        <w:trPr>
          <w:trHeight w:val="24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No automotrices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color w:val="225B4C"/>
                <w:sz w:val="16"/>
              </w:rPr>
              <w:t>+64.9%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+42.2%</w:t>
            </w:r>
          </w:p>
        </w:tc>
      </w:tr>
      <w:tr w:rsidR="00A95502" w:rsidRPr="00A95502" w:rsidTr="00A95502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sz w:val="16"/>
              </w:rPr>
              <w:t>Importaciones: bienes intermedios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color w:val="225B4C"/>
                <w:sz w:val="16"/>
              </w:rPr>
              <w:t>+56.3%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b/>
                <w:bCs/>
                <w:sz w:val="16"/>
              </w:rPr>
              <w:t>+31.2%</w:t>
            </w:r>
          </w:p>
        </w:tc>
      </w:tr>
      <w:tr w:rsidR="00A95502" w:rsidRPr="00A95502" w:rsidTr="00A95502">
        <w:trPr>
          <w:trHeight w:val="240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Bienes de consumo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color w:val="225B4C"/>
                <w:sz w:val="16"/>
              </w:rPr>
              <w:t>+9.8%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+9.8%</w:t>
            </w:r>
          </w:p>
        </w:tc>
      </w:tr>
      <w:tr w:rsidR="00A95502" w:rsidRPr="00A95502" w:rsidTr="00A95502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Bienes de capital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color w:val="225B4C"/>
                <w:sz w:val="16"/>
              </w:rPr>
            </w:pPr>
            <w:r w:rsidRPr="00A95502">
              <w:rPr>
                <w:rFonts w:ascii="Noto Sans" w:hAnsi="Noto Sans" w:cs="Noto Sans"/>
                <w:color w:val="225B4C"/>
                <w:sz w:val="16"/>
              </w:rPr>
              <w:t>+9.9%</w:t>
            </w:r>
          </w:p>
        </w:tc>
        <w:tc>
          <w:tcPr>
            <w:tcW w:w="0" w:type="auto"/>
            <w:vAlign w:val="center"/>
            <w:hideMark/>
          </w:tcPr>
          <w:p w:rsidR="00A95502" w:rsidRPr="00A95502" w:rsidRDefault="00A95502" w:rsidP="00A95502">
            <w:pPr>
              <w:jc w:val="right"/>
              <w:rPr>
                <w:rFonts w:ascii="Noto Sans" w:hAnsi="Noto Sans" w:cs="Noto Sans"/>
                <w:sz w:val="16"/>
              </w:rPr>
            </w:pPr>
            <w:r w:rsidRPr="00A95502">
              <w:rPr>
                <w:rFonts w:ascii="Noto Sans" w:hAnsi="Noto Sans" w:cs="Noto Sans"/>
                <w:sz w:val="16"/>
              </w:rPr>
              <w:t>+2.5%</w:t>
            </w:r>
          </w:p>
        </w:tc>
      </w:tr>
    </w:tbl>
    <w:p w:rsidR="00A95502" w:rsidRPr="00A95502" w:rsidRDefault="00A95502" w:rsidP="00A95502">
      <w:pPr>
        <w:spacing w:before="30" w:after="12"/>
        <w:rPr>
          <w:rFonts w:ascii="Noto Sans" w:hAnsi="Noto Sans" w:cs="Noto Sans"/>
          <w:color w:val="808080" w:themeColor="background1" w:themeShade="80"/>
          <w:sz w:val="16"/>
        </w:rPr>
      </w:pPr>
      <w:r w:rsidRPr="00A95502">
        <w:rPr>
          <w:rFonts w:ascii="Noto Sans" w:hAnsi="Noto Sans" w:cs="Noto Sans"/>
          <w:color w:val="808080" w:themeColor="background1" w:themeShade="80"/>
          <w:sz w:val="16"/>
        </w:rPr>
        <w:t>Nota: variación porcentual anual. Cifras julio de 2026.</w:t>
      </w:r>
    </w:p>
    <w:p w:rsidR="00B95E6E" w:rsidRDefault="00B95E6E">
      <w:pPr>
        <w:spacing w:before="20"/>
      </w:pPr>
    </w:p>
    <w:tbl>
      <w:tblPr>
        <w:tblW w:w="8845" w:type="dxa"/>
        <w:tblLayout w:type="fixed"/>
        <w:tblLook w:val="04A0" w:firstRow="1" w:lastRow="0" w:firstColumn="1" w:lastColumn="0" w:noHBand="0" w:noVBand="1"/>
      </w:tblPr>
      <w:tblGrid>
        <w:gridCol w:w="4414"/>
        <w:gridCol w:w="3382"/>
        <w:gridCol w:w="1032"/>
        <w:gridCol w:w="17"/>
      </w:tblGrid>
      <w:tr w:rsidR="00B95E6E" w:rsidTr="00EC38C2">
        <w:trPr>
          <w:gridAfter w:val="1"/>
          <w:wAfter w:w="17" w:type="dxa"/>
        </w:trPr>
        <w:tc>
          <w:tcPr>
            <w:tcW w:w="4414" w:type="dxa"/>
          </w:tcPr>
          <w:p w:rsidR="00B95E6E" w:rsidRDefault="003E5182">
            <w:pPr>
              <w:spacing w:before="40" w:after="40"/>
              <w:jc w:val="center"/>
            </w:pPr>
            <w:r>
              <w:rPr>
                <w:rFonts w:ascii="Noto Sans" w:hAnsi="Noto Sans" w:cs="Noto Sans"/>
                <w:noProof/>
                <w:color w:val="000000"/>
                <w:sz w:val="1"/>
              </w:rPr>
              <w:lastRenderedPageBreak/>
              <w:drawing>
                <wp:inline distT="0" distB="0" distL="0" distR="0">
                  <wp:extent cx="2606040" cy="1507387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_saldo_mensu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0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  <w:gridSpan w:val="2"/>
          </w:tcPr>
          <w:p w:rsidR="00B95E6E" w:rsidRDefault="003E5182">
            <w:pPr>
              <w:spacing w:before="40" w:after="40"/>
              <w:jc w:val="center"/>
            </w:pPr>
            <w:r>
              <w:rPr>
                <w:rFonts w:ascii="Noto Sans" w:hAnsi="Noto Sans" w:cs="Noto Sans"/>
                <w:noProof/>
                <w:color w:val="000000"/>
                <w:sz w:val="1"/>
              </w:rPr>
              <w:drawing>
                <wp:inline distT="0" distB="0" distL="0" distR="0">
                  <wp:extent cx="2606040" cy="15057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rt_exp_imp_mensu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50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8C2" w:rsidTr="00EC38C2">
        <w:trPr>
          <w:gridAfter w:val="1"/>
          <w:wAfter w:w="17" w:type="dxa"/>
        </w:trPr>
        <w:tc>
          <w:tcPr>
            <w:tcW w:w="4414" w:type="dxa"/>
          </w:tcPr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</w:tc>
        <w:tc>
          <w:tcPr>
            <w:tcW w:w="4414" w:type="dxa"/>
            <w:gridSpan w:val="2"/>
          </w:tcPr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</w:tc>
      </w:tr>
      <w:tr w:rsidR="00EC38C2" w:rsidTr="00EC38C2">
        <w:trPr>
          <w:gridAfter w:val="1"/>
          <w:wAfter w:w="17" w:type="dxa"/>
        </w:trPr>
        <w:tc>
          <w:tcPr>
            <w:tcW w:w="4414" w:type="dxa"/>
          </w:tcPr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</w:tc>
        <w:tc>
          <w:tcPr>
            <w:tcW w:w="4414" w:type="dxa"/>
            <w:gridSpan w:val="2"/>
          </w:tcPr>
          <w:p w:rsidR="00EC38C2" w:rsidRDefault="00EC38C2">
            <w:pPr>
              <w:spacing w:before="40" w:after="40"/>
              <w:jc w:val="center"/>
              <w:rPr>
                <w:rFonts w:ascii="Noto Sans" w:hAnsi="Noto Sans" w:cs="Noto Sans"/>
                <w:noProof/>
                <w:color w:val="000000"/>
                <w:sz w:val="1"/>
              </w:rPr>
            </w:pPr>
          </w:p>
        </w:tc>
      </w:tr>
      <w:tr w:rsidR="00EC38C2" w:rsidRPr="00EC38C2" w:rsidTr="00EC38C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/>
          <w:tblHeader/>
          <w:tblCellSpacing w:w="15" w:type="dxa"/>
        </w:trPr>
        <w:tc>
          <w:tcPr>
            <w:tcW w:w="7796" w:type="dxa"/>
            <w:gridSpan w:val="2"/>
            <w:shd w:val="clear" w:color="auto" w:fill="225B4D"/>
            <w:vAlign w:val="center"/>
            <w:hideMark/>
          </w:tcPr>
          <w:p w:rsidR="00EC38C2" w:rsidRPr="00EC38C2" w:rsidRDefault="00EC38C2" w:rsidP="00EC38C2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EC38C2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Estructura del comercio exterior · enero-julio 2026</w:t>
            </w:r>
          </w:p>
        </w:tc>
        <w:tc>
          <w:tcPr>
            <w:tcW w:w="959" w:type="dxa"/>
            <w:gridSpan w:val="2"/>
            <w:shd w:val="clear" w:color="auto" w:fill="225B4D"/>
            <w:vAlign w:val="center"/>
            <w:hideMark/>
          </w:tcPr>
          <w:p w:rsidR="00EC38C2" w:rsidRPr="00EC38C2" w:rsidRDefault="00EC38C2" w:rsidP="00EC38C2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</w:p>
        </w:tc>
      </w:tr>
      <w:tr w:rsidR="00EC38C2" w:rsidRPr="00EC38C2" w:rsidTr="00EC38C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2"/>
          <w:tblCellSpacing w:w="15" w:type="dxa"/>
        </w:trPr>
        <w:tc>
          <w:tcPr>
            <w:tcW w:w="7796" w:type="dxa"/>
            <w:gridSpan w:val="2"/>
            <w:vAlign w:val="center"/>
            <w:hideMark/>
          </w:tcPr>
          <w:p w:rsidR="00EC38C2" w:rsidRPr="00EC38C2" w:rsidRDefault="00EC38C2" w:rsidP="00EC38C2">
            <w:pPr>
              <w:rPr>
                <w:rFonts w:ascii="Noto Sans" w:hAnsi="Noto Sans" w:cs="Noto Sans"/>
                <w:sz w:val="16"/>
                <w:szCs w:val="16"/>
              </w:rPr>
            </w:pPr>
            <w:r w:rsidRPr="00EC38C2">
              <w:rPr>
                <w:rFonts w:ascii="Noto Sans" w:hAnsi="Noto Sans" w:cs="Noto Sans"/>
                <w:bCs/>
                <w:sz w:val="16"/>
                <w:szCs w:val="16"/>
              </w:rPr>
              <w:t>Exportaciones manufactureras</w:t>
            </w:r>
          </w:p>
        </w:tc>
        <w:tc>
          <w:tcPr>
            <w:tcW w:w="959" w:type="dxa"/>
            <w:gridSpan w:val="2"/>
            <w:vAlign w:val="center"/>
            <w:hideMark/>
          </w:tcPr>
          <w:p w:rsidR="00EC38C2" w:rsidRPr="00EC38C2" w:rsidRDefault="00EC38C2" w:rsidP="00EC38C2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  <w:r w:rsidRPr="00EC38C2">
              <w:rPr>
                <w:rFonts w:ascii="Noto Sans" w:hAnsi="Noto Sans" w:cs="Noto Sans"/>
                <w:bCs/>
                <w:sz w:val="16"/>
                <w:szCs w:val="16"/>
              </w:rPr>
              <w:t>91.7%</w:t>
            </w:r>
          </w:p>
        </w:tc>
      </w:tr>
      <w:tr w:rsidR="00EC38C2" w:rsidRPr="00EC38C2" w:rsidTr="00EC38C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/>
          <w:tblCellSpacing w:w="15" w:type="dxa"/>
        </w:trPr>
        <w:tc>
          <w:tcPr>
            <w:tcW w:w="7796" w:type="dxa"/>
            <w:gridSpan w:val="2"/>
            <w:shd w:val="clear" w:color="auto" w:fill="F2F2F2" w:themeFill="background1" w:themeFillShade="F2"/>
            <w:vAlign w:val="center"/>
            <w:hideMark/>
          </w:tcPr>
          <w:p w:rsidR="00EC38C2" w:rsidRPr="00EC38C2" w:rsidRDefault="00EC38C2" w:rsidP="00EC38C2">
            <w:pPr>
              <w:rPr>
                <w:rFonts w:ascii="Noto Sans" w:hAnsi="Noto Sans" w:cs="Noto Sans"/>
                <w:sz w:val="16"/>
                <w:szCs w:val="16"/>
              </w:rPr>
            </w:pPr>
            <w:r w:rsidRPr="00EC38C2">
              <w:rPr>
                <w:rFonts w:ascii="Noto Sans" w:hAnsi="Noto Sans" w:cs="Noto Sans"/>
                <w:bCs/>
                <w:sz w:val="16"/>
                <w:szCs w:val="16"/>
              </w:rPr>
              <w:t>Importaciones de bienes de uso intermedio</w:t>
            </w:r>
          </w:p>
        </w:tc>
        <w:tc>
          <w:tcPr>
            <w:tcW w:w="959" w:type="dxa"/>
            <w:gridSpan w:val="2"/>
            <w:shd w:val="clear" w:color="auto" w:fill="F2F2F2" w:themeFill="background1" w:themeFillShade="F2"/>
            <w:vAlign w:val="center"/>
            <w:hideMark/>
          </w:tcPr>
          <w:p w:rsidR="00EC38C2" w:rsidRPr="00EC38C2" w:rsidRDefault="00EC38C2" w:rsidP="00EC38C2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  <w:r w:rsidRPr="00EC38C2">
              <w:rPr>
                <w:rFonts w:ascii="Noto Sans" w:hAnsi="Noto Sans" w:cs="Noto Sans"/>
                <w:bCs/>
                <w:sz w:val="16"/>
                <w:szCs w:val="16"/>
              </w:rPr>
              <w:t>80.2%</w:t>
            </w:r>
          </w:p>
        </w:tc>
      </w:tr>
    </w:tbl>
    <w:p w:rsidR="00EC38C2" w:rsidRPr="0066537B" w:rsidRDefault="00EC38C2">
      <w:pPr>
        <w:spacing w:before="30"/>
        <w:rPr>
          <w:sz w:val="13"/>
        </w:rPr>
      </w:pPr>
    </w:p>
    <w:p w:rsidR="00EC38C2" w:rsidRDefault="00EC38C2" w:rsidP="00EC38C2">
      <w:pPr>
        <w:shd w:val="clear" w:color="auto" w:fill="005E4C"/>
        <w:spacing w:before="60"/>
        <w:jc w:val="both"/>
      </w:pPr>
      <w:r>
        <w:rPr>
          <w:rFonts w:ascii="Noto Sans" w:hAnsi="Noto Sans" w:cs="Noto Sans"/>
          <w:b/>
          <w:color w:val="FFFFFF"/>
          <w:sz w:val="22"/>
        </w:rPr>
        <w:t>Análisis</w:t>
      </w:r>
    </w:p>
    <w:p w:rsidR="00EC38C2" w:rsidRPr="009223A3" w:rsidRDefault="00EC38C2" w:rsidP="00EC38C2">
      <w:pPr>
        <w:pStyle w:val="Prrafodelista"/>
        <w:numPr>
          <w:ilvl w:val="0"/>
          <w:numId w:val="40"/>
        </w:numPr>
        <w:spacing w:after="100" w:afterAutospacing="1"/>
        <w:ind w:left="425" w:hanging="357"/>
        <w:rPr>
          <w:rFonts w:ascii="Noto Sans" w:hAnsi="Noto Sans" w:cs="Noto Sans"/>
          <w:sz w:val="22"/>
        </w:rPr>
      </w:pPr>
      <w:r w:rsidRPr="009223A3">
        <w:rPr>
          <w:rFonts w:ascii="Noto Sans" w:hAnsi="Noto Sans" w:cs="Noto Sans"/>
          <w:bCs/>
          <w:sz w:val="22"/>
        </w:rPr>
        <w:t>Entre junio y julio, el superávit de la balanza no petrolera pasó de 7,456 a 2,809 mdd; en el mismo periodo, el déficit petrolero aumentó de 3,396 a 3,657 mdd.</w:t>
      </w:r>
    </w:p>
    <w:p w:rsidR="00EC38C2" w:rsidRPr="009223A3" w:rsidRDefault="00EC38C2" w:rsidP="00EC38C2">
      <w:pPr>
        <w:pStyle w:val="Prrafodelista"/>
        <w:numPr>
          <w:ilvl w:val="0"/>
          <w:numId w:val="40"/>
        </w:numPr>
        <w:spacing w:beforeAutospacing="1" w:afterAutospacing="1"/>
        <w:ind w:left="426"/>
        <w:rPr>
          <w:rFonts w:ascii="Noto Sans" w:hAnsi="Noto Sans" w:cs="Noto Sans"/>
          <w:sz w:val="22"/>
        </w:rPr>
      </w:pPr>
      <w:r w:rsidRPr="009223A3">
        <w:rPr>
          <w:rFonts w:ascii="Noto Sans" w:hAnsi="Noto Sans" w:cs="Noto Sans"/>
          <w:bCs/>
          <w:sz w:val="22"/>
        </w:rPr>
        <w:t>En el acumulado enero-julio, la balanza comercial registró un superávit de 9,255 mdd, con un saldo no petrolero positivo de 28,144 mdd y un déficit petrolero de 18,889 mdd.</w:t>
      </w:r>
    </w:p>
    <w:p w:rsidR="00EC38C2" w:rsidRPr="00EC38C2" w:rsidRDefault="00EC38C2" w:rsidP="00EC38C2">
      <w:pPr>
        <w:spacing w:before="30"/>
        <w:rPr>
          <w:rFonts w:ascii="Noto Sans" w:hAnsi="Noto Sans" w:cs="Noto Sans"/>
          <w:color w:val="4C545B"/>
          <w:sz w:val="16"/>
        </w:rPr>
      </w:pPr>
      <w:r w:rsidRPr="00EC38C2">
        <w:rPr>
          <w:rFonts w:ascii="Noto Sans" w:hAnsi="Noto Sans" w:cs="Noto Sans"/>
          <w:color w:val="4C545B"/>
          <w:sz w:val="16"/>
        </w:rPr>
        <w:t>Fuente: INEGI, Balanza Comercial de Mercancías de México (BCMM), Boletín de Indicador, 27 de agosto de 2026.</w:t>
      </w:r>
    </w:p>
    <w:p w:rsidR="00EC38C2" w:rsidRDefault="00EC38C2">
      <w:pPr>
        <w:spacing w:before="30"/>
      </w:pPr>
    </w:p>
    <w:sectPr w:rsidR="00EC38C2">
      <w:headerReference w:type="default" r:id="rId11"/>
      <w:footerReference w:type="even" r:id="rId12"/>
      <w:footerReference w:type="default" r:id="rId13"/>
      <w:pgSz w:w="12240" w:h="15840"/>
      <w:pgMar w:top="850" w:right="1701" w:bottom="550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7336" w:rsidRDefault="00657336" w:rsidP="00E32E74">
      <w:r>
        <w:separator/>
      </w:r>
    </w:p>
  </w:endnote>
  <w:endnote w:type="continuationSeparator" w:id="0">
    <w:p w:rsidR="00657336" w:rsidRDefault="00657336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8000029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1A7D8A66" wp14:editId="5D3339A7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7336" w:rsidRDefault="00657336" w:rsidP="00E32E74">
      <w:r>
        <w:separator/>
      </w:r>
    </w:p>
  </w:footnote>
  <w:footnote w:type="continuationSeparator" w:id="0">
    <w:p w:rsidR="00657336" w:rsidRDefault="00657336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735F" w:rsidRDefault="0078735F" w:rsidP="0078735F">
    <w:pPr>
      <w:ind w:left="-426"/>
      <w:rPr>
        <w:rFonts w:ascii="Noto Sans" w:hAnsi="Noto Sans"/>
        <w:b/>
        <w:sz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1251FA6" wp14:editId="283BD595">
          <wp:simplePos x="0" y="0"/>
          <wp:positionH relativeFrom="page">
            <wp:posOffset>-12700</wp:posOffset>
          </wp:positionH>
          <wp:positionV relativeFrom="paragraph">
            <wp:posOffset>-504825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8735F" w:rsidRDefault="0078735F" w:rsidP="0078735F">
    <w:pPr>
      <w:ind w:left="-426"/>
      <w:rPr>
        <w:rFonts w:ascii="Noto Sans" w:hAnsi="Noto Sans"/>
        <w:b/>
        <w:sz w:val="22"/>
      </w:rPr>
    </w:pPr>
  </w:p>
  <w:p w:rsidR="0078735F" w:rsidRDefault="0078735F" w:rsidP="0078735F">
    <w:pPr>
      <w:ind w:left="-426"/>
      <w:rPr>
        <w:rFonts w:ascii="Noto Sans" w:hAnsi="Noto Sans"/>
        <w:b/>
        <w:sz w:val="22"/>
      </w:rPr>
    </w:pPr>
  </w:p>
  <w:p w:rsidR="009966CB" w:rsidRDefault="0078735F" w:rsidP="0078735F">
    <w:pPr>
      <w:ind w:left="-426"/>
      <w:rPr>
        <w:rFonts w:ascii="Calibri" w:hAnsi="Calibri" w:cs="Calibri"/>
        <w:b/>
        <w:sz w:val="22"/>
      </w:rPr>
    </w:pPr>
    <w:r>
      <w:rPr>
        <w:rFonts w:ascii="Noto Sans" w:hAnsi="Noto Sans"/>
        <w:b/>
        <w:sz w:val="22"/>
      </w:rPr>
      <w:t>Subsecretaría de Industria y Comercio</w:t>
    </w:r>
  </w:p>
  <w:p w:rsidR="0078735F" w:rsidRPr="004A1AF8" w:rsidRDefault="0078735F" w:rsidP="0078735F">
    <w:pPr>
      <w:ind w:left="-426"/>
      <w:rPr>
        <w:rFonts w:ascii="Calibri" w:hAnsi="Calibri" w:cs="Calibri"/>
        <w:b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F2A"/>
    <w:multiLevelType w:val="hybridMultilevel"/>
    <w:tmpl w:val="E26A87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37F62"/>
    <w:multiLevelType w:val="hybridMultilevel"/>
    <w:tmpl w:val="491E8574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C25D68"/>
    <w:multiLevelType w:val="hybridMultilevel"/>
    <w:tmpl w:val="A2669A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A174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85ED9"/>
    <w:multiLevelType w:val="hybridMultilevel"/>
    <w:tmpl w:val="D24C2C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5" w15:restartNumberingAfterBreak="0">
    <w:nsid w:val="5CCB1B20"/>
    <w:multiLevelType w:val="hybridMultilevel"/>
    <w:tmpl w:val="C4DE2F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E5CAF"/>
    <w:multiLevelType w:val="hybridMultilevel"/>
    <w:tmpl w:val="DBFCED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60062"/>
    <w:multiLevelType w:val="hybridMultilevel"/>
    <w:tmpl w:val="F4BA4BB8"/>
    <w:lvl w:ilvl="0" w:tplc="47363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60E2529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8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23"/>
  </w:num>
  <w:num w:numId="4">
    <w:abstractNumId w:val="39"/>
  </w:num>
  <w:num w:numId="5">
    <w:abstractNumId w:val="32"/>
  </w:num>
  <w:num w:numId="6">
    <w:abstractNumId w:val="11"/>
  </w:num>
  <w:num w:numId="7">
    <w:abstractNumId w:val="35"/>
  </w:num>
  <w:num w:numId="8">
    <w:abstractNumId w:val="9"/>
  </w:num>
  <w:num w:numId="9">
    <w:abstractNumId w:val="6"/>
  </w:num>
  <w:num w:numId="10">
    <w:abstractNumId w:val="18"/>
  </w:num>
  <w:num w:numId="11">
    <w:abstractNumId w:val="22"/>
  </w:num>
  <w:num w:numId="12">
    <w:abstractNumId w:val="21"/>
  </w:num>
  <w:num w:numId="13">
    <w:abstractNumId w:val="8"/>
  </w:num>
  <w:num w:numId="14">
    <w:abstractNumId w:val="15"/>
  </w:num>
  <w:num w:numId="15">
    <w:abstractNumId w:val="36"/>
  </w:num>
  <w:num w:numId="16">
    <w:abstractNumId w:val="1"/>
  </w:num>
  <w:num w:numId="17">
    <w:abstractNumId w:val="29"/>
  </w:num>
  <w:num w:numId="18">
    <w:abstractNumId w:val="17"/>
  </w:num>
  <w:num w:numId="19">
    <w:abstractNumId w:val="28"/>
  </w:num>
  <w:num w:numId="20">
    <w:abstractNumId w:val="31"/>
  </w:num>
  <w:num w:numId="21">
    <w:abstractNumId w:val="13"/>
  </w:num>
  <w:num w:numId="22">
    <w:abstractNumId w:val="2"/>
  </w:num>
  <w:num w:numId="23">
    <w:abstractNumId w:val="27"/>
  </w:num>
  <w:num w:numId="24">
    <w:abstractNumId w:val="30"/>
  </w:num>
  <w:num w:numId="25">
    <w:abstractNumId w:val="4"/>
  </w:num>
  <w:num w:numId="26">
    <w:abstractNumId w:val="5"/>
  </w:num>
  <w:num w:numId="27">
    <w:abstractNumId w:val="34"/>
  </w:num>
  <w:num w:numId="28">
    <w:abstractNumId w:val="10"/>
  </w:num>
  <w:num w:numId="29">
    <w:abstractNumId w:val="38"/>
  </w:num>
  <w:num w:numId="30">
    <w:abstractNumId w:val="37"/>
  </w:num>
  <w:num w:numId="31">
    <w:abstractNumId w:val="3"/>
  </w:num>
  <w:num w:numId="32">
    <w:abstractNumId w:val="24"/>
  </w:num>
  <w:num w:numId="33">
    <w:abstractNumId w:val="14"/>
  </w:num>
  <w:num w:numId="34">
    <w:abstractNumId w:val="12"/>
  </w:num>
  <w:num w:numId="35">
    <w:abstractNumId w:val="33"/>
  </w:num>
  <w:num w:numId="36">
    <w:abstractNumId w:val="0"/>
  </w:num>
  <w:num w:numId="37">
    <w:abstractNumId w:val="20"/>
  </w:num>
  <w:num w:numId="38">
    <w:abstractNumId w:val="26"/>
  </w:num>
  <w:num w:numId="39">
    <w:abstractNumId w:val="25"/>
  </w:num>
  <w:num w:numId="40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0C49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CA4"/>
    <w:rsid w:val="00054FB9"/>
    <w:rsid w:val="000571C6"/>
    <w:rsid w:val="0006003F"/>
    <w:rsid w:val="000A3591"/>
    <w:rsid w:val="000A46AA"/>
    <w:rsid w:val="000A71DD"/>
    <w:rsid w:val="000B3C45"/>
    <w:rsid w:val="000D126D"/>
    <w:rsid w:val="000D5B48"/>
    <w:rsid w:val="000D796F"/>
    <w:rsid w:val="000E1551"/>
    <w:rsid w:val="000E263D"/>
    <w:rsid w:val="00105FFE"/>
    <w:rsid w:val="001106F9"/>
    <w:rsid w:val="00113971"/>
    <w:rsid w:val="00113ADD"/>
    <w:rsid w:val="001259AE"/>
    <w:rsid w:val="00136317"/>
    <w:rsid w:val="0013733B"/>
    <w:rsid w:val="001410AA"/>
    <w:rsid w:val="00151B05"/>
    <w:rsid w:val="00152E28"/>
    <w:rsid w:val="00153B11"/>
    <w:rsid w:val="00154DA5"/>
    <w:rsid w:val="00155A77"/>
    <w:rsid w:val="00155DFB"/>
    <w:rsid w:val="00166051"/>
    <w:rsid w:val="00167BCF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E072F"/>
    <w:rsid w:val="001F561B"/>
    <w:rsid w:val="00204B82"/>
    <w:rsid w:val="0021097E"/>
    <w:rsid w:val="00220619"/>
    <w:rsid w:val="002360E8"/>
    <w:rsid w:val="00240CB7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54A81"/>
    <w:rsid w:val="00360F50"/>
    <w:rsid w:val="0036312B"/>
    <w:rsid w:val="00370C60"/>
    <w:rsid w:val="003817DF"/>
    <w:rsid w:val="003919F7"/>
    <w:rsid w:val="003B7AF4"/>
    <w:rsid w:val="003E400C"/>
    <w:rsid w:val="003E5182"/>
    <w:rsid w:val="003E7119"/>
    <w:rsid w:val="003F7434"/>
    <w:rsid w:val="00402FB7"/>
    <w:rsid w:val="004135C9"/>
    <w:rsid w:val="00424E7E"/>
    <w:rsid w:val="0042728A"/>
    <w:rsid w:val="00430CE8"/>
    <w:rsid w:val="00431758"/>
    <w:rsid w:val="004362C5"/>
    <w:rsid w:val="00437209"/>
    <w:rsid w:val="00465707"/>
    <w:rsid w:val="004676E4"/>
    <w:rsid w:val="00470257"/>
    <w:rsid w:val="0047264F"/>
    <w:rsid w:val="004869A7"/>
    <w:rsid w:val="00486FFD"/>
    <w:rsid w:val="00491EE7"/>
    <w:rsid w:val="0049299F"/>
    <w:rsid w:val="00495548"/>
    <w:rsid w:val="004A1AF8"/>
    <w:rsid w:val="004A74A4"/>
    <w:rsid w:val="004A78F6"/>
    <w:rsid w:val="004B221D"/>
    <w:rsid w:val="004C2B18"/>
    <w:rsid w:val="004D104B"/>
    <w:rsid w:val="004D2236"/>
    <w:rsid w:val="004D5A8C"/>
    <w:rsid w:val="004E388B"/>
    <w:rsid w:val="004E65ED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94464"/>
    <w:rsid w:val="005A57CC"/>
    <w:rsid w:val="005A6B97"/>
    <w:rsid w:val="005C3EB9"/>
    <w:rsid w:val="005D105A"/>
    <w:rsid w:val="005F7998"/>
    <w:rsid w:val="00625F36"/>
    <w:rsid w:val="00631614"/>
    <w:rsid w:val="00634088"/>
    <w:rsid w:val="00646C52"/>
    <w:rsid w:val="00646D11"/>
    <w:rsid w:val="00647CCC"/>
    <w:rsid w:val="00655D4F"/>
    <w:rsid w:val="0065662B"/>
    <w:rsid w:val="00657336"/>
    <w:rsid w:val="00661ED1"/>
    <w:rsid w:val="006626AF"/>
    <w:rsid w:val="00662863"/>
    <w:rsid w:val="0066537B"/>
    <w:rsid w:val="00667278"/>
    <w:rsid w:val="00671DD9"/>
    <w:rsid w:val="006753CB"/>
    <w:rsid w:val="0068031A"/>
    <w:rsid w:val="006808CC"/>
    <w:rsid w:val="00697E37"/>
    <w:rsid w:val="006A1F60"/>
    <w:rsid w:val="006A3BB6"/>
    <w:rsid w:val="006E3E97"/>
    <w:rsid w:val="006F4646"/>
    <w:rsid w:val="00705DC8"/>
    <w:rsid w:val="007150D8"/>
    <w:rsid w:val="007462AF"/>
    <w:rsid w:val="007471F1"/>
    <w:rsid w:val="007759A6"/>
    <w:rsid w:val="00776F8B"/>
    <w:rsid w:val="007816C7"/>
    <w:rsid w:val="00783447"/>
    <w:rsid w:val="0078392B"/>
    <w:rsid w:val="0078735F"/>
    <w:rsid w:val="0079704D"/>
    <w:rsid w:val="007B6C39"/>
    <w:rsid w:val="007B7560"/>
    <w:rsid w:val="007C74E0"/>
    <w:rsid w:val="007D06F1"/>
    <w:rsid w:val="007D3385"/>
    <w:rsid w:val="007D4D3C"/>
    <w:rsid w:val="007F60B5"/>
    <w:rsid w:val="00810EC6"/>
    <w:rsid w:val="00812AED"/>
    <w:rsid w:val="00815835"/>
    <w:rsid w:val="0082026B"/>
    <w:rsid w:val="00830352"/>
    <w:rsid w:val="00832176"/>
    <w:rsid w:val="0083711C"/>
    <w:rsid w:val="008544E1"/>
    <w:rsid w:val="0086418A"/>
    <w:rsid w:val="00864D64"/>
    <w:rsid w:val="00887FBD"/>
    <w:rsid w:val="00896916"/>
    <w:rsid w:val="00897B8A"/>
    <w:rsid w:val="008A56B9"/>
    <w:rsid w:val="008B36BF"/>
    <w:rsid w:val="008B5764"/>
    <w:rsid w:val="008D09CA"/>
    <w:rsid w:val="008F0109"/>
    <w:rsid w:val="008F2DC2"/>
    <w:rsid w:val="008F54BD"/>
    <w:rsid w:val="008F6F0E"/>
    <w:rsid w:val="009117FA"/>
    <w:rsid w:val="009223A3"/>
    <w:rsid w:val="00927F12"/>
    <w:rsid w:val="00930605"/>
    <w:rsid w:val="009612F9"/>
    <w:rsid w:val="009667A4"/>
    <w:rsid w:val="00981122"/>
    <w:rsid w:val="00981CAC"/>
    <w:rsid w:val="00981DEF"/>
    <w:rsid w:val="00994331"/>
    <w:rsid w:val="00994DCF"/>
    <w:rsid w:val="00995175"/>
    <w:rsid w:val="009966CB"/>
    <w:rsid w:val="00997820"/>
    <w:rsid w:val="009A75BB"/>
    <w:rsid w:val="009B2B04"/>
    <w:rsid w:val="009D1660"/>
    <w:rsid w:val="009D513B"/>
    <w:rsid w:val="009D662C"/>
    <w:rsid w:val="009D770D"/>
    <w:rsid w:val="009E6351"/>
    <w:rsid w:val="00A0058F"/>
    <w:rsid w:val="00A25E9B"/>
    <w:rsid w:val="00A27EAB"/>
    <w:rsid w:val="00A313E4"/>
    <w:rsid w:val="00A34818"/>
    <w:rsid w:val="00A45FB8"/>
    <w:rsid w:val="00A503BD"/>
    <w:rsid w:val="00A73CF4"/>
    <w:rsid w:val="00A84A08"/>
    <w:rsid w:val="00A8694C"/>
    <w:rsid w:val="00A87331"/>
    <w:rsid w:val="00A91676"/>
    <w:rsid w:val="00A95502"/>
    <w:rsid w:val="00AA572B"/>
    <w:rsid w:val="00AA5821"/>
    <w:rsid w:val="00AB7467"/>
    <w:rsid w:val="00AC6FD8"/>
    <w:rsid w:val="00AE45C4"/>
    <w:rsid w:val="00B00558"/>
    <w:rsid w:val="00B00ACC"/>
    <w:rsid w:val="00B06C84"/>
    <w:rsid w:val="00B109F8"/>
    <w:rsid w:val="00B131F1"/>
    <w:rsid w:val="00B23CE9"/>
    <w:rsid w:val="00B273F4"/>
    <w:rsid w:val="00B62B90"/>
    <w:rsid w:val="00B64AE2"/>
    <w:rsid w:val="00B65361"/>
    <w:rsid w:val="00B72087"/>
    <w:rsid w:val="00B93C35"/>
    <w:rsid w:val="00B94BFE"/>
    <w:rsid w:val="00B95E6E"/>
    <w:rsid w:val="00B96CD0"/>
    <w:rsid w:val="00BA690B"/>
    <w:rsid w:val="00BA7AF6"/>
    <w:rsid w:val="00BB1DC9"/>
    <w:rsid w:val="00BB3B44"/>
    <w:rsid w:val="00BB4307"/>
    <w:rsid w:val="00BC0BB8"/>
    <w:rsid w:val="00BC0F57"/>
    <w:rsid w:val="00BD38B1"/>
    <w:rsid w:val="00BE2C85"/>
    <w:rsid w:val="00BF5F01"/>
    <w:rsid w:val="00C0087D"/>
    <w:rsid w:val="00C041DF"/>
    <w:rsid w:val="00C062EB"/>
    <w:rsid w:val="00C122A4"/>
    <w:rsid w:val="00C176D8"/>
    <w:rsid w:val="00C2663E"/>
    <w:rsid w:val="00C33446"/>
    <w:rsid w:val="00C42F66"/>
    <w:rsid w:val="00C43081"/>
    <w:rsid w:val="00C619F7"/>
    <w:rsid w:val="00C62995"/>
    <w:rsid w:val="00C639EA"/>
    <w:rsid w:val="00C65A1B"/>
    <w:rsid w:val="00C66897"/>
    <w:rsid w:val="00C74F1D"/>
    <w:rsid w:val="00C821D5"/>
    <w:rsid w:val="00C91D73"/>
    <w:rsid w:val="00C9207B"/>
    <w:rsid w:val="00C93B0C"/>
    <w:rsid w:val="00CA567C"/>
    <w:rsid w:val="00CB13F4"/>
    <w:rsid w:val="00CB38B3"/>
    <w:rsid w:val="00CB70C5"/>
    <w:rsid w:val="00CD4A23"/>
    <w:rsid w:val="00CD7369"/>
    <w:rsid w:val="00CE633D"/>
    <w:rsid w:val="00D10BEE"/>
    <w:rsid w:val="00D1508D"/>
    <w:rsid w:val="00D2057E"/>
    <w:rsid w:val="00D2376F"/>
    <w:rsid w:val="00D23B89"/>
    <w:rsid w:val="00D2506F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A4129"/>
    <w:rsid w:val="00DB54A2"/>
    <w:rsid w:val="00DD2599"/>
    <w:rsid w:val="00DD4B7F"/>
    <w:rsid w:val="00DD6CF3"/>
    <w:rsid w:val="00DE76A7"/>
    <w:rsid w:val="00DF1756"/>
    <w:rsid w:val="00E0538C"/>
    <w:rsid w:val="00E1407E"/>
    <w:rsid w:val="00E32E74"/>
    <w:rsid w:val="00E50A7C"/>
    <w:rsid w:val="00E56F00"/>
    <w:rsid w:val="00E61388"/>
    <w:rsid w:val="00E7262E"/>
    <w:rsid w:val="00E76409"/>
    <w:rsid w:val="00E94CD4"/>
    <w:rsid w:val="00EA2751"/>
    <w:rsid w:val="00EA49C5"/>
    <w:rsid w:val="00EA51AD"/>
    <w:rsid w:val="00EB1C36"/>
    <w:rsid w:val="00EB1FB8"/>
    <w:rsid w:val="00EC38C2"/>
    <w:rsid w:val="00EC4C63"/>
    <w:rsid w:val="00ED0B2E"/>
    <w:rsid w:val="00ED7AE1"/>
    <w:rsid w:val="00EE755E"/>
    <w:rsid w:val="00F0340D"/>
    <w:rsid w:val="00F05F40"/>
    <w:rsid w:val="00F06026"/>
    <w:rsid w:val="00F16AAF"/>
    <w:rsid w:val="00F2051C"/>
    <w:rsid w:val="00F213F4"/>
    <w:rsid w:val="00F231FC"/>
    <w:rsid w:val="00F27FA5"/>
    <w:rsid w:val="00F3290F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9737C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A502B4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7434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  <w:lang w:eastAsia="es-MX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  <w:lang w:eastAsia="es-MX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  <w:lang w:eastAsia="es-MX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  <w:lang w:eastAsia="es-MX"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  <w:lang w:eastAsia="es-MX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  <w:rPr>
      <w:lang w:eastAsia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MX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  <w:rPr>
      <w:lang w:eastAsia="es-MX"/>
    </w:r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  <w:rPr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  <w:rPr>
      <w:lang w:eastAsia="es-MX"/>
    </w:r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  <w:rPr>
      <w:lang w:eastAsia="es-MX"/>
    </w:r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  <w:lang w:eastAsia="es-MX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6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4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9CD91F-3261-794A-95D7-54E52E1D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377</Words>
  <Characters>2074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Luis Enrique Buendía</cp:lastModifiedBy>
  <cp:revision>51</cp:revision>
  <cp:lastPrinted>2026-06-17T17:31:00Z</cp:lastPrinted>
  <dcterms:created xsi:type="dcterms:W3CDTF">2026-07-24T04:18:00Z</dcterms:created>
  <dcterms:modified xsi:type="dcterms:W3CDTF">2026-08-27T02:25:00Z</dcterms:modified>
</cp:coreProperties>
</file>