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shd w:val="clear" w:color="auto" w:fill="235B4C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414"/>
        <w:gridCol w:w="4414"/>
      </w:tblGrid>
      <w:tr w:rsidR="00246E09" w:rsidRPr="00E63FDF">
        <w:tc>
          <w:tcPr>
            <w:tcW w:w="88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35B4C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color w:val="FFFFFF" w:themeColor="background1"/>
                <w:sz w:val="20"/>
                <w:szCs w:val="20"/>
              </w:rPr>
              <w:t>Encuesta Mensual de la Industria Manufacturera (EMIM)</w:t>
            </w:r>
          </w:p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 w:themeColor="background1"/>
                <w:sz w:val="40"/>
                <w:szCs w:val="40"/>
              </w:rPr>
              <w:t>Datos de junio 2026</w:t>
            </w:r>
          </w:p>
        </w:tc>
      </w:tr>
      <w:tr w:rsidR="00246E09" w:rsidRPr="00E63FDF"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8C8C8C"/>
                <w:spacing w:val="10"/>
                <w:sz w:val="17"/>
                <w:szCs w:val="17"/>
              </w:rPr>
              <w:t>VARIACIÓN MENSUAL</w:t>
            </w:r>
          </w:p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bCs/>
                <w:color w:val="006341"/>
                <w:sz w:val="72"/>
                <w:szCs w:val="72"/>
              </w:rPr>
              <w:t>▲</w:t>
            </w:r>
            <w:r w:rsidRPr="00E63FDF">
              <w:rPr>
                <w:rFonts w:ascii="Noto Sans" w:hAnsi="Noto Sans" w:cs="Noto Sans"/>
                <w:b/>
                <w:bCs/>
                <w:color w:val="006341"/>
                <w:sz w:val="72"/>
                <w:szCs w:val="72"/>
              </w:rPr>
              <w:t xml:space="preserve"> 0.1%</w:t>
            </w:r>
          </w:p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color w:val="6B6864"/>
                <w:sz w:val="16"/>
                <w:szCs w:val="16"/>
              </w:rPr>
              <w:t>Volumen de producción · cifras desest. · junio 2026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shd w:val="clear" w:color="auto" w:fill="61123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/>
                <w:spacing w:val="10"/>
                <w:sz w:val="17"/>
                <w:szCs w:val="17"/>
              </w:rPr>
              <w:t>VARIACIÓN ANUAL</w:t>
            </w:r>
          </w:p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bCs/>
                <w:color w:val="FFFFFF"/>
                <w:sz w:val="72"/>
                <w:szCs w:val="72"/>
              </w:rPr>
              <w:t>▼</w:t>
            </w:r>
            <w:r w:rsidRPr="00E63FDF">
              <w:rPr>
                <w:rFonts w:ascii="Noto Sans" w:hAnsi="Noto Sans" w:cs="Noto Sans"/>
                <w:b/>
                <w:bCs/>
                <w:color w:val="FFFFFF"/>
                <w:sz w:val="72"/>
                <w:szCs w:val="72"/>
              </w:rPr>
              <w:t xml:space="preserve"> -2.4%</w:t>
            </w:r>
          </w:p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color w:val="F4F4F2"/>
                <w:sz w:val="16"/>
                <w:szCs w:val="16"/>
              </w:rPr>
              <w:t>Comparación junio 2026 vs junio 2025</w:t>
            </w:r>
          </w:p>
        </w:tc>
      </w:tr>
    </w:tbl>
    <w:p w:rsidR="00246E09" w:rsidRPr="00E63FDF" w:rsidRDefault="00246E09">
      <w:pPr>
        <w:rPr>
          <w:rFonts w:ascii="Noto Sans" w:hAnsi="Noto Sans" w:cs="Noto Sans"/>
          <w:sz w:val="6"/>
          <w:szCs w:val="6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2"/>
        <w:tblLook w:val="04A0" w:firstRow="1" w:lastRow="0" w:firstColumn="1" w:lastColumn="0" w:noHBand="0" w:noVBand="1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 w:rsidR="00C25AC7" w:rsidRPr="00E63FDF">
        <w:tc>
          <w:tcPr>
            <w:tcW w:w="2208" w:type="dxa"/>
            <w:gridSpan w:val="2"/>
            <w:shd w:val="clear" w:color="auto" w:fill="235B4C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 w:themeColor="background1"/>
                <w:sz w:val="19"/>
                <w:szCs w:val="19"/>
              </w:rPr>
              <w:t>Producción</w:t>
            </w:r>
          </w:p>
        </w:tc>
        <w:tc>
          <w:tcPr>
            <w:tcW w:w="2208" w:type="dxa"/>
            <w:gridSpan w:val="2"/>
            <w:shd w:val="clear" w:color="auto" w:fill="235B4C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 w:themeColor="background1"/>
                <w:sz w:val="19"/>
                <w:szCs w:val="19"/>
              </w:rPr>
              <w:t>Personal ocupado</w:t>
            </w:r>
          </w:p>
        </w:tc>
        <w:tc>
          <w:tcPr>
            <w:tcW w:w="2208" w:type="dxa"/>
            <w:gridSpan w:val="2"/>
            <w:shd w:val="clear" w:color="auto" w:fill="235B4C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 w:themeColor="background1"/>
                <w:sz w:val="19"/>
                <w:szCs w:val="19"/>
              </w:rPr>
              <w:t>Horas trabajadas</w:t>
            </w:r>
          </w:p>
        </w:tc>
        <w:tc>
          <w:tcPr>
            <w:tcW w:w="2208" w:type="dxa"/>
            <w:gridSpan w:val="2"/>
            <w:shd w:val="clear" w:color="auto" w:fill="235B4C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b/>
                <w:bCs/>
                <w:color w:val="FFFFFF" w:themeColor="background1"/>
                <w:sz w:val="19"/>
                <w:szCs w:val="19"/>
              </w:rPr>
              <w:t>Remuneraciones</w:t>
            </w:r>
          </w:p>
        </w:tc>
      </w:tr>
      <w:tr w:rsidR="00246E09" w:rsidRPr="00E63FDF">
        <w:trPr>
          <w:trHeight w:val="150"/>
        </w:trPr>
        <w:tc>
          <w:tcPr>
            <w:tcW w:w="110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Mensual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Anual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Mensual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Anual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Mensual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Anual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Mensual</w:t>
            </w:r>
          </w:p>
        </w:tc>
        <w:tc>
          <w:tcPr>
            <w:tcW w:w="1104" w:type="dxa"/>
            <w:tcBorders>
              <w:left w:val="single" w:sz="4" w:space="0" w:color="auto"/>
              <w:bottom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Noto Sans" w:hAnsi="Noto Sans" w:cs="Noto Sans"/>
                <w:sz w:val="17"/>
                <w:szCs w:val="17"/>
              </w:rPr>
              <w:t>Anual</w:t>
            </w:r>
          </w:p>
        </w:tc>
      </w:tr>
      <w:tr w:rsidR="00246E09" w:rsidRPr="00E63FDF">
        <w:trPr>
          <w:trHeight w:val="170"/>
        </w:trPr>
        <w:tc>
          <w:tcPr>
            <w:tcW w:w="1104" w:type="dxa"/>
            <w:tcBorders>
              <w:top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000000"/>
                <w:sz w:val="18"/>
              </w:rPr>
              <w:t>▲</w:t>
            </w:r>
            <w:r w:rsidRPr="00E63FDF">
              <w:rPr>
                <w:rFonts w:ascii="Noto Sans" w:hAnsi="Noto Sans" w:cs="Noto Sans"/>
                <w:b/>
                <w:color w:val="000000"/>
                <w:sz w:val="18"/>
              </w:rPr>
              <w:t xml:space="preserve"> 0.1 %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C00000"/>
                <w:sz w:val="18"/>
              </w:rPr>
              <w:t>▼</w:t>
            </w:r>
            <w:r w:rsidRPr="00E63FDF">
              <w:rPr>
                <w:rFonts w:ascii="Noto Sans" w:hAnsi="Noto Sans" w:cs="Noto Sans"/>
                <w:b/>
                <w:color w:val="C00000"/>
                <w:sz w:val="18"/>
              </w:rPr>
              <w:t xml:space="preserve"> -2.4 %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000000"/>
                <w:sz w:val="18"/>
              </w:rPr>
              <w:t>▲</w:t>
            </w:r>
            <w:r w:rsidRPr="00E63FDF">
              <w:rPr>
                <w:rFonts w:ascii="Noto Sans" w:hAnsi="Noto Sans" w:cs="Noto Sans"/>
                <w:b/>
                <w:color w:val="000000"/>
                <w:sz w:val="18"/>
              </w:rPr>
              <w:t xml:space="preserve"> 0.1 %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C00000"/>
                <w:sz w:val="18"/>
              </w:rPr>
              <w:t>▼</w:t>
            </w:r>
            <w:r w:rsidRPr="00E63FDF">
              <w:rPr>
                <w:rFonts w:ascii="Noto Sans" w:hAnsi="Noto Sans" w:cs="Noto Sans"/>
                <w:b/>
                <w:color w:val="C00000"/>
                <w:sz w:val="18"/>
              </w:rPr>
              <w:t xml:space="preserve"> -1.5 %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000000"/>
                <w:sz w:val="18"/>
              </w:rPr>
              <w:t>▲</w:t>
            </w:r>
            <w:r w:rsidRPr="00E63FDF">
              <w:rPr>
                <w:rFonts w:ascii="Noto Sans" w:hAnsi="Noto Sans" w:cs="Noto Sans"/>
                <w:b/>
                <w:color w:val="000000"/>
                <w:sz w:val="18"/>
              </w:rPr>
              <w:t xml:space="preserve"> 0.1 %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C00000"/>
                <w:sz w:val="18"/>
              </w:rPr>
              <w:t>▼</w:t>
            </w:r>
            <w:r w:rsidRPr="00E63FDF">
              <w:rPr>
                <w:rFonts w:ascii="Noto Sans" w:hAnsi="Noto Sans" w:cs="Noto Sans"/>
                <w:b/>
                <w:color w:val="C00000"/>
                <w:sz w:val="18"/>
              </w:rPr>
              <w:t xml:space="preserve"> -1.5 %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000000"/>
                <w:sz w:val="18"/>
              </w:rPr>
              <w:t>▲</w:t>
            </w:r>
            <w:r w:rsidRPr="00E63FDF">
              <w:rPr>
                <w:rFonts w:ascii="Noto Sans" w:hAnsi="Noto Sans" w:cs="Noto Sans"/>
                <w:b/>
                <w:color w:val="000000"/>
                <w:sz w:val="18"/>
              </w:rPr>
              <w:t xml:space="preserve"> 0.6 %</w:t>
            </w:r>
          </w:p>
        </w:tc>
        <w:tc>
          <w:tcPr>
            <w:tcW w:w="1104" w:type="dxa"/>
            <w:tcBorders>
              <w:top w:val="single" w:sz="4" w:space="0" w:color="auto"/>
              <w:left w:val="single" w:sz="4" w:space="0" w:color="auto"/>
            </w:tcBorders>
            <w:shd w:val="clear" w:color="auto" w:fill="F4F4F2"/>
          </w:tcPr>
          <w:p w:rsidR="00246E09" w:rsidRPr="00E63FDF" w:rsidRDefault="00465707">
            <w:pPr>
              <w:jc w:val="center"/>
              <w:rPr>
                <w:rFonts w:ascii="Noto Sans" w:hAnsi="Noto Sans" w:cs="Noto Sans"/>
              </w:rPr>
            </w:pPr>
            <w:r w:rsidRPr="00E63FDF">
              <w:rPr>
                <w:rFonts w:ascii="Arial" w:hAnsi="Arial" w:cs="Arial"/>
                <w:b/>
                <w:color w:val="000000"/>
                <w:sz w:val="18"/>
              </w:rPr>
              <w:t>▲</w:t>
            </w:r>
            <w:r w:rsidRPr="00E63FDF">
              <w:rPr>
                <w:rFonts w:ascii="Noto Sans" w:hAnsi="Noto Sans" w:cs="Noto Sans"/>
                <w:b/>
                <w:color w:val="000000"/>
                <w:sz w:val="18"/>
              </w:rPr>
              <w:t xml:space="preserve"> 2.2 %</w:t>
            </w:r>
          </w:p>
        </w:tc>
      </w:tr>
    </w:tbl>
    <w:p w:rsidR="00246E09" w:rsidRPr="008B729C" w:rsidRDefault="001E3E09">
      <w:pPr>
        <w:spacing w:before="30" w:after="30"/>
        <w:jc w:val="both"/>
        <w:rPr>
          <w:rFonts w:ascii="Noto Sans" w:hAnsi="Noto Sans" w:cs="Noto Sans"/>
          <w:sz w:val="16"/>
          <w:szCs w:val="16"/>
        </w:rPr>
      </w:pPr>
      <w:r w:rsidRPr="008B729C">
        <w:rPr>
          <w:rFonts w:ascii="Noto Sans" w:hAnsi="Noto Sans" w:cs="Noto Sans"/>
          <w:b/>
          <w:i/>
          <w:iCs/>
          <w:color w:val="6B6864"/>
          <w:sz w:val="16"/>
          <w:szCs w:val="16"/>
        </w:rPr>
        <w:t>Nota:</w:t>
      </w:r>
      <w:r w:rsidR="00465707" w:rsidRPr="008B729C">
        <w:rPr>
          <w:rFonts w:ascii="Noto Sans" w:hAnsi="Noto Sans" w:cs="Noto Sans"/>
          <w:i/>
          <w:iCs/>
          <w:color w:val="6B6864"/>
          <w:sz w:val="16"/>
          <w:szCs w:val="16"/>
        </w:rPr>
        <w:t xml:space="preserve"> Encuesta a 8,613 establecimientos manufactureros (206 clases de actividad, SCIAN 2018); mide personal ocupado, horas trabajadas, remuneraciones y volumen de producción, con índices base 2018=100 y ajuste estacional X-13ARIMA-SEATS.</w:t>
      </w:r>
    </w:p>
    <w:p w:rsidR="00246E09" w:rsidRPr="00E63FDF" w:rsidRDefault="00246E09">
      <w:pPr>
        <w:rPr>
          <w:rFonts w:ascii="Noto Sans" w:hAnsi="Noto Sans" w:cs="Noto Sans"/>
          <w:sz w:val="12"/>
          <w:szCs w:val="12"/>
        </w:rPr>
      </w:pPr>
    </w:p>
    <w:p w:rsidR="00246E09" w:rsidRPr="008B729C" w:rsidRDefault="00DF38E6">
      <w:pPr>
        <w:jc w:val="both"/>
        <w:rPr>
          <w:rFonts w:ascii="Noto Sans" w:hAnsi="Noto Sans" w:cs="Noto Sans"/>
          <w:sz w:val="22"/>
          <w:szCs w:val="22"/>
        </w:rPr>
      </w:pPr>
      <w:r w:rsidRPr="00DF38E6">
        <w:rPr>
          <w:rFonts w:ascii="Noto Sans" w:hAnsi="Noto Sans" w:cs="Noto Sans"/>
          <w:bCs/>
          <w:color w:val="1A1A1A"/>
          <w:sz w:val="22"/>
          <w:szCs w:val="22"/>
        </w:rPr>
        <w:t>En junio, la industria manufacturera mostró avances</w:t>
      </w:r>
      <w:r w:rsidR="007B24C9">
        <w:rPr>
          <w:rFonts w:ascii="Noto Sans" w:hAnsi="Noto Sans" w:cs="Noto Sans"/>
          <w:bCs/>
          <w:color w:val="1A1A1A"/>
          <w:sz w:val="22"/>
          <w:szCs w:val="22"/>
        </w:rPr>
        <w:t xml:space="preserve"> moderados</w:t>
      </w:r>
      <w:r w:rsidRPr="00DF38E6">
        <w:rPr>
          <w:rFonts w:ascii="Noto Sans" w:hAnsi="Noto Sans" w:cs="Noto Sans"/>
          <w:bCs/>
          <w:color w:val="1A1A1A"/>
          <w:sz w:val="22"/>
          <w:szCs w:val="22"/>
        </w:rPr>
        <w:t>: la producción, el empleo y las horas trabajadas aumentaron a tasa mensual, mientras las remuneraciones reales mantuvieron una evolución positiva. En la comparación anual, persisten diferencias entre las principales variables del sector</w:t>
      </w:r>
      <w:r w:rsidR="00F16AAF" w:rsidRPr="008B729C">
        <w:rPr>
          <w:rFonts w:ascii="Noto Sans" w:hAnsi="Noto Sans" w:cs="Noto Sans"/>
          <w:sz w:val="22"/>
          <w:szCs w:val="22"/>
        </w:rPr>
        <w:t>.</w:t>
      </w:r>
    </w:p>
    <w:p w:rsidR="00BC0BB8" w:rsidRPr="008B729C" w:rsidRDefault="00BC0BB8">
      <w:pPr>
        <w:jc w:val="both"/>
        <w:rPr>
          <w:rFonts w:ascii="Noto Sans" w:hAnsi="Noto Sans" w:cs="Noto Sans"/>
          <w:sz w:val="12"/>
          <w:szCs w:val="12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2"/>
        <w:tblLook w:val="04A0" w:firstRow="1" w:lastRow="0" w:firstColumn="1" w:lastColumn="0" w:noHBand="0" w:noVBand="1"/>
      </w:tblPr>
      <w:tblGrid>
        <w:gridCol w:w="8828"/>
      </w:tblGrid>
      <w:tr w:rsidR="00246E09" w:rsidRPr="008B729C">
        <w:tc>
          <w:tcPr>
            <w:tcW w:w="8828" w:type="dxa"/>
            <w:shd w:val="clear" w:color="auto" w:fill="F4F4F2"/>
          </w:tcPr>
          <w:p w:rsidR="00246E09" w:rsidRPr="008B729C" w:rsidRDefault="00465707">
            <w:pPr>
              <w:shd w:val="clear" w:color="auto" w:fill="F4F4F2"/>
              <w:rPr>
                <w:rFonts w:ascii="Noto Sans" w:hAnsi="Noto Sans" w:cs="Noto Sans"/>
                <w:sz w:val="22"/>
                <w:szCs w:val="22"/>
              </w:rPr>
            </w:pPr>
            <w:r w:rsidRPr="008B729C">
              <w:rPr>
                <w:rFonts w:ascii="Noto Sans" w:hAnsi="Noto Sans" w:cs="Noto Sans"/>
                <w:b/>
                <w:bCs/>
                <w:color w:val="10312B"/>
                <w:sz w:val="22"/>
                <w:szCs w:val="22"/>
              </w:rPr>
              <w:t>Resumen ejecutivo</w:t>
            </w:r>
          </w:p>
          <w:p w:rsidR="008B729C" w:rsidRPr="008B729C" w:rsidRDefault="008B729C" w:rsidP="008B729C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  <w:rPr>
                <w:rFonts w:ascii="Noto Sans" w:hAnsi="Noto Sans" w:cs="Noto Sans"/>
                <w:color w:val="000000"/>
                <w:sz w:val="22"/>
                <w:szCs w:val="22"/>
              </w:rPr>
            </w:pP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La producción manufacturera avanzó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0.1%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 mensual en junio, mientras que a tasa anual se ubicó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2.4%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 por debajo del nivel registrado un año antes.</w:t>
            </w:r>
          </w:p>
          <w:p w:rsidR="008B729C" w:rsidRPr="008B729C" w:rsidRDefault="008B729C" w:rsidP="008B729C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  <w:rPr>
                <w:rFonts w:ascii="Noto Sans" w:hAnsi="Noto Sans" w:cs="Noto Sans"/>
                <w:color w:val="000000"/>
                <w:sz w:val="22"/>
                <w:szCs w:val="22"/>
              </w:rPr>
            </w:pP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El personal ocupado y las horas trabajadas aumentaron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0.1%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 mensual; en la comparación anual, ambos indicadores registraron una variación de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-1.5%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>.</w:t>
            </w:r>
          </w:p>
          <w:p w:rsidR="00246E09" w:rsidRPr="008B729C" w:rsidRDefault="008B729C" w:rsidP="008B729C">
            <w:pPr>
              <w:pStyle w:val="Prrafodelista"/>
              <w:numPr>
                <w:ilvl w:val="0"/>
                <w:numId w:val="32"/>
              </w:numPr>
              <w:shd w:val="clear" w:color="auto" w:fill="F4F4F2"/>
              <w:spacing w:before="30" w:after="30"/>
              <w:jc w:val="both"/>
              <w:rPr>
                <w:rFonts w:ascii="Noto Sans" w:hAnsi="Noto Sans" w:cs="Noto Sans"/>
                <w:color w:val="000000"/>
                <w:sz w:val="22"/>
                <w:szCs w:val="22"/>
              </w:rPr>
            </w:pP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Las remuneraciones medias reales aumentaron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0.6%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 mensual y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2.2%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 xml:space="preserve"> anual; en el mes, las prestaciones sociales, contribuciones y utilidades crecieron </w:t>
            </w:r>
            <w:r w:rsidRPr="008B729C">
              <w:rPr>
                <w:rFonts w:ascii="Noto Sans" w:hAnsi="Noto Sans" w:cs="Noto Sans"/>
                <w:b/>
                <w:color w:val="000000"/>
                <w:sz w:val="22"/>
                <w:szCs w:val="22"/>
              </w:rPr>
              <w:t>1.7%</w:t>
            </w:r>
            <w:r w:rsidRPr="008B729C">
              <w:rPr>
                <w:rFonts w:ascii="Noto Sans" w:hAnsi="Noto Sans" w:cs="Noto Sans"/>
                <w:color w:val="000000"/>
                <w:sz w:val="22"/>
                <w:szCs w:val="22"/>
              </w:rPr>
              <w:t>.</w:t>
            </w:r>
          </w:p>
        </w:tc>
      </w:tr>
    </w:tbl>
    <w:p w:rsidR="00246E09" w:rsidRPr="00E63FDF" w:rsidRDefault="00246E09">
      <w:pPr>
        <w:jc w:val="both"/>
        <w:rPr>
          <w:rFonts w:ascii="Noto Sans" w:hAnsi="Noto Sans" w:cs="Noto Sans"/>
          <w:sz w:val="10"/>
          <w:szCs w:val="10"/>
        </w:rPr>
      </w:pPr>
    </w:p>
    <w:p w:rsidR="00BC0BB8" w:rsidRPr="008B729C" w:rsidRDefault="00BC0BB8">
      <w:pPr>
        <w:jc w:val="center"/>
        <w:rPr>
          <w:rFonts w:ascii="Noto Sans" w:hAnsi="Noto Sans" w:cs="Noto Sans"/>
          <w:b/>
          <w:color w:val="10312B"/>
          <w:sz w:val="12"/>
          <w:szCs w:val="12"/>
        </w:rPr>
      </w:pPr>
    </w:p>
    <w:p w:rsidR="00246E09" w:rsidRPr="00E63FDF" w:rsidRDefault="00465707">
      <w:pPr>
        <w:jc w:val="center"/>
        <w:rPr>
          <w:rFonts w:ascii="Noto Sans" w:hAnsi="Noto Sans" w:cs="Noto Sans"/>
        </w:rPr>
      </w:pPr>
      <w:r w:rsidRPr="00E63FDF">
        <w:rPr>
          <w:rFonts w:ascii="Noto Sans" w:hAnsi="Noto Sans" w:cs="Noto Sans"/>
          <w:b/>
          <w:color w:val="10312B"/>
          <w:sz w:val="22"/>
          <w:szCs w:val="22"/>
        </w:rPr>
        <w:t>Variación mensual del volumen de producción manufacturera, cifras desest., 2025–2026</w:t>
      </w:r>
    </w:p>
    <w:p w:rsidR="00246E09" w:rsidRPr="00E63FDF" w:rsidRDefault="00465707">
      <w:pPr>
        <w:jc w:val="center"/>
        <w:rPr>
          <w:rFonts w:ascii="Noto Sans" w:hAnsi="Noto Sans" w:cs="Noto Sans"/>
        </w:rPr>
      </w:pPr>
      <w:r w:rsidRPr="00E63FDF">
        <w:rPr>
          <w:rFonts w:ascii="Noto Sans" w:hAnsi="Noto Sans" w:cs="Noto Sans"/>
          <w:noProof/>
        </w:rPr>
        <w:drawing>
          <wp:inline distT="0" distB="0" distL="0" distR="0">
            <wp:extent cx="4563836" cy="18054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gae_grafic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5894" cy="18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AAF" w:rsidRDefault="008B729C">
      <w:pPr>
        <w:jc w:val="both"/>
        <w:rPr>
          <w:rFonts w:ascii="Noto Sans" w:hAnsi="Noto Sans" w:cs="Noto Sans"/>
          <w:color w:val="10312B"/>
          <w:sz w:val="22"/>
          <w:szCs w:val="22"/>
        </w:rPr>
      </w:pPr>
      <w:r w:rsidRPr="008B729C">
        <w:rPr>
          <w:rFonts w:ascii="Noto Sans" w:hAnsi="Noto Sans" w:cs="Noto Sans"/>
          <w:sz w:val="22"/>
          <w:szCs w:val="22"/>
          <w:lang w:eastAsia="es-ES_tradnl"/>
        </w:rPr>
        <w:t>En junio, la producción manufacturera registró un avance mensual de 0.1%, después de la disminución observada en mayo</w:t>
      </w:r>
      <w:r w:rsidR="00465707" w:rsidRPr="008B729C">
        <w:rPr>
          <w:rFonts w:ascii="Noto Sans" w:hAnsi="Noto Sans" w:cs="Noto Sans"/>
          <w:color w:val="10312B"/>
          <w:sz w:val="22"/>
          <w:szCs w:val="22"/>
        </w:rPr>
        <w:t>.</w:t>
      </w:r>
    </w:p>
    <w:p w:rsidR="007173C3" w:rsidRPr="008B729C" w:rsidRDefault="007173C3">
      <w:pPr>
        <w:jc w:val="both"/>
        <w:rPr>
          <w:rFonts w:ascii="Noto Sans" w:hAnsi="Noto Sans" w:cs="Noto Sans"/>
          <w:sz w:val="22"/>
          <w:szCs w:val="22"/>
          <w:lang w:eastAsia="es-ES_tradnl"/>
        </w:rPr>
      </w:pPr>
    </w:p>
    <w:p w:rsidR="00246E09" w:rsidRPr="00E63FDF" w:rsidRDefault="00246E09">
      <w:pPr>
        <w:jc w:val="both"/>
        <w:rPr>
          <w:rFonts w:ascii="Noto Sans" w:hAnsi="Noto Sans" w:cs="Noto Sans"/>
          <w:sz w:val="10"/>
          <w:szCs w:val="10"/>
        </w:rPr>
      </w:pPr>
    </w:p>
    <w:p w:rsidR="00246E09" w:rsidRDefault="007173C3">
      <w:pPr>
        <w:jc w:val="center"/>
        <w:rPr>
          <w:rFonts w:ascii="Noto Sans" w:hAnsi="Noto Sans" w:cs="Noto Sans"/>
          <w:b/>
          <w:color w:val="10312B"/>
          <w:sz w:val="22"/>
          <w:szCs w:val="22"/>
        </w:rPr>
      </w:pPr>
      <w:r w:rsidRPr="007173C3">
        <w:rPr>
          <w:rFonts w:ascii="Noto Sans" w:hAnsi="Noto Sans" w:cs="Noto Sans"/>
          <w:b/>
          <w:color w:val="10312B"/>
          <w:sz w:val="22"/>
          <w:szCs w:val="22"/>
        </w:rPr>
        <w:lastRenderedPageBreak/>
        <w:t>Personal ocupado, horas trabajadas y remuneraciones reales</w:t>
      </w:r>
      <w:r w:rsidR="00465707" w:rsidRPr="00E63FDF">
        <w:rPr>
          <w:rFonts w:ascii="Noto Sans" w:hAnsi="Noto Sans" w:cs="Noto Sans"/>
          <w:b/>
          <w:color w:val="10312B"/>
          <w:sz w:val="22"/>
          <w:szCs w:val="22"/>
        </w:rPr>
        <w:t>, 2025–2026</w:t>
      </w:r>
    </w:p>
    <w:p w:rsidR="000D63F2" w:rsidRPr="000D63F2" w:rsidRDefault="000D63F2">
      <w:pPr>
        <w:jc w:val="center"/>
        <w:rPr>
          <w:rFonts w:ascii="Noto Sans" w:hAnsi="Noto Sans" w:cs="Noto Sans"/>
          <w:sz w:val="12"/>
          <w:szCs w:val="12"/>
        </w:rPr>
      </w:pPr>
    </w:p>
    <w:p w:rsidR="00246E09" w:rsidRPr="00FF547B" w:rsidRDefault="00465707" w:rsidP="00FF547B">
      <w:pPr>
        <w:jc w:val="center"/>
        <w:rPr>
          <w:rFonts w:ascii="Noto Sans" w:hAnsi="Noto Sans" w:cs="Noto Sans"/>
        </w:rPr>
      </w:pPr>
      <w:r w:rsidRPr="00E63FDF">
        <w:rPr>
          <w:rFonts w:ascii="Noto Sans" w:hAnsi="Noto Sans" w:cs="Noto Sans"/>
          <w:noProof/>
        </w:rPr>
        <w:drawing>
          <wp:inline distT="0" distB="0" distL="0" distR="0">
            <wp:extent cx="4554101" cy="1801572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gae_grafica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0560" cy="183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C0BB8" w:rsidRPr="00E63FDF" w:rsidRDefault="00BC0BB8">
      <w:pPr>
        <w:jc w:val="both"/>
        <w:rPr>
          <w:rFonts w:ascii="Noto Sans" w:hAnsi="Noto Sans" w:cs="Noto Sans"/>
          <w:sz w:val="6"/>
          <w:szCs w:val="10"/>
        </w:rPr>
      </w:pPr>
    </w:p>
    <w:p w:rsidR="00246E09" w:rsidRPr="00E63FDF" w:rsidRDefault="00465707">
      <w:pPr>
        <w:shd w:val="clear" w:color="auto" w:fill="235B4C"/>
        <w:jc w:val="both"/>
        <w:rPr>
          <w:rFonts w:ascii="Noto Sans" w:hAnsi="Noto Sans" w:cs="Noto Sans"/>
        </w:rPr>
      </w:pPr>
      <w:r w:rsidRPr="00E63FDF">
        <w:rPr>
          <w:rFonts w:ascii="Noto Sans" w:hAnsi="Noto Sans" w:cs="Noto Sans"/>
          <w:b/>
          <w:bCs/>
          <w:color w:val="FFFFFF" w:themeColor="background1"/>
          <w:sz w:val="22"/>
          <w:szCs w:val="22"/>
        </w:rPr>
        <w:t>Lectura sectorial</w:t>
      </w:r>
    </w:p>
    <w:p w:rsidR="00246E09" w:rsidRDefault="007B24C9">
      <w:pPr>
        <w:spacing w:before="60" w:after="60"/>
        <w:jc w:val="both"/>
        <w:rPr>
          <w:rFonts w:ascii="Noto Sans" w:hAnsi="Noto Sans" w:cs="Noto Sans"/>
          <w:color w:val="000000"/>
          <w:sz w:val="20"/>
        </w:rPr>
      </w:pPr>
      <w:r w:rsidRPr="007B24C9">
        <w:rPr>
          <w:rFonts w:ascii="Noto Sans" w:hAnsi="Noto Sans" w:cs="Noto Sans"/>
          <w:color w:val="000000"/>
          <w:sz w:val="20"/>
        </w:rPr>
        <w:t>El desempeño por subsector fue diferenciado: equipo de cómputo y electrónicos, industria química y maquinaria encabezaron los avances en producción; entre los mayores retrocesos se ubicaron derivados del petróleo y carbón, textiles, muebles y equipo de transporte</w:t>
      </w:r>
      <w:r w:rsidR="00465707" w:rsidRPr="00E63FDF">
        <w:rPr>
          <w:rFonts w:ascii="Noto Sans" w:hAnsi="Noto Sans" w:cs="Noto Sans"/>
          <w:color w:val="000000"/>
          <w:sz w:val="20"/>
        </w:rPr>
        <w:t>.</w:t>
      </w:r>
    </w:p>
    <w:p w:rsidR="00445480" w:rsidRPr="00445480" w:rsidRDefault="00445480">
      <w:pPr>
        <w:spacing w:before="60" w:after="60"/>
        <w:jc w:val="both"/>
        <w:rPr>
          <w:rFonts w:ascii="Noto Sans" w:hAnsi="Noto Sans" w:cs="Noto Sans"/>
          <w:sz w:val="12"/>
          <w:szCs w:val="12"/>
        </w:rPr>
      </w:pPr>
    </w:p>
    <w:tbl>
      <w:tblPr>
        <w:tblStyle w:val="Tablaconcuadrcula"/>
        <w:tblW w:w="8784" w:type="dxa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807"/>
        <w:gridCol w:w="2977"/>
      </w:tblGrid>
      <w:tr w:rsidR="009558CE" w:rsidRPr="00E63FDF" w:rsidTr="009558CE">
        <w:tc>
          <w:tcPr>
            <w:tcW w:w="5807" w:type="dxa"/>
            <w:shd w:val="clear" w:color="auto" w:fill="235B4C"/>
          </w:tcPr>
          <w:p w:rsidR="009558CE" w:rsidRPr="00445480" w:rsidRDefault="009558CE" w:rsidP="00E63FDF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b/>
                <w:color w:val="FFFFFF"/>
                <w:sz w:val="16"/>
                <w:szCs w:val="16"/>
              </w:rPr>
              <w:t>Subsector</w:t>
            </w:r>
          </w:p>
        </w:tc>
        <w:tc>
          <w:tcPr>
            <w:tcW w:w="2977" w:type="dxa"/>
            <w:shd w:val="clear" w:color="auto" w:fill="235B4C"/>
          </w:tcPr>
          <w:p w:rsidR="009558CE" w:rsidRPr="00445480" w:rsidRDefault="009558CE" w:rsidP="00E63FDF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b/>
                <w:color w:val="FFFFFF"/>
                <w:sz w:val="16"/>
                <w:szCs w:val="16"/>
              </w:rPr>
              <w:t>Var. anual producción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>
            <w:pPr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334 · Equipo de cómputo y electrónico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000000"/>
                <w:sz w:val="16"/>
                <w:szCs w:val="16"/>
              </w:rPr>
              <w:t>▲</w:t>
            </w: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 xml:space="preserve"> 6.8 %</w:t>
            </w:r>
          </w:p>
        </w:tc>
      </w:tr>
      <w:tr w:rsidR="009558CE" w:rsidRPr="00E63FDF" w:rsidTr="009558CE">
        <w:tc>
          <w:tcPr>
            <w:tcW w:w="5807" w:type="dxa"/>
          </w:tcPr>
          <w:p w:rsidR="009558CE" w:rsidRPr="00445480" w:rsidRDefault="009558CE">
            <w:pPr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325 · Industria química</w:t>
            </w:r>
          </w:p>
        </w:tc>
        <w:tc>
          <w:tcPr>
            <w:tcW w:w="2977" w:type="dxa"/>
          </w:tcPr>
          <w:p w:rsidR="009558CE" w:rsidRPr="00445480" w:rsidRDefault="009558CE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000000"/>
                <w:sz w:val="16"/>
                <w:szCs w:val="16"/>
              </w:rPr>
              <w:t>▲</w:t>
            </w: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 xml:space="preserve"> 5.1 %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>
            <w:pPr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333 · Maquinaria y equipo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000000"/>
                <w:sz w:val="16"/>
                <w:szCs w:val="16"/>
              </w:rPr>
              <w:t>▲</w:t>
            </w: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 xml:space="preserve"> 3.8 %</w:t>
            </w:r>
          </w:p>
        </w:tc>
      </w:tr>
      <w:tr w:rsidR="009558CE" w:rsidRPr="00E63FDF" w:rsidTr="009558CE">
        <w:tc>
          <w:tcPr>
            <w:tcW w:w="5807" w:type="dxa"/>
          </w:tcPr>
          <w:p w:rsidR="009558CE" w:rsidRPr="00445480" w:rsidRDefault="009558CE" w:rsidP="009558CE">
            <w:pPr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331 · Industrias metálicas básicas</w:t>
            </w:r>
          </w:p>
        </w:tc>
        <w:tc>
          <w:tcPr>
            <w:tcW w:w="2977" w:type="dxa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000000"/>
                <w:sz w:val="16"/>
                <w:szCs w:val="16"/>
              </w:rPr>
              <w:t>▲</w:t>
            </w: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 xml:space="preserve"> 3.0 %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316 · Cuero y piel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000000"/>
                <w:sz w:val="16"/>
                <w:szCs w:val="16"/>
              </w:rPr>
              <w:t>▲</w:t>
            </w: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 xml:space="preserve"> 2.6 %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324 · Derivados del petróleo y carbón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C00000"/>
                <w:sz w:val="16"/>
                <w:szCs w:val="16"/>
              </w:rPr>
              <w:t>▼</w:t>
            </w:r>
            <w:r w:rsidRPr="00445480">
              <w:rPr>
                <w:rFonts w:ascii="Noto Sans" w:hAnsi="Noto Sans" w:cs="Noto Sans"/>
                <w:color w:val="C00000"/>
                <w:sz w:val="16"/>
                <w:szCs w:val="16"/>
              </w:rPr>
              <w:t xml:space="preserve"> 5.0 %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313 · Insumos textiles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C00000"/>
                <w:sz w:val="16"/>
                <w:szCs w:val="16"/>
              </w:rPr>
              <w:t>▼</w:t>
            </w:r>
            <w:r w:rsidRPr="00445480">
              <w:rPr>
                <w:rFonts w:ascii="Noto Sans" w:hAnsi="Noto Sans" w:cs="Noto Sans"/>
                <w:color w:val="C00000"/>
                <w:sz w:val="16"/>
                <w:szCs w:val="16"/>
              </w:rPr>
              <w:t xml:space="preserve"> 3.9 %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337 · Muebles, colchones y persianas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C00000"/>
                <w:sz w:val="16"/>
                <w:szCs w:val="16"/>
              </w:rPr>
              <w:t>▼</w:t>
            </w:r>
            <w:r w:rsidRPr="00445480">
              <w:rPr>
                <w:rFonts w:ascii="Noto Sans" w:hAnsi="Noto Sans" w:cs="Noto Sans"/>
                <w:color w:val="C00000"/>
                <w:sz w:val="16"/>
                <w:szCs w:val="16"/>
              </w:rPr>
              <w:t xml:space="preserve"> 3.9 %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336 · Equipo de transporte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C00000"/>
                <w:sz w:val="16"/>
                <w:szCs w:val="16"/>
              </w:rPr>
              <w:t>▼</w:t>
            </w:r>
            <w:r w:rsidRPr="00445480">
              <w:rPr>
                <w:rFonts w:ascii="Noto Sans" w:hAnsi="Noto Sans" w:cs="Noto Sans"/>
                <w:color w:val="C00000"/>
                <w:sz w:val="16"/>
                <w:szCs w:val="16"/>
              </w:rPr>
              <w:t xml:space="preserve"> 3.4 %</w:t>
            </w:r>
          </w:p>
        </w:tc>
      </w:tr>
      <w:tr w:rsidR="009558CE" w:rsidRPr="00E63FDF" w:rsidTr="009558CE">
        <w:tc>
          <w:tcPr>
            <w:tcW w:w="5807" w:type="dxa"/>
            <w:shd w:val="clear" w:color="auto" w:fill="F4F4F2"/>
          </w:tcPr>
          <w:p w:rsidR="009558CE" w:rsidRPr="00445480" w:rsidRDefault="009558CE" w:rsidP="009558CE">
            <w:pPr>
              <w:rPr>
                <w:rFonts w:ascii="Noto Sans" w:hAnsi="Noto Sans" w:cs="Noto Sans"/>
                <w:color w:val="000000"/>
                <w:sz w:val="16"/>
                <w:szCs w:val="16"/>
              </w:rPr>
            </w:pPr>
            <w:r w:rsidRPr="00445480">
              <w:rPr>
                <w:rFonts w:ascii="Noto Sans" w:hAnsi="Noto Sans" w:cs="Noto Sans"/>
                <w:color w:val="000000"/>
                <w:sz w:val="16"/>
                <w:szCs w:val="16"/>
              </w:rPr>
              <w:t>335 · Equipo eléctrico</w:t>
            </w:r>
          </w:p>
        </w:tc>
        <w:tc>
          <w:tcPr>
            <w:tcW w:w="2977" w:type="dxa"/>
            <w:shd w:val="clear" w:color="auto" w:fill="F4F4F2"/>
          </w:tcPr>
          <w:p w:rsidR="009558CE" w:rsidRPr="00445480" w:rsidRDefault="009558CE" w:rsidP="009558CE">
            <w:pPr>
              <w:jc w:val="center"/>
              <w:rPr>
                <w:rFonts w:ascii="Noto Sans" w:hAnsi="Noto Sans" w:cs="Noto Sans"/>
                <w:color w:val="C00000"/>
                <w:sz w:val="16"/>
                <w:szCs w:val="16"/>
              </w:rPr>
            </w:pPr>
            <w:r w:rsidRPr="00445480">
              <w:rPr>
                <w:rFonts w:ascii="Arial" w:hAnsi="Arial" w:cs="Arial"/>
                <w:color w:val="C00000"/>
                <w:sz w:val="16"/>
                <w:szCs w:val="16"/>
              </w:rPr>
              <w:t>▼</w:t>
            </w:r>
            <w:r w:rsidRPr="00445480">
              <w:rPr>
                <w:rFonts w:ascii="Noto Sans" w:hAnsi="Noto Sans" w:cs="Noto Sans"/>
                <w:color w:val="C00000"/>
                <w:sz w:val="16"/>
                <w:szCs w:val="16"/>
              </w:rPr>
              <w:t xml:space="preserve"> 3.2 %</w:t>
            </w:r>
          </w:p>
        </w:tc>
      </w:tr>
    </w:tbl>
    <w:p w:rsidR="00BC0BB8" w:rsidRDefault="00465707">
      <w:pPr>
        <w:spacing w:before="40"/>
        <w:rPr>
          <w:rFonts w:ascii="Noto Sans" w:hAnsi="Noto Sans" w:cs="Noto Sans"/>
          <w:color w:val="4C545B"/>
          <w:sz w:val="15"/>
        </w:rPr>
      </w:pPr>
      <w:r w:rsidRPr="00E63FDF">
        <w:rPr>
          <w:rFonts w:ascii="Noto Sans" w:hAnsi="Noto Sans" w:cs="Noto Sans"/>
          <w:color w:val="4C545B"/>
          <w:sz w:val="15"/>
        </w:rPr>
        <w:t>Nota: variación anual, cifras originales, junio de 2026; sin acumulado por subsector en este boletín.</w:t>
      </w:r>
    </w:p>
    <w:p w:rsidR="00445480" w:rsidRPr="00445480" w:rsidRDefault="00445480">
      <w:pPr>
        <w:spacing w:before="40"/>
        <w:rPr>
          <w:rFonts w:ascii="Noto Sans" w:hAnsi="Noto Sans" w:cs="Noto Sans"/>
          <w:color w:val="4C545B"/>
          <w:sz w:val="12"/>
          <w:szCs w:val="12"/>
        </w:rPr>
      </w:pPr>
    </w:p>
    <w:p w:rsidR="00246E09" w:rsidRPr="00E63FDF" w:rsidRDefault="00246E09">
      <w:pPr>
        <w:jc w:val="both"/>
        <w:rPr>
          <w:rFonts w:ascii="Noto Sans" w:hAnsi="Noto Sans" w:cs="Noto Sans"/>
          <w:sz w:val="10"/>
          <w:szCs w:val="10"/>
        </w:rPr>
      </w:pPr>
    </w:p>
    <w:p w:rsidR="00246E09" w:rsidRPr="00E63FDF" w:rsidRDefault="001F35D2">
      <w:pPr>
        <w:shd w:val="clear" w:color="auto" w:fill="005E4C"/>
        <w:jc w:val="both"/>
        <w:rPr>
          <w:rFonts w:ascii="Noto Sans" w:hAnsi="Noto Sans" w:cs="Noto Sans"/>
        </w:rPr>
      </w:pPr>
      <w:r>
        <w:rPr>
          <w:rFonts w:ascii="Noto Sans" w:hAnsi="Noto Sans" w:cs="Noto Sans"/>
          <w:b/>
          <w:bCs/>
          <w:color w:val="FFFFFF" w:themeColor="background1"/>
          <w:sz w:val="22"/>
          <w:szCs w:val="22"/>
        </w:rPr>
        <w:t>Análisis</w:t>
      </w:r>
    </w:p>
    <w:p w:rsidR="001F35D2" w:rsidRPr="001F35D2" w:rsidRDefault="007B24C9" w:rsidP="00445480">
      <w:pPr>
        <w:pStyle w:val="Prrafodelista"/>
        <w:numPr>
          <w:ilvl w:val="0"/>
          <w:numId w:val="34"/>
        </w:numPr>
        <w:ind w:left="283" w:hanging="357"/>
        <w:jc w:val="both"/>
        <w:rPr>
          <w:rFonts w:ascii="Noto Sans" w:hAnsi="Noto Sans" w:cs="Noto Sans"/>
          <w:sz w:val="22"/>
          <w:lang w:eastAsia="es-ES_tradnl"/>
        </w:rPr>
      </w:pPr>
      <w:r w:rsidRPr="007B24C9">
        <w:rPr>
          <w:rFonts w:ascii="Noto Sans" w:hAnsi="Noto Sans" w:cs="Noto Sans"/>
          <w:bCs/>
          <w:sz w:val="22"/>
          <w:lang w:eastAsia="es-ES_tradnl"/>
        </w:rPr>
        <w:t>El desempeño de junio combina avances moderados en las variables mensuales con niveles de producción y empleo inferiores a los de un año antes; en contraste, las remuneraciones reales mantienen una variación anual positiva</w:t>
      </w:r>
      <w:r w:rsidR="001F35D2">
        <w:rPr>
          <w:rFonts w:ascii="Noto Sans" w:hAnsi="Noto Sans" w:cs="Noto Sans"/>
          <w:bCs/>
          <w:sz w:val="22"/>
          <w:lang w:eastAsia="es-ES_tradnl"/>
        </w:rPr>
        <w:t>.</w:t>
      </w:r>
    </w:p>
    <w:p w:rsidR="001F35D2" w:rsidRPr="001F35D2" w:rsidRDefault="001F35D2" w:rsidP="001F35D2">
      <w:pPr>
        <w:spacing w:before="100" w:beforeAutospacing="1"/>
        <w:ind w:left="-74"/>
        <w:jc w:val="both"/>
        <w:rPr>
          <w:rFonts w:ascii="Noto Sans" w:hAnsi="Noto Sans" w:cs="Noto Sans"/>
          <w:sz w:val="2"/>
          <w:lang w:eastAsia="es-ES_tradnl"/>
        </w:rPr>
      </w:pPr>
    </w:p>
    <w:p w:rsidR="00246E09" w:rsidRPr="00E63FDF" w:rsidRDefault="00465707">
      <w:pPr>
        <w:jc w:val="both"/>
        <w:rPr>
          <w:rFonts w:ascii="Noto Sans" w:hAnsi="Noto Sans" w:cs="Noto Sans"/>
        </w:rPr>
      </w:pPr>
      <w:r w:rsidRPr="00E63FDF">
        <w:rPr>
          <w:rFonts w:ascii="Noto Sans" w:hAnsi="Noto Sans" w:cs="Noto Sans"/>
          <w:b/>
          <w:color w:val="4C545B"/>
          <w:sz w:val="15"/>
        </w:rPr>
        <w:t>Fuente:</w:t>
      </w:r>
      <w:r w:rsidRPr="00E63FDF">
        <w:rPr>
          <w:rFonts w:ascii="Noto Sans" w:hAnsi="Noto Sans" w:cs="Noto Sans"/>
          <w:color w:val="4C545B"/>
          <w:sz w:val="15"/>
        </w:rPr>
        <w:t xml:space="preserve"> INEGI, Encuesta Mensual de la Industria Manufacturera (EMIM), Boletín de Indicador, 17 de agosto de 2026. Cifras de junio de 2026. Próxima publicación: 17 de septiembre de 2026. </w:t>
      </w:r>
    </w:p>
    <w:sectPr w:rsidR="00246E09" w:rsidRPr="00E63FDF">
      <w:headerReference w:type="default" r:id="rId11"/>
      <w:footerReference w:type="even" r:id="rId12"/>
      <w:footerReference w:type="default" r:id="rId13"/>
      <w:pgSz w:w="12240" w:h="15840"/>
      <w:pgMar w:top="1134" w:right="1701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B13F9" w:rsidRDefault="00FB13F9" w:rsidP="00E32E74">
      <w:r>
        <w:separator/>
      </w:r>
    </w:p>
  </w:endnote>
  <w:endnote w:type="continuationSeparator" w:id="0">
    <w:p w:rsidR="00FB13F9" w:rsidRDefault="00FB13F9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Noto Sans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Montserrat Ligh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CE633D"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page">
            <wp:posOffset>-121920</wp:posOffset>
          </wp:positionH>
          <wp:positionV relativeFrom="paragraph">
            <wp:posOffset>-45085</wp:posOffset>
          </wp:positionV>
          <wp:extent cx="7894873" cy="1293628"/>
          <wp:effectExtent l="0" t="0" r="5080" b="1905"/>
          <wp:wrapNone/>
          <wp:docPr id="441815502" name="Imagen 1" descr="Imagen que contiene Aplicación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  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Pr="00E7262E" w:rsidRDefault="00DB54A2" w:rsidP="00A27EAB">
    <w:pPr>
      <w:jc w:val="right"/>
    </w:pPr>
  </w:p>
  <w:p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B13F9" w:rsidRDefault="00FB13F9" w:rsidP="00E32E74">
      <w:r>
        <w:separator/>
      </w:r>
    </w:p>
  </w:footnote>
  <w:footnote w:type="continuationSeparator" w:id="0">
    <w:p w:rsidR="00FB13F9" w:rsidRDefault="00FB13F9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Pr="00E63FDF" w:rsidRDefault="00EA49C5" w:rsidP="00E32E74">
    <w:pPr>
      <w:rPr>
        <w:sz w:val="15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-12700</wp:posOffset>
          </wp:positionH>
          <wp:positionV relativeFrom="paragraph">
            <wp:posOffset>-436626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53939" cy="1257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Default="00DB54A2" w:rsidP="00E32E74"/>
  <w:p w:rsidR="00DB54A2" w:rsidRDefault="00DB54A2" w:rsidP="00E32E74"/>
  <w:p w:rsidR="00F859CD" w:rsidRDefault="00F859CD" w:rsidP="00E32E74"/>
  <w:p w:rsidR="00E63FDF" w:rsidRDefault="00FE6B8B" w:rsidP="00FE6B8B">
    <w:pPr>
      <w:ind w:left="-426"/>
      <w:rPr>
        <w:rFonts w:ascii="Calibri" w:hAnsi="Calibri" w:cs="Calibri"/>
        <w:b/>
        <w:bCs/>
        <w:sz w:val="22"/>
        <w:szCs w:val="22"/>
      </w:rPr>
    </w:pPr>
    <w:r>
      <w:rPr>
        <w:rFonts w:ascii="Calibri" w:hAnsi="Calibri" w:cs="Calibri"/>
        <w:b/>
        <w:bCs/>
        <w:sz w:val="22"/>
        <w:szCs w:val="22"/>
      </w:rPr>
      <w:t>Subsecretaría de Industria y Comercio</w:t>
    </w:r>
  </w:p>
  <w:p w:rsidR="00EA51AD" w:rsidRPr="00E63FDF" w:rsidRDefault="00EA51AD" w:rsidP="00FE6B8B">
    <w:pPr>
      <w:ind w:left="-426"/>
      <w:rPr>
        <w:rFonts w:ascii="Calibri" w:hAnsi="Calibri" w:cs="Calibri"/>
        <w:b/>
        <w:bCs/>
        <w:sz w:val="10"/>
        <w:szCs w:val="22"/>
      </w:rPr>
    </w:pPr>
    <w:r>
      <w:rPr>
        <w:rFonts w:ascii="Noto Sans" w:hAnsi="Noto Sans" w:cs="Noto Sans"/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74F6"/>
    <w:multiLevelType w:val="hybridMultilevel"/>
    <w:tmpl w:val="BD24C636"/>
    <w:lvl w:ilvl="0" w:tplc="0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7E7B97"/>
    <w:multiLevelType w:val="hybridMultilevel"/>
    <w:tmpl w:val="2A4A9C34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E59EC"/>
    <w:multiLevelType w:val="hybridMultilevel"/>
    <w:tmpl w:val="FB16195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90047D"/>
    <w:multiLevelType w:val="hybridMultilevel"/>
    <w:tmpl w:val="A822CF98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2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1B2C3D"/>
    <w:multiLevelType w:val="hybridMultilevel"/>
    <w:tmpl w:val="7A1B2C3E"/>
    <w:lvl w:ilvl="0" w:tplc="F266E762">
      <w:start w:val="1"/>
      <w:numFmt w:val="bullet"/>
      <w:lvlText w:val=""/>
      <w:lvlJc w:val="left"/>
      <w:pPr>
        <w:ind w:left="432" w:hanging="288"/>
      </w:pPr>
      <w:rPr>
        <w:rFonts w:ascii="Symbol" w:hAnsi="Symbol" w:hint="default"/>
      </w:rPr>
    </w:lvl>
    <w:lvl w:ilvl="1" w:tplc="1A44F988">
      <w:numFmt w:val="decimal"/>
      <w:lvlText w:val=""/>
      <w:lvlJc w:val="left"/>
    </w:lvl>
    <w:lvl w:ilvl="2" w:tplc="784A313A">
      <w:numFmt w:val="decimal"/>
      <w:lvlText w:val=""/>
      <w:lvlJc w:val="left"/>
    </w:lvl>
    <w:lvl w:ilvl="3" w:tplc="E940B9BA">
      <w:numFmt w:val="decimal"/>
      <w:lvlText w:val=""/>
      <w:lvlJc w:val="left"/>
    </w:lvl>
    <w:lvl w:ilvl="4" w:tplc="CE9E15B0">
      <w:numFmt w:val="decimal"/>
      <w:lvlText w:val=""/>
      <w:lvlJc w:val="left"/>
    </w:lvl>
    <w:lvl w:ilvl="5" w:tplc="803CE1A8">
      <w:numFmt w:val="decimal"/>
      <w:lvlText w:val=""/>
      <w:lvlJc w:val="left"/>
    </w:lvl>
    <w:lvl w:ilvl="6" w:tplc="7EBEE4BC">
      <w:numFmt w:val="decimal"/>
      <w:lvlText w:val=""/>
      <w:lvlJc w:val="left"/>
    </w:lvl>
    <w:lvl w:ilvl="7" w:tplc="AD3C62DA">
      <w:numFmt w:val="decimal"/>
      <w:lvlText w:val=""/>
      <w:lvlJc w:val="left"/>
    </w:lvl>
    <w:lvl w:ilvl="8" w:tplc="C35E76F4">
      <w:numFmt w:val="decimal"/>
      <w:lvlText w:val=""/>
      <w:lvlJc w:val="left"/>
    </w:lvl>
  </w:abstractNum>
  <w:abstractNum w:abstractNumId="32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"/>
  </w:num>
  <w:num w:numId="3">
    <w:abstractNumId w:val="20"/>
  </w:num>
  <w:num w:numId="4">
    <w:abstractNumId w:val="33"/>
  </w:num>
  <w:num w:numId="5">
    <w:abstractNumId w:val="27"/>
  </w:num>
  <w:num w:numId="6">
    <w:abstractNumId w:val="10"/>
  </w:num>
  <w:num w:numId="7">
    <w:abstractNumId w:val="29"/>
  </w:num>
  <w:num w:numId="8">
    <w:abstractNumId w:val="8"/>
  </w:num>
  <w:num w:numId="9">
    <w:abstractNumId w:val="5"/>
  </w:num>
  <w:num w:numId="10">
    <w:abstractNumId w:val="15"/>
  </w:num>
  <w:num w:numId="11">
    <w:abstractNumId w:val="19"/>
  </w:num>
  <w:num w:numId="12">
    <w:abstractNumId w:val="18"/>
  </w:num>
  <w:num w:numId="13">
    <w:abstractNumId w:val="7"/>
  </w:num>
  <w:num w:numId="14">
    <w:abstractNumId w:val="13"/>
  </w:num>
  <w:num w:numId="15">
    <w:abstractNumId w:val="30"/>
  </w:num>
  <w:num w:numId="16">
    <w:abstractNumId w:val="0"/>
  </w:num>
  <w:num w:numId="17">
    <w:abstractNumId w:val="24"/>
  </w:num>
  <w:num w:numId="18">
    <w:abstractNumId w:val="14"/>
  </w:num>
  <w:num w:numId="19">
    <w:abstractNumId w:val="23"/>
  </w:num>
  <w:num w:numId="20">
    <w:abstractNumId w:val="26"/>
  </w:num>
  <w:num w:numId="21">
    <w:abstractNumId w:val="11"/>
  </w:num>
  <w:num w:numId="22">
    <w:abstractNumId w:val="1"/>
  </w:num>
  <w:num w:numId="23">
    <w:abstractNumId w:val="22"/>
  </w:num>
  <w:num w:numId="24">
    <w:abstractNumId w:val="25"/>
  </w:num>
  <w:num w:numId="25">
    <w:abstractNumId w:val="3"/>
  </w:num>
  <w:num w:numId="26">
    <w:abstractNumId w:val="4"/>
  </w:num>
  <w:num w:numId="27">
    <w:abstractNumId w:val="28"/>
  </w:num>
  <w:num w:numId="28">
    <w:abstractNumId w:val="9"/>
  </w:num>
  <w:num w:numId="29">
    <w:abstractNumId w:val="32"/>
  </w:num>
  <w:num w:numId="30">
    <w:abstractNumId w:val="31"/>
  </w:num>
  <w:num w:numId="31">
    <w:abstractNumId w:val="2"/>
  </w:num>
  <w:num w:numId="32">
    <w:abstractNumId w:val="21"/>
  </w:num>
  <w:num w:numId="33">
    <w:abstractNumId w:val="12"/>
  </w:num>
  <w:num w:numId="34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4C"/>
    <w:rsid w:val="00002027"/>
    <w:rsid w:val="00003EA0"/>
    <w:rsid w:val="0000545B"/>
    <w:rsid w:val="000258F9"/>
    <w:rsid w:val="00025A89"/>
    <w:rsid w:val="00030E8C"/>
    <w:rsid w:val="0003237D"/>
    <w:rsid w:val="000377A6"/>
    <w:rsid w:val="00041BD6"/>
    <w:rsid w:val="000438FF"/>
    <w:rsid w:val="00043F02"/>
    <w:rsid w:val="00046781"/>
    <w:rsid w:val="00050586"/>
    <w:rsid w:val="00054FB9"/>
    <w:rsid w:val="000571C6"/>
    <w:rsid w:val="000A3591"/>
    <w:rsid w:val="000A46AA"/>
    <w:rsid w:val="000A71DD"/>
    <w:rsid w:val="000D126D"/>
    <w:rsid w:val="000D5B48"/>
    <w:rsid w:val="000D63F2"/>
    <w:rsid w:val="000E1551"/>
    <w:rsid w:val="000E263D"/>
    <w:rsid w:val="001106F9"/>
    <w:rsid w:val="00113971"/>
    <w:rsid w:val="00113ADD"/>
    <w:rsid w:val="00136317"/>
    <w:rsid w:val="0013733B"/>
    <w:rsid w:val="00153B11"/>
    <w:rsid w:val="00155DFB"/>
    <w:rsid w:val="0018050E"/>
    <w:rsid w:val="00193DC0"/>
    <w:rsid w:val="00197050"/>
    <w:rsid w:val="00197ADD"/>
    <w:rsid w:val="001A6402"/>
    <w:rsid w:val="001B2972"/>
    <w:rsid w:val="001B64D3"/>
    <w:rsid w:val="001C2D90"/>
    <w:rsid w:val="001C5436"/>
    <w:rsid w:val="001D27D6"/>
    <w:rsid w:val="001D4DE9"/>
    <w:rsid w:val="001E072F"/>
    <w:rsid w:val="001E3E09"/>
    <w:rsid w:val="001F35D2"/>
    <w:rsid w:val="001F561B"/>
    <w:rsid w:val="00204B82"/>
    <w:rsid w:val="00220619"/>
    <w:rsid w:val="002360E8"/>
    <w:rsid w:val="00246E09"/>
    <w:rsid w:val="00254C67"/>
    <w:rsid w:val="00290C17"/>
    <w:rsid w:val="00294C95"/>
    <w:rsid w:val="002C459E"/>
    <w:rsid w:val="002E0889"/>
    <w:rsid w:val="002E131D"/>
    <w:rsid w:val="002E3C28"/>
    <w:rsid w:val="002F4E7A"/>
    <w:rsid w:val="002F6BC1"/>
    <w:rsid w:val="00320CA1"/>
    <w:rsid w:val="00341FF9"/>
    <w:rsid w:val="00344789"/>
    <w:rsid w:val="00360F50"/>
    <w:rsid w:val="0036312B"/>
    <w:rsid w:val="003919F7"/>
    <w:rsid w:val="003B7AF4"/>
    <w:rsid w:val="003E7119"/>
    <w:rsid w:val="004135C9"/>
    <w:rsid w:val="00422AF8"/>
    <w:rsid w:val="00424E7E"/>
    <w:rsid w:val="0042728A"/>
    <w:rsid w:val="00431758"/>
    <w:rsid w:val="0043257D"/>
    <w:rsid w:val="004362C5"/>
    <w:rsid w:val="00437209"/>
    <w:rsid w:val="00445480"/>
    <w:rsid w:val="00465707"/>
    <w:rsid w:val="004676E4"/>
    <w:rsid w:val="00470257"/>
    <w:rsid w:val="0047264F"/>
    <w:rsid w:val="004869A7"/>
    <w:rsid w:val="00486FFD"/>
    <w:rsid w:val="00491EE7"/>
    <w:rsid w:val="0049299F"/>
    <w:rsid w:val="00495548"/>
    <w:rsid w:val="004A74A4"/>
    <w:rsid w:val="004A78F6"/>
    <w:rsid w:val="004B221D"/>
    <w:rsid w:val="004C2B18"/>
    <w:rsid w:val="004D104B"/>
    <w:rsid w:val="004D2236"/>
    <w:rsid w:val="004E388B"/>
    <w:rsid w:val="004E776E"/>
    <w:rsid w:val="004F3817"/>
    <w:rsid w:val="004F590A"/>
    <w:rsid w:val="0050130F"/>
    <w:rsid w:val="00502F3D"/>
    <w:rsid w:val="005267AC"/>
    <w:rsid w:val="00527411"/>
    <w:rsid w:val="005279B6"/>
    <w:rsid w:val="00550647"/>
    <w:rsid w:val="00580B12"/>
    <w:rsid w:val="00587300"/>
    <w:rsid w:val="00591B3A"/>
    <w:rsid w:val="00593514"/>
    <w:rsid w:val="005A57CC"/>
    <w:rsid w:val="005D105A"/>
    <w:rsid w:val="00622BC2"/>
    <w:rsid w:val="00625F36"/>
    <w:rsid w:val="00646C52"/>
    <w:rsid w:val="00661ED1"/>
    <w:rsid w:val="006626AF"/>
    <w:rsid w:val="00662863"/>
    <w:rsid w:val="00667278"/>
    <w:rsid w:val="00671DD9"/>
    <w:rsid w:val="0068031A"/>
    <w:rsid w:val="00697E37"/>
    <w:rsid w:val="006A1F60"/>
    <w:rsid w:val="006F4646"/>
    <w:rsid w:val="00705DC8"/>
    <w:rsid w:val="007173C3"/>
    <w:rsid w:val="00737739"/>
    <w:rsid w:val="007471F1"/>
    <w:rsid w:val="007759A6"/>
    <w:rsid w:val="007816C7"/>
    <w:rsid w:val="0078392B"/>
    <w:rsid w:val="00784B75"/>
    <w:rsid w:val="0079704D"/>
    <w:rsid w:val="007B24C9"/>
    <w:rsid w:val="007B7560"/>
    <w:rsid w:val="007D06F1"/>
    <w:rsid w:val="007D3385"/>
    <w:rsid w:val="007F60B5"/>
    <w:rsid w:val="008003EF"/>
    <w:rsid w:val="00810EC6"/>
    <w:rsid w:val="0082026B"/>
    <w:rsid w:val="00830352"/>
    <w:rsid w:val="00832176"/>
    <w:rsid w:val="0083711C"/>
    <w:rsid w:val="008544E1"/>
    <w:rsid w:val="0086418A"/>
    <w:rsid w:val="00864D64"/>
    <w:rsid w:val="00887FBD"/>
    <w:rsid w:val="00897B8A"/>
    <w:rsid w:val="008A56B9"/>
    <w:rsid w:val="008B36BF"/>
    <w:rsid w:val="008B5764"/>
    <w:rsid w:val="008B729C"/>
    <w:rsid w:val="008D09CA"/>
    <w:rsid w:val="008F0109"/>
    <w:rsid w:val="008F2DC2"/>
    <w:rsid w:val="008F54BD"/>
    <w:rsid w:val="00927F12"/>
    <w:rsid w:val="00930605"/>
    <w:rsid w:val="009558CE"/>
    <w:rsid w:val="009667A4"/>
    <w:rsid w:val="00981CAC"/>
    <w:rsid w:val="00994331"/>
    <w:rsid w:val="00995175"/>
    <w:rsid w:val="00997820"/>
    <w:rsid w:val="009B2B04"/>
    <w:rsid w:val="009D1660"/>
    <w:rsid w:val="009D513B"/>
    <w:rsid w:val="009D662C"/>
    <w:rsid w:val="009E6351"/>
    <w:rsid w:val="00A25E9B"/>
    <w:rsid w:val="00A27EAB"/>
    <w:rsid w:val="00A34818"/>
    <w:rsid w:val="00A503BD"/>
    <w:rsid w:val="00A73CF4"/>
    <w:rsid w:val="00A81B5B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273F4"/>
    <w:rsid w:val="00B62B90"/>
    <w:rsid w:val="00B64AE2"/>
    <w:rsid w:val="00B72087"/>
    <w:rsid w:val="00B93C35"/>
    <w:rsid w:val="00B94BFE"/>
    <w:rsid w:val="00BA7AF6"/>
    <w:rsid w:val="00BB1DC9"/>
    <w:rsid w:val="00BB4307"/>
    <w:rsid w:val="00BC0BB8"/>
    <w:rsid w:val="00BC0F57"/>
    <w:rsid w:val="00BD38B1"/>
    <w:rsid w:val="00BE2C85"/>
    <w:rsid w:val="00BF5F01"/>
    <w:rsid w:val="00C0087D"/>
    <w:rsid w:val="00C122A4"/>
    <w:rsid w:val="00C176D8"/>
    <w:rsid w:val="00C25AC7"/>
    <w:rsid w:val="00C2663E"/>
    <w:rsid w:val="00C33446"/>
    <w:rsid w:val="00C43081"/>
    <w:rsid w:val="00C619F7"/>
    <w:rsid w:val="00C62995"/>
    <w:rsid w:val="00C639EA"/>
    <w:rsid w:val="00C65A1B"/>
    <w:rsid w:val="00C66897"/>
    <w:rsid w:val="00C821D5"/>
    <w:rsid w:val="00C9207B"/>
    <w:rsid w:val="00CA567C"/>
    <w:rsid w:val="00CB38B3"/>
    <w:rsid w:val="00CB70C5"/>
    <w:rsid w:val="00CD4A23"/>
    <w:rsid w:val="00CD7369"/>
    <w:rsid w:val="00CE633D"/>
    <w:rsid w:val="00D10BEE"/>
    <w:rsid w:val="00D2057E"/>
    <w:rsid w:val="00D2376F"/>
    <w:rsid w:val="00D23B89"/>
    <w:rsid w:val="00D263C6"/>
    <w:rsid w:val="00D60BF7"/>
    <w:rsid w:val="00D70252"/>
    <w:rsid w:val="00D70D18"/>
    <w:rsid w:val="00D83A01"/>
    <w:rsid w:val="00D90AAA"/>
    <w:rsid w:val="00D92277"/>
    <w:rsid w:val="00D974FD"/>
    <w:rsid w:val="00DA0C65"/>
    <w:rsid w:val="00DB54A2"/>
    <w:rsid w:val="00DD2599"/>
    <w:rsid w:val="00DD4B7F"/>
    <w:rsid w:val="00DD6CF3"/>
    <w:rsid w:val="00DE76A7"/>
    <w:rsid w:val="00DF38E6"/>
    <w:rsid w:val="00E0538C"/>
    <w:rsid w:val="00E1407E"/>
    <w:rsid w:val="00E161E8"/>
    <w:rsid w:val="00E32E74"/>
    <w:rsid w:val="00E56F00"/>
    <w:rsid w:val="00E577CF"/>
    <w:rsid w:val="00E61388"/>
    <w:rsid w:val="00E63FDF"/>
    <w:rsid w:val="00E7262E"/>
    <w:rsid w:val="00E76409"/>
    <w:rsid w:val="00E94CD4"/>
    <w:rsid w:val="00EA2751"/>
    <w:rsid w:val="00EA49C5"/>
    <w:rsid w:val="00EA51AD"/>
    <w:rsid w:val="00EB1C36"/>
    <w:rsid w:val="00EB1FB8"/>
    <w:rsid w:val="00ED0B2E"/>
    <w:rsid w:val="00F0340D"/>
    <w:rsid w:val="00F05F40"/>
    <w:rsid w:val="00F06026"/>
    <w:rsid w:val="00F16AAF"/>
    <w:rsid w:val="00F231FC"/>
    <w:rsid w:val="00F367B6"/>
    <w:rsid w:val="00F37BF3"/>
    <w:rsid w:val="00F43BA1"/>
    <w:rsid w:val="00F45090"/>
    <w:rsid w:val="00F53CD8"/>
    <w:rsid w:val="00F715E8"/>
    <w:rsid w:val="00F73ED8"/>
    <w:rsid w:val="00F83769"/>
    <w:rsid w:val="00F859CD"/>
    <w:rsid w:val="00F95ABF"/>
    <w:rsid w:val="00FA6B54"/>
    <w:rsid w:val="00FB13F9"/>
    <w:rsid w:val="00FB178F"/>
    <w:rsid w:val="00FD0DC2"/>
    <w:rsid w:val="00FE2C1E"/>
    <w:rsid w:val="00FE6B8B"/>
    <w:rsid w:val="00FF0630"/>
    <w:rsid w:val="00FF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A2509E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4CD4"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next w:val="Normal"/>
    <w:uiPriority w:val="9"/>
    <w:qFormat/>
    <w:rsid w:val="00CD7369"/>
    <w:pPr>
      <w:jc w:val="center"/>
      <w:outlineLvl w:val="0"/>
    </w:pPr>
    <w:rPr>
      <w:rFonts w:eastAsia="Noto Sans" w:cs="Noto Sans"/>
      <w:b/>
      <w:color w:val="670E35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jc w:val="center"/>
      <w:outlineLvl w:val="1"/>
    </w:pPr>
    <w:rPr>
      <w:rFonts w:eastAsia="Montserrat Light" w:cs="Montserrat Light"/>
      <w:b/>
      <w:color w:val="666666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outlineLvl w:val="2"/>
    </w:pPr>
    <w:rPr>
      <w:b/>
      <w:color w:val="FFFFFF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240" w:after="40"/>
      <w:ind w:left="709" w:hanging="709"/>
      <w:outlineLvl w:val="3"/>
    </w:pPr>
    <w:rPr>
      <w:b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jc w:val="right"/>
      <w:outlineLvl w:val="4"/>
    </w:pPr>
    <w:rPr>
      <w:b w:val="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C84662"/>
    <w:pPr>
      <w:spacing w:before="100" w:beforeAutospacing="1" w:after="100" w:afterAutospacing="1"/>
    </w:pPr>
  </w:style>
  <w:style w:type="paragraph" w:styleId="Prrafodelista">
    <w:name w:val="List Paragraph"/>
    <w:basedOn w:val="Normal"/>
    <w:uiPriority w:val="34"/>
    <w:qFormat/>
    <w:rsid w:val="001E119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240"/>
      <w:ind w:left="720" w:hanging="720"/>
    </w:pPr>
    <w:rPr>
      <w:rFonts w:ascii="Univers (W1)" w:hAnsi="Univers (W1)" w:cs="Arial"/>
      <w:color w:val="800080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502F3D"/>
    <w:pPr>
      <w:spacing w:before="100" w:beforeAutospacing="1" w:after="100" w:afterAutospacing="1"/>
    </w:pPr>
  </w:style>
  <w:style w:type="paragraph" w:customStyle="1" w:styleId="xl66">
    <w:name w:val="xl66"/>
    <w:basedOn w:val="Normal"/>
    <w:rsid w:val="00502F3D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100" w:beforeAutospacing="1" w:after="100" w:afterAutospacing="1"/>
    </w:pPr>
  </w:style>
  <w:style w:type="paragraph" w:customStyle="1" w:styleId="xl68">
    <w:name w:val="xl68"/>
    <w:basedOn w:val="Normal"/>
    <w:rsid w:val="00E94CD4"/>
    <w:pPr>
      <w:spacing w:before="100" w:beforeAutospacing="1" w:after="100" w:afterAutospacing="1"/>
    </w:pPr>
    <w:rPr>
      <w:rFonts w:ascii="Calibri" w:hAnsi="Calibri" w:cs="Calibri"/>
      <w:color w:val="000000"/>
    </w:rPr>
  </w:style>
  <w:style w:type="paragraph" w:customStyle="1" w:styleId="pdq2pgselectionanchorcontainer">
    <w:name w:val="pdq2pg_selectionanchorcontainer"/>
    <w:basedOn w:val="Normal"/>
    <w:rsid w:val="00360F50"/>
    <w:pPr>
      <w:spacing w:before="100" w:beforeAutospacing="1" w:after="100" w:afterAutospacing="1"/>
    </w:pPr>
    <w:rPr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8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0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81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92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7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DC1B7AD-6C6A-B249-8F98-F960EDC42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447</Words>
  <Characters>2463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Luis Enrique Buendía</cp:lastModifiedBy>
  <cp:revision>36</cp:revision>
  <cp:lastPrinted>2026-06-17T17:31:00Z</cp:lastPrinted>
  <dcterms:created xsi:type="dcterms:W3CDTF">2026-06-17T17:31:00Z</dcterms:created>
  <dcterms:modified xsi:type="dcterms:W3CDTF">2026-08-17T03:49:00Z</dcterms:modified>
</cp:coreProperties>
</file>