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6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70"/>
      </w:tblGrid>
      <w:tr w:rsidR="007D58BD" w:rsidRPr="008B1B26" w:rsidTr="008B1B26">
        <w:tc>
          <w:tcPr>
            <w:tcW w:w="5670" w:type="dxa"/>
            <w:shd w:val="clear" w:color="auto" w:fill="000000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</w:tcPr>
          <w:p w:rsidR="007D58BD" w:rsidRPr="008B1B26" w:rsidRDefault="008B1B26" w:rsidP="008B1B26">
            <w:pPr>
              <w:jc w:val="both"/>
              <w:rPr>
                <w:rFonts w:ascii="Noto Sans" w:hAnsi="Noto Sans" w:cs="Noto Sans"/>
              </w:rPr>
            </w:pPr>
            <w:r w:rsidRPr="008B1B26">
              <w:rPr>
                <w:rFonts w:ascii="Noto Sans" w:hAnsi="Noto Sans" w:cs="Noto Sans"/>
                <w:b/>
                <w:color w:val="FFFFFF"/>
              </w:rPr>
              <w:t>Boletín de Indicador del 11 de agosto de 2026  | INEGI</w:t>
            </w:r>
          </w:p>
        </w:tc>
      </w:tr>
    </w:tbl>
    <w:p w:rsidR="007D58BD" w:rsidRPr="008B1B26" w:rsidRDefault="007D58BD" w:rsidP="008B1B26">
      <w:pPr>
        <w:spacing w:line="20" w:lineRule="exact"/>
        <w:jc w:val="both"/>
        <w:rPr>
          <w:rFonts w:ascii="Noto Sans" w:hAnsi="Noto Sans" w:cs="Noto Sans"/>
        </w:rPr>
      </w:pPr>
    </w:p>
    <w:tbl>
      <w:tblPr>
        <w:tblW w:w="8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0"/>
      </w:tblGrid>
      <w:tr w:rsidR="007D58BD" w:rsidRPr="008B1B26">
        <w:tc>
          <w:tcPr>
            <w:tcW w:w="8820" w:type="dxa"/>
            <w:shd w:val="clear" w:color="auto" w:fill="235B4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7D58BD" w:rsidRPr="008B1B26" w:rsidRDefault="00AA6EC0" w:rsidP="008B1B26">
            <w:pPr>
              <w:spacing w:before="15" w:after="6"/>
              <w:jc w:val="center"/>
              <w:rPr>
                <w:rFonts w:ascii="Noto Sans" w:hAnsi="Noto Sans" w:cs="Noto Sans"/>
              </w:rPr>
            </w:pPr>
            <w:r w:rsidRPr="008B1B26">
              <w:rPr>
                <w:rFonts w:ascii="Noto Sans" w:eastAsia="Noto Sans" w:hAnsi="Noto Sans" w:cs="Noto Sans"/>
                <w:color w:val="FFFFFF"/>
                <w:sz w:val="14"/>
                <w:szCs w:val="14"/>
              </w:rPr>
              <w:t>Indicador Mensual de la Actividad Industrial (IMAI) · INEGI</w:t>
            </w:r>
          </w:p>
          <w:p w:rsidR="007D58BD" w:rsidRPr="008B1B26" w:rsidRDefault="00AA6EC0" w:rsidP="008B1B26">
            <w:pPr>
              <w:jc w:val="center"/>
              <w:rPr>
                <w:rFonts w:ascii="Noto Sans" w:hAnsi="Noto Sans" w:cs="Noto Sans"/>
              </w:rPr>
            </w:pPr>
            <w:r w:rsidRPr="008B1B26">
              <w:rPr>
                <w:rFonts w:ascii="Noto Sans" w:eastAsia="Noto Sans" w:hAnsi="Noto Sans" w:cs="Noto Sans"/>
                <w:b/>
                <w:bCs/>
                <w:color w:val="FFFFFF"/>
                <w:sz w:val="26"/>
                <w:szCs w:val="26"/>
              </w:rPr>
              <w:t>Actividad industrial en México · Junio de 2026</w:t>
            </w:r>
          </w:p>
        </w:tc>
      </w:tr>
    </w:tbl>
    <w:p w:rsidR="007D58BD" w:rsidRPr="008B1B26" w:rsidRDefault="007D58BD" w:rsidP="008B1B26">
      <w:pPr>
        <w:spacing w:line="20" w:lineRule="exact"/>
        <w:jc w:val="both"/>
        <w:rPr>
          <w:rFonts w:ascii="Noto Sans" w:hAnsi="Noto Sans" w:cs="Noto Sans"/>
        </w:rPr>
      </w:pPr>
    </w:p>
    <w:tbl>
      <w:tblPr>
        <w:tblW w:w="8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0"/>
      </w:tblGrid>
      <w:tr w:rsidR="007D58BD" w:rsidRPr="008B1B26">
        <w:tc>
          <w:tcPr>
            <w:tcW w:w="8820" w:type="dxa"/>
            <w:shd w:val="clear" w:color="auto" w:fill="F4F4F2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7D58BD" w:rsidRPr="008B1B26" w:rsidRDefault="00EA6A7F" w:rsidP="008B1B26">
            <w:pPr>
              <w:spacing w:after="15"/>
              <w:jc w:val="center"/>
              <w:rPr>
                <w:rFonts w:ascii="Noto Sans" w:hAnsi="Noto Sans" w:cs="Noto Sans"/>
              </w:rPr>
            </w:pPr>
            <w:r w:rsidRPr="00EA6A7F">
              <w:rPr>
                <w:rFonts w:ascii="Noto Sans" w:eastAsia="Noto Sans" w:hAnsi="Noto Sans" w:cs="Noto Sans"/>
                <w:b/>
                <w:bCs/>
                <w:color w:val="8C8C8C"/>
                <w:sz w:val="12"/>
                <w:szCs w:val="12"/>
              </w:rPr>
              <w:t>Índice 2018=100</w:t>
            </w:r>
            <w:r>
              <w:rPr>
                <w:rFonts w:ascii="Noto Sans" w:eastAsia="Noto Sans" w:hAnsi="Noto Sans" w:cs="Noto Sans"/>
                <w:b/>
                <w:bCs/>
                <w:color w:val="8C8C8C"/>
                <w:sz w:val="12"/>
                <w:szCs w:val="12"/>
              </w:rPr>
              <w:t xml:space="preserve"> </w:t>
            </w:r>
            <w:r w:rsidRPr="00EA6A7F">
              <w:rPr>
                <w:rFonts w:ascii="Noto Sans" w:eastAsia="Noto Sans" w:hAnsi="Noto Sans" w:cs="Noto Sans"/>
                <w:b/>
                <w:bCs/>
                <w:color w:val="8C8C8C"/>
                <w:sz w:val="12"/>
                <w:szCs w:val="12"/>
              </w:rPr>
              <w:t xml:space="preserve">· </w:t>
            </w:r>
            <w:r w:rsidR="00AA6EC0" w:rsidRPr="008B1B26">
              <w:rPr>
                <w:rFonts w:ascii="Noto Sans" w:eastAsia="Noto Sans" w:hAnsi="Noto Sans" w:cs="Noto Sans"/>
                <w:b/>
                <w:bCs/>
                <w:color w:val="8C8C8C"/>
                <w:sz w:val="12"/>
                <w:szCs w:val="12"/>
              </w:rPr>
              <w:t>ACTIVIDAD INDUSTRIAL, JUNIO 2026</w:t>
            </w:r>
          </w:p>
          <w:p w:rsidR="007D58BD" w:rsidRPr="008B1B26" w:rsidRDefault="00AA6EC0" w:rsidP="008B1B26">
            <w:pPr>
              <w:jc w:val="center"/>
              <w:rPr>
                <w:rFonts w:ascii="Noto Sans" w:hAnsi="Noto Sans" w:cs="Noto Sans"/>
              </w:rPr>
            </w:pPr>
            <w:r w:rsidRPr="008B1B26">
              <w:rPr>
                <w:rFonts w:ascii="Noto Sans" w:eastAsia="Noto Sans" w:hAnsi="Noto Sans" w:cs="Noto Sans"/>
                <w:b/>
                <w:bCs/>
                <w:color w:val="006341"/>
                <w:sz w:val="44"/>
                <w:szCs w:val="44"/>
              </w:rPr>
              <w:t>102.0</w:t>
            </w:r>
          </w:p>
        </w:tc>
      </w:tr>
    </w:tbl>
    <w:p w:rsidR="007D58BD" w:rsidRPr="008B1B26" w:rsidRDefault="007D58BD" w:rsidP="008B1B26">
      <w:pPr>
        <w:spacing w:line="20" w:lineRule="exact"/>
        <w:jc w:val="center"/>
        <w:rPr>
          <w:rFonts w:ascii="Noto Sans" w:hAnsi="Noto Sans" w:cs="Noto Sans"/>
        </w:rPr>
      </w:pPr>
    </w:p>
    <w:tbl>
      <w:tblPr>
        <w:tblW w:w="8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0"/>
        <w:gridCol w:w="2940"/>
        <w:gridCol w:w="2940"/>
      </w:tblGrid>
      <w:tr w:rsidR="007D58BD" w:rsidRPr="008B1B26">
        <w:tc>
          <w:tcPr>
            <w:tcW w:w="2940" w:type="dxa"/>
            <w:shd w:val="clear" w:color="auto" w:fill="000000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8B1B26" w:rsidRDefault="00AA6EC0" w:rsidP="008B1B26">
            <w:pPr>
              <w:jc w:val="center"/>
              <w:rPr>
                <w:rFonts w:ascii="Noto Sans" w:hAnsi="Noto Sans" w:cs="Noto Sans"/>
              </w:rPr>
            </w:pPr>
            <w:r w:rsidRPr="008B1B26">
              <w:rPr>
                <w:rFonts w:ascii="Noto Sans" w:eastAsia="Noto Sans" w:hAnsi="Noto Sans" w:cs="Noto Sans"/>
                <w:b/>
                <w:bCs/>
                <w:color w:val="FFFFFF"/>
                <w:sz w:val="15"/>
                <w:szCs w:val="15"/>
              </w:rPr>
              <w:t>Variación mensual</w:t>
            </w:r>
          </w:p>
        </w:tc>
        <w:tc>
          <w:tcPr>
            <w:tcW w:w="2940" w:type="dxa"/>
            <w:shd w:val="clear" w:color="auto" w:fill="000000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8B1B26" w:rsidRDefault="00AA6EC0" w:rsidP="008B1B26">
            <w:pPr>
              <w:jc w:val="center"/>
              <w:rPr>
                <w:rFonts w:ascii="Noto Sans" w:hAnsi="Noto Sans" w:cs="Noto Sans"/>
              </w:rPr>
            </w:pPr>
            <w:r w:rsidRPr="008B1B26">
              <w:rPr>
                <w:rFonts w:ascii="Noto Sans" w:eastAsia="Noto Sans" w:hAnsi="Noto Sans" w:cs="Noto Sans"/>
                <w:b/>
                <w:bCs/>
                <w:color w:val="FFFFFF"/>
                <w:sz w:val="15"/>
                <w:szCs w:val="15"/>
              </w:rPr>
              <w:t>Variación anual</w:t>
            </w:r>
          </w:p>
        </w:tc>
        <w:tc>
          <w:tcPr>
            <w:tcW w:w="2940" w:type="dxa"/>
            <w:shd w:val="clear" w:color="auto" w:fill="000000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8B1B26" w:rsidRDefault="00AA6EC0" w:rsidP="008B1B26">
            <w:pPr>
              <w:jc w:val="center"/>
              <w:rPr>
                <w:rFonts w:ascii="Noto Sans" w:hAnsi="Noto Sans" w:cs="Noto Sans"/>
              </w:rPr>
            </w:pPr>
            <w:r w:rsidRPr="008B1B26">
              <w:rPr>
                <w:rFonts w:ascii="Noto Sans" w:eastAsia="Noto Sans" w:hAnsi="Noto Sans" w:cs="Noto Sans"/>
                <w:b/>
                <w:bCs/>
                <w:color w:val="FFFFFF"/>
                <w:sz w:val="15"/>
                <w:szCs w:val="15"/>
              </w:rPr>
              <w:t>Acumulado ene-jun 2026</w:t>
            </w:r>
          </w:p>
        </w:tc>
      </w:tr>
      <w:tr w:rsidR="007D58BD" w:rsidRPr="008B1B26">
        <w:tc>
          <w:tcPr>
            <w:tcW w:w="2940" w:type="dxa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8B1B26" w:rsidRDefault="00AA6EC0" w:rsidP="008B1B26">
            <w:pPr>
              <w:jc w:val="center"/>
              <w:rPr>
                <w:rFonts w:ascii="Noto Sans" w:hAnsi="Noto Sans" w:cs="Noto Sans"/>
              </w:rPr>
            </w:pPr>
            <w:r w:rsidRPr="008B1B26">
              <w:rPr>
                <w:rFonts w:ascii="Arial" w:eastAsia="Noto Sans" w:hAnsi="Arial" w:cs="Arial"/>
                <w:b/>
                <w:bCs/>
                <w:color w:val="1A1A1A"/>
                <w:sz w:val="21"/>
                <w:szCs w:val="21"/>
              </w:rPr>
              <w:t>▲</w:t>
            </w:r>
            <w:r w:rsidRPr="008B1B26">
              <w:rPr>
                <w:rFonts w:ascii="Noto Sans" w:eastAsia="Noto Sans" w:hAnsi="Noto Sans" w:cs="Noto Sans"/>
                <w:b/>
                <w:bCs/>
                <w:color w:val="1A1A1A"/>
                <w:sz w:val="21"/>
                <w:szCs w:val="21"/>
              </w:rPr>
              <w:t xml:space="preserve"> +0.2%</w:t>
            </w:r>
          </w:p>
        </w:tc>
        <w:tc>
          <w:tcPr>
            <w:tcW w:w="2940" w:type="dxa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8B1B26" w:rsidRDefault="00AA6EC0" w:rsidP="008B1B26">
            <w:pPr>
              <w:jc w:val="center"/>
              <w:rPr>
                <w:rFonts w:ascii="Noto Sans" w:hAnsi="Noto Sans" w:cs="Noto Sans"/>
              </w:rPr>
            </w:pPr>
            <w:r w:rsidRPr="008B1B26">
              <w:rPr>
                <w:rFonts w:ascii="Arial" w:eastAsia="Noto Sans" w:hAnsi="Arial" w:cs="Arial"/>
                <w:b/>
                <w:bCs/>
                <w:color w:val="1A1A1A"/>
                <w:sz w:val="21"/>
                <w:szCs w:val="21"/>
              </w:rPr>
              <w:t>▲</w:t>
            </w:r>
            <w:r w:rsidRPr="008B1B26">
              <w:rPr>
                <w:rFonts w:ascii="Noto Sans" w:eastAsia="Noto Sans" w:hAnsi="Noto Sans" w:cs="Noto Sans"/>
                <w:b/>
                <w:bCs/>
                <w:color w:val="1A1A1A"/>
                <w:sz w:val="21"/>
                <w:szCs w:val="21"/>
              </w:rPr>
              <w:t xml:space="preserve"> +0.8%</w:t>
            </w:r>
          </w:p>
        </w:tc>
        <w:tc>
          <w:tcPr>
            <w:tcW w:w="2940" w:type="dxa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8B1B26" w:rsidRDefault="00AA6EC0" w:rsidP="008B1B26">
            <w:pPr>
              <w:jc w:val="center"/>
              <w:rPr>
                <w:rFonts w:ascii="Noto Sans" w:hAnsi="Noto Sans" w:cs="Noto Sans"/>
              </w:rPr>
            </w:pPr>
            <w:r w:rsidRPr="008B1B26">
              <w:rPr>
                <w:rFonts w:ascii="Noto Sans" w:eastAsia="Noto Sans" w:hAnsi="Noto Sans" w:cs="Noto Sans"/>
                <w:b/>
                <w:bCs/>
                <w:color w:val="000000"/>
                <w:sz w:val="21"/>
                <w:szCs w:val="21"/>
              </w:rPr>
              <w:t>0.0%</w:t>
            </w:r>
          </w:p>
        </w:tc>
      </w:tr>
    </w:tbl>
    <w:p w:rsidR="007D58BD" w:rsidRDefault="00AA6EC0" w:rsidP="008B1B26">
      <w:pPr>
        <w:spacing w:before="20" w:after="30"/>
        <w:jc w:val="both"/>
        <w:rPr>
          <w:rFonts w:ascii="Noto Sans" w:eastAsia="Noto Sans" w:hAnsi="Noto Sans" w:cs="Noto Sans"/>
          <w:i/>
          <w:iCs/>
          <w:color w:val="4C545B"/>
          <w:sz w:val="16"/>
          <w:szCs w:val="12"/>
        </w:rPr>
      </w:pPr>
      <w:r w:rsidRPr="00B90CBB">
        <w:rPr>
          <w:rFonts w:ascii="Noto Sans" w:eastAsia="Noto Sans" w:hAnsi="Noto Sans" w:cs="Noto Sans"/>
          <w:i/>
          <w:iCs/>
          <w:color w:val="4C545B"/>
          <w:sz w:val="16"/>
          <w:szCs w:val="12"/>
        </w:rPr>
        <w:t xml:space="preserve">Nota: </w:t>
      </w:r>
      <w:r w:rsidR="00C30812" w:rsidRPr="00C30812">
        <w:rPr>
          <w:rFonts w:ascii="Noto Sans" w:eastAsia="Noto Sans" w:hAnsi="Noto Sans" w:cs="Noto Sans"/>
          <w:i/>
          <w:iCs/>
          <w:color w:val="4C545B"/>
          <w:sz w:val="16"/>
          <w:szCs w:val="12"/>
        </w:rPr>
        <w:t xml:space="preserve">El IMAI mide la evolución mensual del volumen físico de la actividad industrial en México; integra minería, </w:t>
      </w:r>
      <w:r w:rsidR="00942FB5" w:rsidRPr="00942FB5">
        <w:rPr>
          <w:rFonts w:ascii="Noto Sans" w:eastAsia="Noto Sans" w:hAnsi="Noto Sans" w:cs="Noto Sans"/>
          <w:i/>
          <w:iCs/>
          <w:color w:val="4C545B"/>
          <w:sz w:val="16"/>
          <w:szCs w:val="12"/>
        </w:rPr>
        <w:t>generación de energía, construcción y manufacturas</w:t>
      </w:r>
      <w:r w:rsidR="00C30812" w:rsidRPr="00C30812">
        <w:rPr>
          <w:rFonts w:ascii="Noto Sans" w:eastAsia="Noto Sans" w:hAnsi="Noto Sans" w:cs="Noto Sans"/>
          <w:i/>
          <w:iCs/>
          <w:color w:val="4C545B"/>
          <w:sz w:val="16"/>
          <w:szCs w:val="12"/>
        </w:rPr>
        <w:t>, con base 2018=100.</w:t>
      </w:r>
    </w:p>
    <w:p w:rsidR="00B90CBB" w:rsidRPr="00B90CBB" w:rsidRDefault="00B90CBB" w:rsidP="008B1B26">
      <w:pPr>
        <w:spacing w:before="20" w:after="30"/>
        <w:jc w:val="both"/>
        <w:rPr>
          <w:rFonts w:ascii="Noto Sans" w:hAnsi="Noto Sans" w:cs="Noto Sans"/>
          <w:sz w:val="8"/>
        </w:rPr>
      </w:pPr>
    </w:p>
    <w:tbl>
      <w:tblPr>
        <w:tblW w:w="8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0"/>
      </w:tblGrid>
      <w:tr w:rsidR="007D58BD" w:rsidRPr="008B1B26">
        <w:tc>
          <w:tcPr>
            <w:tcW w:w="8820" w:type="dxa"/>
            <w:shd w:val="clear" w:color="auto" w:fill="F4F4F2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7D58BD" w:rsidRPr="00604038" w:rsidRDefault="00AA6EC0" w:rsidP="008B1B26">
            <w:pPr>
              <w:spacing w:before="15" w:after="30"/>
              <w:jc w:val="both"/>
              <w:rPr>
                <w:rFonts w:ascii="Noto Sans" w:hAnsi="Noto Sans" w:cs="Noto Sans"/>
                <w:sz w:val="22"/>
              </w:rPr>
            </w:pPr>
            <w:r w:rsidRPr="00604038">
              <w:rPr>
                <w:rFonts w:ascii="Noto Sans" w:eastAsia="Noto Sans" w:hAnsi="Noto Sans" w:cs="Noto Sans"/>
                <w:b/>
                <w:bCs/>
                <w:color w:val="10312B"/>
                <w:sz w:val="22"/>
                <w:szCs w:val="21"/>
              </w:rPr>
              <w:t>Resumen ejecutivo</w:t>
            </w:r>
          </w:p>
          <w:p w:rsidR="007D58BD" w:rsidRPr="00604038" w:rsidRDefault="00AA6EC0" w:rsidP="008B1B26">
            <w:pPr>
              <w:pStyle w:val="Prrafodelista"/>
              <w:numPr>
                <w:ilvl w:val="0"/>
                <w:numId w:val="2"/>
              </w:numPr>
              <w:spacing w:after="12"/>
              <w:jc w:val="both"/>
              <w:rPr>
                <w:rFonts w:ascii="Noto Sans" w:hAnsi="Noto Sans" w:cs="Noto Sans"/>
                <w:sz w:val="22"/>
              </w:rPr>
            </w:pPr>
            <w:r w:rsidRPr="00604038">
              <w:rPr>
                <w:rFonts w:ascii="Noto Sans" w:eastAsia="Noto Sans" w:hAnsi="Noto Sans" w:cs="Noto Sans"/>
                <w:color w:val="000000"/>
                <w:sz w:val="22"/>
                <w:szCs w:val="21"/>
              </w:rPr>
              <w:t xml:space="preserve">El IMAI avanzó </w:t>
            </w:r>
            <w:r w:rsidRPr="00604038">
              <w:rPr>
                <w:rFonts w:ascii="Noto Sans" w:eastAsia="Noto Sans" w:hAnsi="Noto Sans" w:cs="Noto Sans"/>
                <w:b/>
                <w:bCs/>
                <w:color w:val="000000"/>
                <w:sz w:val="22"/>
                <w:szCs w:val="21"/>
              </w:rPr>
              <w:t>0.2% mensual</w:t>
            </w:r>
            <w:r w:rsidRPr="00604038">
              <w:rPr>
                <w:rFonts w:ascii="Noto Sans" w:eastAsia="Noto Sans" w:hAnsi="Noto Sans" w:cs="Noto Sans"/>
                <w:color w:val="000000"/>
                <w:sz w:val="22"/>
                <w:szCs w:val="21"/>
              </w:rPr>
              <w:t xml:space="preserve"> y </w:t>
            </w:r>
            <w:r w:rsidRPr="00604038">
              <w:rPr>
                <w:rFonts w:ascii="Noto Sans" w:eastAsia="Noto Sans" w:hAnsi="Noto Sans" w:cs="Noto Sans"/>
                <w:b/>
                <w:bCs/>
                <w:color w:val="000000"/>
                <w:sz w:val="22"/>
                <w:szCs w:val="21"/>
              </w:rPr>
              <w:t>0.8% anual</w:t>
            </w:r>
            <w:r w:rsidRPr="00604038">
              <w:rPr>
                <w:rFonts w:ascii="Noto Sans" w:eastAsia="Noto Sans" w:hAnsi="Noto Sans" w:cs="Noto Sans"/>
                <w:color w:val="000000"/>
                <w:sz w:val="22"/>
                <w:szCs w:val="21"/>
              </w:rPr>
              <w:t xml:space="preserve"> en junio de 2026, con cifras desestacionalizadas. Con cifras originales, la actividad industrial acumuló una variación de </w:t>
            </w:r>
            <w:r w:rsidRPr="00604038">
              <w:rPr>
                <w:rFonts w:ascii="Noto Sans" w:eastAsia="Noto Sans" w:hAnsi="Noto Sans" w:cs="Noto Sans"/>
                <w:b/>
                <w:bCs/>
                <w:color w:val="000000"/>
                <w:sz w:val="22"/>
                <w:szCs w:val="21"/>
              </w:rPr>
              <w:t>0.0%</w:t>
            </w:r>
            <w:r w:rsidRPr="00604038">
              <w:rPr>
                <w:rFonts w:ascii="Noto Sans" w:eastAsia="Noto Sans" w:hAnsi="Noto Sans" w:cs="Noto Sans"/>
                <w:color w:val="000000"/>
                <w:sz w:val="22"/>
                <w:szCs w:val="21"/>
              </w:rPr>
              <w:t xml:space="preserve"> en enero-junio.</w:t>
            </w:r>
          </w:p>
          <w:p w:rsidR="007D58BD" w:rsidRPr="00604038" w:rsidRDefault="00942FB5" w:rsidP="008B1B26">
            <w:pPr>
              <w:pStyle w:val="Prrafodelista"/>
              <w:numPr>
                <w:ilvl w:val="0"/>
                <w:numId w:val="2"/>
              </w:numPr>
              <w:spacing w:after="12"/>
              <w:jc w:val="both"/>
              <w:rPr>
                <w:rFonts w:ascii="Noto Sans" w:hAnsi="Noto Sans" w:cs="Noto Sans"/>
                <w:sz w:val="22"/>
              </w:rPr>
            </w:pPr>
            <w:r w:rsidRPr="00942FB5">
              <w:rPr>
                <w:rFonts w:ascii="Noto Sans" w:eastAsia="Noto Sans" w:hAnsi="Noto Sans" w:cs="Noto Sans"/>
                <w:color w:val="000000"/>
                <w:sz w:val="22"/>
                <w:szCs w:val="21"/>
              </w:rPr>
              <w:t xml:space="preserve">Construcción </w:t>
            </w:r>
            <w:r w:rsidRPr="00942FB5">
              <w:rPr>
                <w:rFonts w:ascii="Noto Sans" w:eastAsia="Noto Sans" w:hAnsi="Noto Sans" w:cs="Noto Sans"/>
                <w:b/>
                <w:color w:val="000000"/>
                <w:sz w:val="22"/>
                <w:szCs w:val="21"/>
              </w:rPr>
              <w:t>(+3.0%</w:t>
            </w:r>
            <w:r w:rsidRPr="00942FB5">
              <w:rPr>
                <w:rFonts w:ascii="Noto Sans" w:eastAsia="Noto Sans" w:hAnsi="Noto Sans" w:cs="Noto Sans"/>
                <w:color w:val="000000"/>
                <w:sz w:val="22"/>
                <w:szCs w:val="21"/>
              </w:rPr>
              <w:t xml:space="preserve"> mensual), energía, agua y gas </w:t>
            </w:r>
            <w:r w:rsidRPr="00942FB5">
              <w:rPr>
                <w:rFonts w:ascii="Noto Sans" w:eastAsia="Noto Sans" w:hAnsi="Noto Sans" w:cs="Noto Sans"/>
                <w:b/>
                <w:color w:val="000000"/>
                <w:sz w:val="22"/>
                <w:szCs w:val="21"/>
              </w:rPr>
              <w:t>(+0.9%</w:t>
            </w:r>
            <w:r w:rsidRPr="00942FB5">
              <w:rPr>
                <w:rFonts w:ascii="Noto Sans" w:eastAsia="Noto Sans" w:hAnsi="Noto Sans" w:cs="Noto Sans"/>
                <w:color w:val="000000"/>
                <w:sz w:val="22"/>
                <w:szCs w:val="21"/>
              </w:rPr>
              <w:t xml:space="preserve">) y minería </w:t>
            </w:r>
            <w:r w:rsidRPr="00942FB5">
              <w:rPr>
                <w:rFonts w:ascii="Noto Sans" w:eastAsia="Noto Sans" w:hAnsi="Noto Sans" w:cs="Noto Sans"/>
                <w:b/>
                <w:color w:val="000000"/>
                <w:sz w:val="22"/>
                <w:szCs w:val="21"/>
              </w:rPr>
              <w:t>(+0.6%</w:t>
            </w:r>
            <w:r w:rsidRPr="00942FB5">
              <w:rPr>
                <w:rFonts w:ascii="Noto Sans" w:eastAsia="Noto Sans" w:hAnsi="Noto Sans" w:cs="Noto Sans"/>
                <w:color w:val="000000"/>
                <w:sz w:val="22"/>
                <w:szCs w:val="21"/>
              </w:rPr>
              <w:t xml:space="preserve">) registraron avances en junio, mientras manufacturas retrocedió </w:t>
            </w:r>
            <w:r w:rsidRPr="00942FB5">
              <w:rPr>
                <w:rFonts w:ascii="Noto Sans" w:eastAsia="Noto Sans" w:hAnsi="Noto Sans" w:cs="Noto Sans"/>
                <w:b/>
                <w:color w:val="000000"/>
                <w:sz w:val="22"/>
                <w:szCs w:val="21"/>
              </w:rPr>
              <w:t>0.6%</w:t>
            </w:r>
            <w:r w:rsidR="00AA6EC0" w:rsidRPr="00604038">
              <w:rPr>
                <w:rFonts w:ascii="Noto Sans" w:eastAsia="Noto Sans" w:hAnsi="Noto Sans" w:cs="Noto Sans"/>
                <w:color w:val="000000"/>
                <w:sz w:val="22"/>
                <w:szCs w:val="21"/>
              </w:rPr>
              <w:t>.</w:t>
            </w:r>
          </w:p>
          <w:p w:rsidR="007D58BD" w:rsidRPr="00604038" w:rsidRDefault="00AA6EC0" w:rsidP="008B1B26">
            <w:pPr>
              <w:pStyle w:val="Prrafodelista"/>
              <w:numPr>
                <w:ilvl w:val="0"/>
                <w:numId w:val="2"/>
              </w:numPr>
              <w:spacing w:after="12"/>
              <w:jc w:val="both"/>
              <w:rPr>
                <w:rFonts w:ascii="Noto Sans" w:hAnsi="Noto Sans" w:cs="Noto Sans"/>
                <w:sz w:val="22"/>
              </w:rPr>
            </w:pPr>
            <w:r w:rsidRPr="00604038">
              <w:rPr>
                <w:rFonts w:ascii="Noto Sans" w:eastAsia="Noto Sans" w:hAnsi="Noto Sans" w:cs="Noto Sans"/>
                <w:color w:val="000000"/>
                <w:sz w:val="22"/>
                <w:szCs w:val="21"/>
              </w:rPr>
              <w:t>Manufacturas fue el único gran sector con retroceso mensual (</w:t>
            </w:r>
            <w:r w:rsidRPr="00604038">
              <w:rPr>
                <w:rFonts w:ascii="Noto Sans" w:eastAsia="Noto Sans" w:hAnsi="Noto Sans" w:cs="Noto Sans"/>
                <w:b/>
                <w:bCs/>
                <w:color w:val="000000"/>
                <w:sz w:val="22"/>
                <w:szCs w:val="21"/>
              </w:rPr>
              <w:t>-0.6%</w:t>
            </w:r>
            <w:r w:rsidRPr="00604038">
              <w:rPr>
                <w:rFonts w:ascii="Noto Sans" w:eastAsia="Noto Sans" w:hAnsi="Noto Sans" w:cs="Noto Sans"/>
                <w:color w:val="000000"/>
                <w:sz w:val="22"/>
                <w:szCs w:val="21"/>
              </w:rPr>
              <w:t>) y anual (</w:t>
            </w:r>
            <w:r w:rsidRPr="00604038">
              <w:rPr>
                <w:rFonts w:ascii="Noto Sans" w:eastAsia="Noto Sans" w:hAnsi="Noto Sans" w:cs="Noto Sans"/>
                <w:b/>
                <w:bCs/>
                <w:color w:val="000000"/>
                <w:sz w:val="22"/>
                <w:szCs w:val="21"/>
              </w:rPr>
              <w:t>-1.2%</w:t>
            </w:r>
            <w:r w:rsidRPr="00604038">
              <w:rPr>
                <w:rFonts w:ascii="Noto Sans" w:eastAsia="Noto Sans" w:hAnsi="Noto Sans" w:cs="Noto Sans"/>
                <w:color w:val="000000"/>
                <w:sz w:val="22"/>
                <w:szCs w:val="21"/>
              </w:rPr>
              <w:t>).</w:t>
            </w:r>
          </w:p>
          <w:p w:rsidR="007D58BD" w:rsidRPr="00604038" w:rsidRDefault="00FD2954" w:rsidP="008B1B26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Noto Sans" w:hAnsi="Noto Sans" w:cs="Noto Sans"/>
                <w:sz w:val="22"/>
              </w:rPr>
            </w:pPr>
            <w:r w:rsidRPr="00FD2954">
              <w:rPr>
                <w:rFonts w:ascii="Noto Sans" w:eastAsia="Noto Sans" w:hAnsi="Noto Sans" w:cs="Noto Sans"/>
                <w:color w:val="000000"/>
                <w:sz w:val="22"/>
                <w:szCs w:val="21"/>
              </w:rPr>
              <w:t xml:space="preserve">En el primer semestre, minería </w:t>
            </w:r>
            <w:r w:rsidRPr="00FD2954">
              <w:rPr>
                <w:rFonts w:ascii="Noto Sans" w:eastAsia="Noto Sans" w:hAnsi="Noto Sans" w:cs="Noto Sans"/>
                <w:b/>
                <w:color w:val="000000"/>
                <w:sz w:val="22"/>
                <w:szCs w:val="21"/>
              </w:rPr>
              <w:t>(+3.8%</w:t>
            </w:r>
            <w:r w:rsidRPr="00FD2954">
              <w:rPr>
                <w:rFonts w:ascii="Noto Sans" w:eastAsia="Noto Sans" w:hAnsi="Noto Sans" w:cs="Noto Sans"/>
                <w:color w:val="000000"/>
                <w:sz w:val="22"/>
                <w:szCs w:val="21"/>
              </w:rPr>
              <w:t xml:space="preserve">) y construcción </w:t>
            </w:r>
            <w:r w:rsidRPr="00FD2954">
              <w:rPr>
                <w:rFonts w:ascii="Noto Sans" w:eastAsia="Noto Sans" w:hAnsi="Noto Sans" w:cs="Noto Sans"/>
                <w:b/>
                <w:color w:val="000000"/>
                <w:sz w:val="22"/>
                <w:szCs w:val="21"/>
              </w:rPr>
              <w:t>(+2.1%</w:t>
            </w:r>
            <w:r w:rsidRPr="00FD2954">
              <w:rPr>
                <w:rFonts w:ascii="Noto Sans" w:eastAsia="Noto Sans" w:hAnsi="Noto Sans" w:cs="Noto Sans"/>
                <w:color w:val="000000"/>
                <w:sz w:val="22"/>
                <w:szCs w:val="21"/>
              </w:rPr>
              <w:t xml:space="preserve">) contrarrestaron las caídas de manufacturas </w:t>
            </w:r>
            <w:r w:rsidRPr="00FD2954">
              <w:rPr>
                <w:rFonts w:ascii="Noto Sans" w:eastAsia="Noto Sans" w:hAnsi="Noto Sans" w:cs="Noto Sans"/>
                <w:b/>
                <w:color w:val="000000"/>
                <w:sz w:val="22"/>
                <w:szCs w:val="21"/>
              </w:rPr>
              <w:t>(-1.1%</w:t>
            </w:r>
            <w:r w:rsidRPr="00FD2954">
              <w:rPr>
                <w:rFonts w:ascii="Noto Sans" w:eastAsia="Noto Sans" w:hAnsi="Noto Sans" w:cs="Noto Sans"/>
                <w:color w:val="000000"/>
                <w:sz w:val="22"/>
                <w:szCs w:val="21"/>
              </w:rPr>
              <w:t xml:space="preserve">) y energía, agua y gas </w:t>
            </w:r>
            <w:r w:rsidRPr="00FD2954">
              <w:rPr>
                <w:rFonts w:ascii="Noto Sans" w:eastAsia="Noto Sans" w:hAnsi="Noto Sans" w:cs="Noto Sans"/>
                <w:b/>
                <w:color w:val="000000"/>
                <w:sz w:val="22"/>
                <w:szCs w:val="21"/>
              </w:rPr>
              <w:t>(-0.2%</w:t>
            </w:r>
            <w:r w:rsidRPr="00FD2954">
              <w:rPr>
                <w:rFonts w:ascii="Noto Sans" w:eastAsia="Noto Sans" w:hAnsi="Noto Sans" w:cs="Noto Sans"/>
                <w:color w:val="000000"/>
                <w:sz w:val="22"/>
                <w:szCs w:val="21"/>
              </w:rPr>
              <w:t>), por lo que la actividad industrial total permaneció sin variación</w:t>
            </w:r>
            <w:r>
              <w:rPr>
                <w:rFonts w:ascii="Noto Sans" w:eastAsia="Noto Sans" w:hAnsi="Noto Sans" w:cs="Noto Sans"/>
                <w:color w:val="000000"/>
                <w:sz w:val="22"/>
                <w:szCs w:val="21"/>
              </w:rPr>
              <w:t>.</w:t>
            </w:r>
          </w:p>
        </w:tc>
      </w:tr>
    </w:tbl>
    <w:p w:rsidR="00B90CBB" w:rsidRPr="00B90CBB" w:rsidRDefault="00B90CBB" w:rsidP="00604038">
      <w:pPr>
        <w:keepNext/>
        <w:spacing w:before="18"/>
        <w:jc w:val="center"/>
        <w:rPr>
          <w:rFonts w:ascii="Noto Sans" w:eastAsia="Noto Sans" w:hAnsi="Noto Sans" w:cs="Noto Sans"/>
          <w:b/>
          <w:bCs/>
          <w:color w:val="10312B"/>
          <w:sz w:val="13"/>
        </w:rPr>
      </w:pPr>
    </w:p>
    <w:p w:rsidR="007D58BD" w:rsidRPr="008B1B26" w:rsidRDefault="00AA6EC0" w:rsidP="00604038">
      <w:pPr>
        <w:keepNext/>
        <w:spacing w:before="18"/>
        <w:jc w:val="center"/>
        <w:rPr>
          <w:rFonts w:ascii="Noto Sans" w:hAnsi="Noto Sans" w:cs="Noto Sans"/>
        </w:rPr>
      </w:pPr>
      <w:r w:rsidRPr="008B1B26">
        <w:rPr>
          <w:rFonts w:ascii="Noto Sans" w:eastAsia="Noto Sans" w:hAnsi="Noto Sans" w:cs="Noto Sans"/>
          <w:b/>
          <w:bCs/>
          <w:color w:val="10312B"/>
        </w:rPr>
        <w:t>La actividad industrial volvió a crecer en junio, después de la corrección observada en mayo</w:t>
      </w:r>
    </w:p>
    <w:p w:rsidR="007D58BD" w:rsidRPr="008B1B26" w:rsidRDefault="00AA6EC0" w:rsidP="00604038">
      <w:pPr>
        <w:jc w:val="center"/>
        <w:rPr>
          <w:rFonts w:ascii="Noto Sans" w:hAnsi="Noto Sans" w:cs="Noto Sans"/>
        </w:rPr>
      </w:pPr>
      <w:r w:rsidRPr="008B1B26">
        <w:rPr>
          <w:rFonts w:ascii="Noto Sans" w:hAnsi="Noto Sans" w:cs="Noto Sans"/>
          <w:noProof/>
        </w:rPr>
        <w:drawing>
          <wp:inline distT="0" distB="0" distL="0" distR="0">
            <wp:extent cx="4895094" cy="173119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15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CBB" w:rsidRPr="00B90CBB" w:rsidRDefault="00B90CBB" w:rsidP="00604038">
      <w:pPr>
        <w:spacing w:before="40" w:after="30"/>
        <w:jc w:val="center"/>
        <w:rPr>
          <w:rFonts w:ascii="Noto Sans" w:eastAsia="Noto Sans" w:hAnsi="Noto Sans" w:cs="Noto Sans"/>
          <w:b/>
          <w:bCs/>
          <w:color w:val="10312B"/>
          <w:sz w:val="6"/>
        </w:rPr>
      </w:pPr>
    </w:p>
    <w:p w:rsidR="007D58BD" w:rsidRPr="008B1B26" w:rsidRDefault="00AA6EC0" w:rsidP="00604038">
      <w:pPr>
        <w:spacing w:before="40" w:after="30"/>
        <w:jc w:val="center"/>
        <w:rPr>
          <w:rFonts w:ascii="Noto Sans" w:hAnsi="Noto Sans" w:cs="Noto Sans"/>
        </w:rPr>
      </w:pPr>
      <w:r w:rsidRPr="008B1B26">
        <w:rPr>
          <w:rFonts w:ascii="Noto Sans" w:eastAsia="Noto Sans" w:hAnsi="Noto Sans" w:cs="Noto Sans"/>
          <w:b/>
          <w:bCs/>
          <w:color w:val="10312B"/>
        </w:rPr>
        <w:t>Desempeño por sector, junio 2026</w:t>
      </w:r>
    </w:p>
    <w:tbl>
      <w:tblPr>
        <w:tblW w:w="8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73"/>
        <w:gridCol w:w="1873"/>
        <w:gridCol w:w="1874"/>
      </w:tblGrid>
      <w:tr w:rsidR="007D58BD" w:rsidRPr="00604038">
        <w:tc>
          <w:tcPr>
            <w:tcW w:w="3200" w:type="dxa"/>
            <w:shd w:val="clear" w:color="auto" w:fill="235B4C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604038" w:rsidRDefault="00AA6EC0" w:rsidP="008B1B26">
            <w:pPr>
              <w:jc w:val="both"/>
              <w:rPr>
                <w:rFonts w:ascii="Noto Sans" w:hAnsi="Noto Sans" w:cs="Noto Sans"/>
                <w:sz w:val="16"/>
                <w:szCs w:val="16"/>
              </w:rPr>
            </w:pPr>
            <w:r w:rsidRPr="00604038">
              <w:rPr>
                <w:rFonts w:ascii="Noto Sans" w:eastAsia="Noto Sans" w:hAnsi="Noto Sans" w:cs="Noto Sans"/>
                <w:b/>
                <w:bCs/>
                <w:color w:val="FFFFFF"/>
                <w:sz w:val="16"/>
                <w:szCs w:val="16"/>
              </w:rPr>
              <w:t>Sector</w:t>
            </w:r>
          </w:p>
        </w:tc>
        <w:tc>
          <w:tcPr>
            <w:tcW w:w="1873" w:type="dxa"/>
            <w:shd w:val="clear" w:color="auto" w:fill="235B4C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604038" w:rsidRDefault="00AA6EC0" w:rsidP="008B1B26">
            <w:pPr>
              <w:jc w:val="both"/>
              <w:rPr>
                <w:rFonts w:ascii="Noto Sans" w:hAnsi="Noto Sans" w:cs="Noto Sans"/>
                <w:sz w:val="16"/>
                <w:szCs w:val="16"/>
              </w:rPr>
            </w:pPr>
            <w:r w:rsidRPr="00604038">
              <w:rPr>
                <w:rFonts w:ascii="Noto Sans" w:eastAsia="Noto Sans" w:hAnsi="Noto Sans" w:cs="Noto Sans"/>
                <w:b/>
                <w:bCs/>
                <w:color w:val="FFFFFF"/>
                <w:sz w:val="16"/>
                <w:szCs w:val="16"/>
              </w:rPr>
              <w:t>Var. mensual¹</w:t>
            </w:r>
          </w:p>
        </w:tc>
        <w:tc>
          <w:tcPr>
            <w:tcW w:w="1873" w:type="dxa"/>
            <w:shd w:val="clear" w:color="auto" w:fill="235B4C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604038" w:rsidRDefault="00AA6EC0" w:rsidP="008B1B26">
            <w:pPr>
              <w:jc w:val="both"/>
              <w:rPr>
                <w:rFonts w:ascii="Noto Sans" w:hAnsi="Noto Sans" w:cs="Noto Sans"/>
                <w:sz w:val="16"/>
                <w:szCs w:val="16"/>
              </w:rPr>
            </w:pPr>
            <w:r w:rsidRPr="00604038">
              <w:rPr>
                <w:rFonts w:ascii="Noto Sans" w:eastAsia="Noto Sans" w:hAnsi="Noto Sans" w:cs="Noto Sans"/>
                <w:b/>
                <w:bCs/>
                <w:color w:val="FFFFFF"/>
                <w:sz w:val="16"/>
                <w:szCs w:val="16"/>
              </w:rPr>
              <w:t>Var. anual¹</w:t>
            </w:r>
          </w:p>
        </w:tc>
        <w:tc>
          <w:tcPr>
            <w:tcW w:w="1874" w:type="dxa"/>
            <w:shd w:val="clear" w:color="auto" w:fill="235B4C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604038" w:rsidRDefault="00AA6EC0" w:rsidP="008B1B26">
            <w:pPr>
              <w:jc w:val="both"/>
              <w:rPr>
                <w:rFonts w:ascii="Noto Sans" w:hAnsi="Noto Sans" w:cs="Noto Sans"/>
                <w:sz w:val="16"/>
                <w:szCs w:val="16"/>
              </w:rPr>
            </w:pPr>
            <w:r w:rsidRPr="00604038">
              <w:rPr>
                <w:rFonts w:ascii="Noto Sans" w:eastAsia="Noto Sans" w:hAnsi="Noto Sans" w:cs="Noto Sans"/>
                <w:b/>
                <w:bCs/>
                <w:color w:val="FFFFFF"/>
                <w:sz w:val="16"/>
                <w:szCs w:val="16"/>
              </w:rPr>
              <w:t>Ene-jun 2026²</w:t>
            </w:r>
          </w:p>
        </w:tc>
      </w:tr>
      <w:tr w:rsidR="007D58BD" w:rsidRPr="00604038">
        <w:tc>
          <w:tcPr>
            <w:tcW w:w="3200" w:type="dxa"/>
            <w:shd w:val="clear" w:color="auto" w:fill="F4F4F2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604038" w:rsidRDefault="00AA6EC0" w:rsidP="008B1B26">
            <w:pPr>
              <w:jc w:val="both"/>
              <w:rPr>
                <w:rFonts w:ascii="Noto Sans" w:hAnsi="Noto Sans" w:cs="Noto Sans"/>
                <w:sz w:val="16"/>
                <w:szCs w:val="16"/>
              </w:rPr>
            </w:pPr>
            <w:r w:rsidRPr="00604038">
              <w:rPr>
                <w:rFonts w:ascii="Noto Sans" w:eastAsia="Noto Sans" w:hAnsi="Noto Sans" w:cs="Noto Sans"/>
                <w:b/>
                <w:bCs/>
                <w:color w:val="000000"/>
                <w:sz w:val="16"/>
                <w:szCs w:val="16"/>
              </w:rPr>
              <w:t>Actividad industrial</w:t>
            </w:r>
          </w:p>
        </w:tc>
        <w:tc>
          <w:tcPr>
            <w:tcW w:w="1873" w:type="dxa"/>
            <w:shd w:val="clear" w:color="auto" w:fill="F4F4F2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604038" w:rsidRDefault="00AA6EC0" w:rsidP="008B1B26">
            <w:pPr>
              <w:jc w:val="both"/>
              <w:rPr>
                <w:rFonts w:ascii="Noto Sans" w:hAnsi="Noto Sans" w:cs="Noto Sans"/>
                <w:sz w:val="16"/>
                <w:szCs w:val="16"/>
              </w:rPr>
            </w:pPr>
            <w:r w:rsidRPr="00604038">
              <w:rPr>
                <w:rFonts w:ascii="Arial" w:eastAsia="Noto Sans" w:hAnsi="Arial" w:cs="Arial"/>
                <w:b/>
                <w:bCs/>
                <w:color w:val="1A1A1A"/>
                <w:sz w:val="16"/>
                <w:szCs w:val="16"/>
              </w:rPr>
              <w:t>▲</w:t>
            </w:r>
            <w:r w:rsidRPr="00604038">
              <w:rPr>
                <w:rFonts w:ascii="Noto Sans" w:eastAsia="Noto Sans" w:hAnsi="Noto Sans" w:cs="Noto Sans"/>
                <w:b/>
                <w:bCs/>
                <w:color w:val="1A1A1A"/>
                <w:sz w:val="16"/>
                <w:szCs w:val="16"/>
              </w:rPr>
              <w:t xml:space="preserve"> 0.2%</w:t>
            </w:r>
          </w:p>
        </w:tc>
        <w:tc>
          <w:tcPr>
            <w:tcW w:w="1873" w:type="dxa"/>
            <w:shd w:val="clear" w:color="auto" w:fill="F4F4F2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604038" w:rsidRDefault="00AA6EC0" w:rsidP="008B1B26">
            <w:pPr>
              <w:jc w:val="both"/>
              <w:rPr>
                <w:rFonts w:ascii="Noto Sans" w:hAnsi="Noto Sans" w:cs="Noto Sans"/>
                <w:sz w:val="16"/>
                <w:szCs w:val="16"/>
              </w:rPr>
            </w:pPr>
            <w:r w:rsidRPr="00604038">
              <w:rPr>
                <w:rFonts w:ascii="Arial" w:eastAsia="Noto Sans" w:hAnsi="Arial" w:cs="Arial"/>
                <w:b/>
                <w:bCs/>
                <w:color w:val="1A1A1A"/>
                <w:sz w:val="16"/>
                <w:szCs w:val="16"/>
              </w:rPr>
              <w:t>▲</w:t>
            </w:r>
            <w:r w:rsidRPr="00604038">
              <w:rPr>
                <w:rFonts w:ascii="Noto Sans" w:eastAsia="Noto Sans" w:hAnsi="Noto Sans" w:cs="Noto Sans"/>
                <w:b/>
                <w:bCs/>
                <w:color w:val="1A1A1A"/>
                <w:sz w:val="16"/>
                <w:szCs w:val="16"/>
              </w:rPr>
              <w:t xml:space="preserve"> 0.8%</w:t>
            </w:r>
          </w:p>
        </w:tc>
        <w:tc>
          <w:tcPr>
            <w:tcW w:w="1874" w:type="dxa"/>
            <w:shd w:val="clear" w:color="auto" w:fill="F4F4F2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604038" w:rsidRDefault="00AA6EC0" w:rsidP="008B1B26">
            <w:pPr>
              <w:jc w:val="both"/>
              <w:rPr>
                <w:rFonts w:ascii="Noto Sans" w:hAnsi="Noto Sans" w:cs="Noto Sans"/>
                <w:sz w:val="16"/>
                <w:szCs w:val="16"/>
              </w:rPr>
            </w:pPr>
            <w:r w:rsidRPr="00604038">
              <w:rPr>
                <w:rFonts w:ascii="Noto Sans" w:eastAsia="Noto Sans" w:hAnsi="Noto Sans" w:cs="Noto Sans"/>
                <w:b/>
                <w:bCs/>
                <w:color w:val="000000"/>
                <w:sz w:val="16"/>
                <w:szCs w:val="16"/>
              </w:rPr>
              <w:t>0.0%</w:t>
            </w:r>
          </w:p>
        </w:tc>
      </w:tr>
      <w:tr w:rsidR="007D58BD" w:rsidRPr="00604038">
        <w:tc>
          <w:tcPr>
            <w:tcW w:w="3200" w:type="dxa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604038" w:rsidRDefault="00AA6EC0" w:rsidP="008B1B26">
            <w:pPr>
              <w:jc w:val="both"/>
              <w:rPr>
                <w:rFonts w:ascii="Noto Sans" w:hAnsi="Noto Sans" w:cs="Noto Sans"/>
                <w:sz w:val="16"/>
                <w:szCs w:val="16"/>
              </w:rPr>
            </w:pPr>
            <w:r w:rsidRPr="00604038">
              <w:rPr>
                <w:rFonts w:ascii="Noto Sans" w:eastAsia="Noto Sans" w:hAnsi="Noto Sans" w:cs="Noto Sans"/>
                <w:color w:val="000000"/>
                <w:sz w:val="16"/>
                <w:szCs w:val="16"/>
              </w:rPr>
              <w:t>Minería</w:t>
            </w:r>
          </w:p>
        </w:tc>
        <w:tc>
          <w:tcPr>
            <w:tcW w:w="1873" w:type="dxa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604038" w:rsidRDefault="00AA6EC0" w:rsidP="008B1B26">
            <w:pPr>
              <w:jc w:val="both"/>
              <w:rPr>
                <w:rFonts w:ascii="Noto Sans" w:hAnsi="Noto Sans" w:cs="Noto Sans"/>
                <w:sz w:val="16"/>
                <w:szCs w:val="16"/>
              </w:rPr>
            </w:pPr>
            <w:r w:rsidRPr="00604038">
              <w:rPr>
                <w:rFonts w:ascii="Arial" w:eastAsia="Noto Sans" w:hAnsi="Arial" w:cs="Arial"/>
                <w:color w:val="1A1A1A"/>
                <w:sz w:val="16"/>
                <w:szCs w:val="16"/>
              </w:rPr>
              <w:t>▲</w:t>
            </w:r>
            <w:r w:rsidRPr="00604038">
              <w:rPr>
                <w:rFonts w:ascii="Noto Sans" w:eastAsia="Noto Sans" w:hAnsi="Noto Sans" w:cs="Noto Sans"/>
                <w:color w:val="1A1A1A"/>
                <w:sz w:val="16"/>
                <w:szCs w:val="16"/>
              </w:rPr>
              <w:t xml:space="preserve"> 0.6%</w:t>
            </w:r>
          </w:p>
        </w:tc>
        <w:tc>
          <w:tcPr>
            <w:tcW w:w="1873" w:type="dxa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604038" w:rsidRDefault="00AA6EC0" w:rsidP="008B1B26">
            <w:pPr>
              <w:jc w:val="both"/>
              <w:rPr>
                <w:rFonts w:ascii="Noto Sans" w:hAnsi="Noto Sans" w:cs="Noto Sans"/>
                <w:sz w:val="16"/>
                <w:szCs w:val="16"/>
              </w:rPr>
            </w:pPr>
            <w:r w:rsidRPr="00604038">
              <w:rPr>
                <w:rFonts w:ascii="Arial" w:eastAsia="Noto Sans" w:hAnsi="Arial" w:cs="Arial"/>
                <w:color w:val="1A1A1A"/>
                <w:sz w:val="16"/>
                <w:szCs w:val="16"/>
              </w:rPr>
              <w:t>▲</w:t>
            </w:r>
            <w:r w:rsidRPr="00604038">
              <w:rPr>
                <w:rFonts w:ascii="Noto Sans" w:eastAsia="Noto Sans" w:hAnsi="Noto Sans" w:cs="Noto Sans"/>
                <w:color w:val="1A1A1A"/>
                <w:sz w:val="16"/>
                <w:szCs w:val="16"/>
              </w:rPr>
              <w:t xml:space="preserve"> 7.0%</w:t>
            </w:r>
          </w:p>
        </w:tc>
        <w:tc>
          <w:tcPr>
            <w:tcW w:w="1874" w:type="dxa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604038" w:rsidRDefault="00AA6EC0" w:rsidP="008B1B26">
            <w:pPr>
              <w:jc w:val="both"/>
              <w:rPr>
                <w:rFonts w:ascii="Noto Sans" w:hAnsi="Noto Sans" w:cs="Noto Sans"/>
                <w:sz w:val="16"/>
                <w:szCs w:val="16"/>
              </w:rPr>
            </w:pPr>
            <w:r w:rsidRPr="00604038">
              <w:rPr>
                <w:rFonts w:ascii="Arial" w:eastAsia="Noto Sans" w:hAnsi="Arial" w:cs="Arial"/>
                <w:color w:val="1A1A1A"/>
                <w:sz w:val="16"/>
                <w:szCs w:val="16"/>
              </w:rPr>
              <w:t>▲</w:t>
            </w:r>
            <w:r w:rsidRPr="00604038">
              <w:rPr>
                <w:rFonts w:ascii="Noto Sans" w:eastAsia="Noto Sans" w:hAnsi="Noto Sans" w:cs="Noto Sans"/>
                <w:color w:val="1A1A1A"/>
                <w:sz w:val="16"/>
                <w:szCs w:val="16"/>
              </w:rPr>
              <w:t xml:space="preserve"> 3.8%</w:t>
            </w:r>
          </w:p>
        </w:tc>
      </w:tr>
      <w:tr w:rsidR="007D58BD" w:rsidRPr="00604038">
        <w:tc>
          <w:tcPr>
            <w:tcW w:w="3200" w:type="dxa"/>
            <w:shd w:val="clear" w:color="auto" w:fill="F4F4F2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604038" w:rsidRDefault="00AA6EC0" w:rsidP="008B1B26">
            <w:pPr>
              <w:jc w:val="both"/>
              <w:rPr>
                <w:rFonts w:ascii="Noto Sans" w:hAnsi="Noto Sans" w:cs="Noto Sans"/>
                <w:sz w:val="16"/>
                <w:szCs w:val="16"/>
              </w:rPr>
            </w:pPr>
            <w:r w:rsidRPr="00604038">
              <w:rPr>
                <w:rFonts w:ascii="Noto Sans" w:eastAsia="Noto Sans" w:hAnsi="Noto Sans" w:cs="Noto Sans"/>
                <w:color w:val="000000"/>
                <w:sz w:val="16"/>
                <w:szCs w:val="16"/>
              </w:rPr>
              <w:t>Energía, agua y gas</w:t>
            </w:r>
          </w:p>
        </w:tc>
        <w:tc>
          <w:tcPr>
            <w:tcW w:w="1873" w:type="dxa"/>
            <w:shd w:val="clear" w:color="auto" w:fill="F4F4F2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604038" w:rsidRDefault="00AA6EC0" w:rsidP="008B1B26">
            <w:pPr>
              <w:jc w:val="both"/>
              <w:rPr>
                <w:rFonts w:ascii="Noto Sans" w:hAnsi="Noto Sans" w:cs="Noto Sans"/>
                <w:sz w:val="16"/>
                <w:szCs w:val="16"/>
              </w:rPr>
            </w:pPr>
            <w:r w:rsidRPr="00604038">
              <w:rPr>
                <w:rFonts w:ascii="Arial" w:eastAsia="Noto Sans" w:hAnsi="Arial" w:cs="Arial"/>
                <w:color w:val="1A1A1A"/>
                <w:sz w:val="16"/>
                <w:szCs w:val="16"/>
              </w:rPr>
              <w:t>▲</w:t>
            </w:r>
            <w:r w:rsidRPr="00604038">
              <w:rPr>
                <w:rFonts w:ascii="Noto Sans" w:eastAsia="Noto Sans" w:hAnsi="Noto Sans" w:cs="Noto Sans"/>
                <w:color w:val="1A1A1A"/>
                <w:sz w:val="16"/>
                <w:szCs w:val="16"/>
              </w:rPr>
              <w:t xml:space="preserve"> 0.9%</w:t>
            </w:r>
          </w:p>
        </w:tc>
        <w:tc>
          <w:tcPr>
            <w:tcW w:w="1873" w:type="dxa"/>
            <w:shd w:val="clear" w:color="auto" w:fill="F4F4F2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604038" w:rsidRDefault="00AA6EC0" w:rsidP="008B1B26">
            <w:pPr>
              <w:jc w:val="both"/>
              <w:rPr>
                <w:rFonts w:ascii="Noto Sans" w:hAnsi="Noto Sans" w:cs="Noto Sans"/>
                <w:sz w:val="16"/>
                <w:szCs w:val="16"/>
              </w:rPr>
            </w:pPr>
            <w:r w:rsidRPr="00604038">
              <w:rPr>
                <w:rFonts w:ascii="Arial" w:eastAsia="Noto Sans" w:hAnsi="Arial" w:cs="Arial"/>
                <w:color w:val="1A1A1A"/>
                <w:sz w:val="16"/>
                <w:szCs w:val="16"/>
              </w:rPr>
              <w:t>▲</w:t>
            </w:r>
            <w:r w:rsidRPr="00604038">
              <w:rPr>
                <w:rFonts w:ascii="Noto Sans" w:eastAsia="Noto Sans" w:hAnsi="Noto Sans" w:cs="Noto Sans"/>
                <w:color w:val="1A1A1A"/>
                <w:sz w:val="16"/>
                <w:szCs w:val="16"/>
              </w:rPr>
              <w:t xml:space="preserve"> 0.7%</w:t>
            </w:r>
          </w:p>
        </w:tc>
        <w:tc>
          <w:tcPr>
            <w:tcW w:w="1874" w:type="dxa"/>
            <w:shd w:val="clear" w:color="auto" w:fill="F4F4F2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604038" w:rsidRDefault="00AA6EC0" w:rsidP="008B1B26">
            <w:pPr>
              <w:jc w:val="both"/>
              <w:rPr>
                <w:rFonts w:ascii="Noto Sans" w:hAnsi="Noto Sans" w:cs="Noto Sans"/>
                <w:sz w:val="16"/>
                <w:szCs w:val="16"/>
              </w:rPr>
            </w:pPr>
            <w:r w:rsidRPr="00604038">
              <w:rPr>
                <w:rFonts w:ascii="Arial" w:eastAsia="Noto Sans" w:hAnsi="Arial" w:cs="Arial"/>
                <w:color w:val="C00000"/>
                <w:sz w:val="16"/>
                <w:szCs w:val="16"/>
              </w:rPr>
              <w:t>▼</w:t>
            </w:r>
            <w:r w:rsidRPr="00604038">
              <w:rPr>
                <w:rFonts w:ascii="Noto Sans" w:eastAsia="Noto Sans" w:hAnsi="Noto Sans" w:cs="Noto Sans"/>
                <w:color w:val="C00000"/>
                <w:sz w:val="16"/>
                <w:szCs w:val="16"/>
              </w:rPr>
              <w:t xml:space="preserve"> -0.2%</w:t>
            </w:r>
          </w:p>
        </w:tc>
      </w:tr>
      <w:tr w:rsidR="007D58BD" w:rsidRPr="00604038">
        <w:tc>
          <w:tcPr>
            <w:tcW w:w="3200" w:type="dxa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604038" w:rsidRDefault="00AA6EC0" w:rsidP="008B1B26">
            <w:pPr>
              <w:jc w:val="both"/>
              <w:rPr>
                <w:rFonts w:ascii="Noto Sans" w:hAnsi="Noto Sans" w:cs="Noto Sans"/>
                <w:sz w:val="16"/>
                <w:szCs w:val="16"/>
              </w:rPr>
            </w:pPr>
            <w:r w:rsidRPr="00604038">
              <w:rPr>
                <w:rFonts w:ascii="Noto Sans" w:eastAsia="Noto Sans" w:hAnsi="Noto Sans" w:cs="Noto Sans"/>
                <w:color w:val="000000"/>
                <w:sz w:val="16"/>
                <w:szCs w:val="16"/>
              </w:rPr>
              <w:t>Construcción</w:t>
            </w:r>
          </w:p>
        </w:tc>
        <w:tc>
          <w:tcPr>
            <w:tcW w:w="1873" w:type="dxa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604038" w:rsidRDefault="00AA6EC0" w:rsidP="008B1B26">
            <w:pPr>
              <w:jc w:val="both"/>
              <w:rPr>
                <w:rFonts w:ascii="Noto Sans" w:hAnsi="Noto Sans" w:cs="Noto Sans"/>
                <w:sz w:val="16"/>
                <w:szCs w:val="16"/>
              </w:rPr>
            </w:pPr>
            <w:r w:rsidRPr="00604038">
              <w:rPr>
                <w:rFonts w:ascii="Arial" w:eastAsia="Noto Sans" w:hAnsi="Arial" w:cs="Arial"/>
                <w:color w:val="1A1A1A"/>
                <w:sz w:val="16"/>
                <w:szCs w:val="16"/>
              </w:rPr>
              <w:t>▲</w:t>
            </w:r>
            <w:r w:rsidRPr="00604038">
              <w:rPr>
                <w:rFonts w:ascii="Noto Sans" w:eastAsia="Noto Sans" w:hAnsi="Noto Sans" w:cs="Noto Sans"/>
                <w:color w:val="1A1A1A"/>
                <w:sz w:val="16"/>
                <w:szCs w:val="16"/>
              </w:rPr>
              <w:t xml:space="preserve"> 3.0%</w:t>
            </w:r>
          </w:p>
        </w:tc>
        <w:tc>
          <w:tcPr>
            <w:tcW w:w="1873" w:type="dxa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604038" w:rsidRDefault="00AA6EC0" w:rsidP="008B1B26">
            <w:pPr>
              <w:jc w:val="both"/>
              <w:rPr>
                <w:rFonts w:ascii="Noto Sans" w:hAnsi="Noto Sans" w:cs="Noto Sans"/>
                <w:sz w:val="16"/>
                <w:szCs w:val="16"/>
              </w:rPr>
            </w:pPr>
            <w:r w:rsidRPr="00604038">
              <w:rPr>
                <w:rFonts w:ascii="Arial" w:eastAsia="Noto Sans" w:hAnsi="Arial" w:cs="Arial"/>
                <w:color w:val="1A1A1A"/>
                <w:sz w:val="16"/>
                <w:szCs w:val="16"/>
              </w:rPr>
              <w:t>▲</w:t>
            </w:r>
            <w:r w:rsidRPr="00604038">
              <w:rPr>
                <w:rFonts w:ascii="Noto Sans" w:eastAsia="Noto Sans" w:hAnsi="Noto Sans" w:cs="Noto Sans"/>
                <w:color w:val="1A1A1A"/>
                <w:sz w:val="16"/>
                <w:szCs w:val="16"/>
              </w:rPr>
              <w:t xml:space="preserve"> 4.2%</w:t>
            </w:r>
          </w:p>
        </w:tc>
        <w:tc>
          <w:tcPr>
            <w:tcW w:w="1874" w:type="dxa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604038" w:rsidRDefault="00AA6EC0" w:rsidP="008B1B26">
            <w:pPr>
              <w:jc w:val="both"/>
              <w:rPr>
                <w:rFonts w:ascii="Noto Sans" w:hAnsi="Noto Sans" w:cs="Noto Sans"/>
                <w:sz w:val="16"/>
                <w:szCs w:val="16"/>
              </w:rPr>
            </w:pPr>
            <w:r w:rsidRPr="00604038">
              <w:rPr>
                <w:rFonts w:ascii="Arial" w:eastAsia="Noto Sans" w:hAnsi="Arial" w:cs="Arial"/>
                <w:color w:val="1A1A1A"/>
                <w:sz w:val="16"/>
                <w:szCs w:val="16"/>
              </w:rPr>
              <w:t>▲</w:t>
            </w:r>
            <w:r w:rsidRPr="00604038">
              <w:rPr>
                <w:rFonts w:ascii="Noto Sans" w:eastAsia="Noto Sans" w:hAnsi="Noto Sans" w:cs="Noto Sans"/>
                <w:color w:val="1A1A1A"/>
                <w:sz w:val="16"/>
                <w:szCs w:val="16"/>
              </w:rPr>
              <w:t xml:space="preserve"> 2.1%</w:t>
            </w:r>
          </w:p>
        </w:tc>
      </w:tr>
      <w:tr w:rsidR="007D58BD" w:rsidRPr="00604038">
        <w:tc>
          <w:tcPr>
            <w:tcW w:w="3200" w:type="dxa"/>
            <w:shd w:val="clear" w:color="auto" w:fill="F4F4F2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604038" w:rsidRDefault="00AA6EC0" w:rsidP="008B1B26">
            <w:pPr>
              <w:jc w:val="both"/>
              <w:rPr>
                <w:rFonts w:ascii="Noto Sans" w:hAnsi="Noto Sans" w:cs="Noto Sans"/>
                <w:sz w:val="16"/>
                <w:szCs w:val="16"/>
              </w:rPr>
            </w:pPr>
            <w:r w:rsidRPr="00604038">
              <w:rPr>
                <w:rFonts w:ascii="Noto Sans" w:eastAsia="Noto Sans" w:hAnsi="Noto Sans" w:cs="Noto Sans"/>
                <w:color w:val="000000"/>
                <w:sz w:val="16"/>
                <w:szCs w:val="16"/>
              </w:rPr>
              <w:t>Industrias manufactureras</w:t>
            </w:r>
          </w:p>
        </w:tc>
        <w:tc>
          <w:tcPr>
            <w:tcW w:w="1873" w:type="dxa"/>
            <w:shd w:val="clear" w:color="auto" w:fill="F4F4F2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604038" w:rsidRDefault="00AA6EC0" w:rsidP="008B1B26">
            <w:pPr>
              <w:jc w:val="both"/>
              <w:rPr>
                <w:rFonts w:ascii="Noto Sans" w:hAnsi="Noto Sans" w:cs="Noto Sans"/>
                <w:sz w:val="16"/>
                <w:szCs w:val="16"/>
              </w:rPr>
            </w:pPr>
            <w:r w:rsidRPr="00604038">
              <w:rPr>
                <w:rFonts w:ascii="Arial" w:eastAsia="Noto Sans" w:hAnsi="Arial" w:cs="Arial"/>
                <w:color w:val="C00000"/>
                <w:sz w:val="16"/>
                <w:szCs w:val="16"/>
              </w:rPr>
              <w:t>▼</w:t>
            </w:r>
            <w:r w:rsidRPr="00604038">
              <w:rPr>
                <w:rFonts w:ascii="Noto Sans" w:eastAsia="Noto Sans" w:hAnsi="Noto Sans" w:cs="Noto Sans"/>
                <w:color w:val="C00000"/>
                <w:sz w:val="16"/>
                <w:szCs w:val="16"/>
              </w:rPr>
              <w:t xml:space="preserve"> -0.6%</w:t>
            </w:r>
          </w:p>
        </w:tc>
        <w:tc>
          <w:tcPr>
            <w:tcW w:w="1873" w:type="dxa"/>
            <w:shd w:val="clear" w:color="auto" w:fill="F4F4F2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604038" w:rsidRDefault="00AA6EC0" w:rsidP="008B1B26">
            <w:pPr>
              <w:jc w:val="both"/>
              <w:rPr>
                <w:rFonts w:ascii="Noto Sans" w:hAnsi="Noto Sans" w:cs="Noto Sans"/>
                <w:sz w:val="16"/>
                <w:szCs w:val="16"/>
              </w:rPr>
            </w:pPr>
            <w:r w:rsidRPr="00604038">
              <w:rPr>
                <w:rFonts w:ascii="Arial" w:eastAsia="Noto Sans" w:hAnsi="Arial" w:cs="Arial"/>
                <w:color w:val="C00000"/>
                <w:sz w:val="16"/>
                <w:szCs w:val="16"/>
              </w:rPr>
              <w:t>▼</w:t>
            </w:r>
            <w:r w:rsidRPr="00604038">
              <w:rPr>
                <w:rFonts w:ascii="Noto Sans" w:eastAsia="Noto Sans" w:hAnsi="Noto Sans" w:cs="Noto Sans"/>
                <w:color w:val="C00000"/>
                <w:sz w:val="16"/>
                <w:szCs w:val="16"/>
              </w:rPr>
              <w:t xml:space="preserve"> -1.2%</w:t>
            </w:r>
          </w:p>
        </w:tc>
        <w:tc>
          <w:tcPr>
            <w:tcW w:w="1874" w:type="dxa"/>
            <w:shd w:val="clear" w:color="auto" w:fill="F4F4F2"/>
            <w:tcMar>
              <w:top w:w="22" w:type="dxa"/>
              <w:left w:w="75" w:type="dxa"/>
              <w:bottom w:w="22" w:type="dxa"/>
              <w:right w:w="75" w:type="dxa"/>
            </w:tcMar>
            <w:vAlign w:val="center"/>
          </w:tcPr>
          <w:p w:rsidR="007D58BD" w:rsidRPr="00604038" w:rsidRDefault="00AA6EC0" w:rsidP="008B1B26">
            <w:pPr>
              <w:jc w:val="both"/>
              <w:rPr>
                <w:rFonts w:ascii="Noto Sans" w:hAnsi="Noto Sans" w:cs="Noto Sans"/>
                <w:sz w:val="16"/>
                <w:szCs w:val="16"/>
              </w:rPr>
            </w:pPr>
            <w:r w:rsidRPr="00604038">
              <w:rPr>
                <w:rFonts w:ascii="Arial" w:eastAsia="Noto Sans" w:hAnsi="Arial" w:cs="Arial"/>
                <w:color w:val="C00000"/>
                <w:sz w:val="16"/>
                <w:szCs w:val="16"/>
              </w:rPr>
              <w:t>▼</w:t>
            </w:r>
            <w:r w:rsidRPr="00604038">
              <w:rPr>
                <w:rFonts w:ascii="Noto Sans" w:eastAsia="Noto Sans" w:hAnsi="Noto Sans" w:cs="Noto Sans"/>
                <w:color w:val="C00000"/>
                <w:sz w:val="16"/>
                <w:szCs w:val="16"/>
              </w:rPr>
              <w:t xml:space="preserve"> -1.1%</w:t>
            </w:r>
          </w:p>
        </w:tc>
      </w:tr>
    </w:tbl>
    <w:p w:rsidR="00604038" w:rsidRPr="00604038" w:rsidRDefault="00AA6EC0" w:rsidP="00604038">
      <w:pPr>
        <w:spacing w:before="10" w:after="30"/>
        <w:jc w:val="both"/>
        <w:rPr>
          <w:rFonts w:ascii="Noto Sans" w:hAnsi="Noto Sans" w:cs="Noto Sans"/>
        </w:rPr>
      </w:pPr>
      <w:r w:rsidRPr="008B1B26">
        <w:rPr>
          <w:rFonts w:ascii="Noto Sans" w:eastAsia="Noto Sans" w:hAnsi="Noto Sans" w:cs="Noto Sans"/>
          <w:color w:val="4C545B"/>
          <w:sz w:val="12"/>
          <w:szCs w:val="12"/>
        </w:rPr>
        <w:t>¹ Cifras desestacionalizadas. ² Cifras originales acumuladas enero-junio; no son directamente comparables con las columnas desestacionalizadas.</w:t>
      </w:r>
    </w:p>
    <w:p w:rsidR="00B90CBB" w:rsidRDefault="00B90CBB" w:rsidP="00604038">
      <w:pPr>
        <w:spacing w:after="18"/>
        <w:jc w:val="center"/>
        <w:rPr>
          <w:rFonts w:ascii="Noto Sans" w:eastAsia="Noto Sans" w:hAnsi="Noto Sans" w:cs="Noto Sans"/>
          <w:b/>
          <w:bCs/>
          <w:color w:val="10312B"/>
        </w:rPr>
      </w:pPr>
    </w:p>
    <w:p w:rsidR="00B90CBB" w:rsidRDefault="00B90CBB" w:rsidP="00604038">
      <w:pPr>
        <w:spacing w:after="18"/>
        <w:jc w:val="center"/>
        <w:rPr>
          <w:rFonts w:ascii="Noto Sans" w:eastAsia="Noto Sans" w:hAnsi="Noto Sans" w:cs="Noto Sans"/>
          <w:b/>
          <w:bCs/>
          <w:color w:val="10312B"/>
        </w:rPr>
      </w:pPr>
    </w:p>
    <w:p w:rsidR="00B90CBB" w:rsidRPr="00B90CBB" w:rsidRDefault="00B90CBB" w:rsidP="00B117A6">
      <w:pPr>
        <w:keepNext/>
        <w:spacing w:before="18"/>
        <w:rPr>
          <w:rFonts w:ascii="Noto Sans" w:eastAsia="Noto Sans" w:hAnsi="Noto Sans" w:cs="Noto Sans"/>
          <w:b/>
          <w:bCs/>
          <w:color w:val="10312B"/>
          <w:sz w:val="13"/>
        </w:rPr>
      </w:pPr>
    </w:p>
    <w:p w:rsidR="007D58BD" w:rsidRPr="008B1B26" w:rsidRDefault="00AA6EC0" w:rsidP="00604038">
      <w:pPr>
        <w:keepNext/>
        <w:spacing w:before="18"/>
        <w:jc w:val="center"/>
        <w:rPr>
          <w:rFonts w:ascii="Noto Sans" w:hAnsi="Noto Sans" w:cs="Noto Sans"/>
        </w:rPr>
      </w:pPr>
      <w:r w:rsidRPr="008B1B26">
        <w:rPr>
          <w:rFonts w:ascii="Noto Sans" w:eastAsia="Noto Sans" w:hAnsi="Noto Sans" w:cs="Noto Sans"/>
          <w:b/>
          <w:bCs/>
          <w:color w:val="10312B"/>
        </w:rPr>
        <w:t>Variación anual por sector, junio de 2026</w:t>
      </w:r>
    </w:p>
    <w:p w:rsidR="007D58BD" w:rsidRPr="008B1B26" w:rsidRDefault="00AA6EC0" w:rsidP="00604038">
      <w:pPr>
        <w:keepNext/>
        <w:spacing w:after="10"/>
        <w:jc w:val="center"/>
        <w:rPr>
          <w:rFonts w:ascii="Noto Sans" w:hAnsi="Noto Sans" w:cs="Noto Sans"/>
        </w:rPr>
      </w:pPr>
      <w:r w:rsidRPr="008B1B26">
        <w:rPr>
          <w:rFonts w:ascii="Noto Sans" w:eastAsia="Noto Sans" w:hAnsi="Noto Sans" w:cs="Noto Sans"/>
          <w:color w:val="4C545B"/>
          <w:sz w:val="15"/>
          <w:szCs w:val="15"/>
        </w:rPr>
        <w:t>Cifras desestacionalizadas, junio 2026 vs. junio 2025</w:t>
      </w:r>
    </w:p>
    <w:p w:rsidR="007D58BD" w:rsidRPr="008B1B26" w:rsidRDefault="00AA6EC0" w:rsidP="00604038">
      <w:pPr>
        <w:jc w:val="center"/>
        <w:rPr>
          <w:rFonts w:ascii="Noto Sans" w:hAnsi="Noto Sans" w:cs="Noto Sans"/>
        </w:rPr>
      </w:pPr>
      <w:r w:rsidRPr="008B1B26">
        <w:rPr>
          <w:rFonts w:ascii="Noto Sans" w:hAnsi="Noto Sans" w:cs="Noto Sans"/>
          <w:noProof/>
        </w:rPr>
        <w:drawing>
          <wp:inline distT="0" distB="0" distL="0" distR="0">
            <wp:extent cx="4853354" cy="12801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062" cy="128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CBB" w:rsidRPr="00B90CBB" w:rsidRDefault="00B90CBB" w:rsidP="00604038">
      <w:pPr>
        <w:keepNext/>
        <w:spacing w:before="18"/>
        <w:jc w:val="center"/>
        <w:rPr>
          <w:rFonts w:ascii="Noto Sans" w:eastAsia="Noto Sans" w:hAnsi="Noto Sans" w:cs="Noto Sans"/>
          <w:b/>
          <w:bCs/>
          <w:color w:val="10312B"/>
          <w:sz w:val="13"/>
        </w:rPr>
      </w:pPr>
    </w:p>
    <w:p w:rsidR="007D58BD" w:rsidRPr="008B1B26" w:rsidRDefault="00AA6EC0" w:rsidP="00604038">
      <w:pPr>
        <w:keepNext/>
        <w:spacing w:before="18"/>
        <w:jc w:val="center"/>
        <w:rPr>
          <w:rFonts w:ascii="Noto Sans" w:hAnsi="Noto Sans" w:cs="Noto Sans"/>
        </w:rPr>
      </w:pPr>
      <w:r w:rsidRPr="008B1B26">
        <w:rPr>
          <w:rFonts w:ascii="Noto Sans" w:eastAsia="Noto Sans" w:hAnsi="Noto Sans" w:cs="Noto Sans"/>
          <w:b/>
          <w:bCs/>
          <w:color w:val="10312B"/>
        </w:rPr>
        <w:t>Manufacturas: mayores alzas y bajas anuales por subsector</w:t>
      </w:r>
    </w:p>
    <w:p w:rsidR="007D58BD" w:rsidRPr="008B1B26" w:rsidRDefault="00AA6EC0" w:rsidP="00604038">
      <w:pPr>
        <w:keepNext/>
        <w:spacing w:after="10"/>
        <w:jc w:val="center"/>
        <w:rPr>
          <w:rFonts w:ascii="Noto Sans" w:hAnsi="Noto Sans" w:cs="Noto Sans"/>
        </w:rPr>
      </w:pPr>
      <w:r w:rsidRPr="008B1B26">
        <w:rPr>
          <w:rFonts w:ascii="Noto Sans" w:eastAsia="Noto Sans" w:hAnsi="Noto Sans" w:cs="Noto Sans"/>
          <w:color w:val="4C545B"/>
          <w:sz w:val="15"/>
          <w:szCs w:val="15"/>
        </w:rPr>
        <w:t>Junio 2026 vs. junio 2025, cifras originales</w:t>
      </w:r>
    </w:p>
    <w:p w:rsidR="007D58BD" w:rsidRPr="008B1B26" w:rsidRDefault="00AA6EC0" w:rsidP="00604038">
      <w:pPr>
        <w:jc w:val="center"/>
        <w:rPr>
          <w:rFonts w:ascii="Noto Sans" w:hAnsi="Noto Sans" w:cs="Noto Sans"/>
        </w:rPr>
      </w:pPr>
      <w:r w:rsidRPr="008B1B26">
        <w:rPr>
          <w:rFonts w:ascii="Noto Sans" w:hAnsi="Noto Sans" w:cs="Noto Sans"/>
          <w:noProof/>
        </w:rPr>
        <w:drawing>
          <wp:inline distT="0" distB="0" distL="0" distR="0">
            <wp:extent cx="4528458" cy="171950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660" cy="17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038" w:rsidRPr="00604038" w:rsidRDefault="00604038" w:rsidP="008B1B26">
      <w:pPr>
        <w:spacing w:before="15" w:after="20"/>
        <w:jc w:val="both"/>
        <w:rPr>
          <w:rFonts w:ascii="Noto Sans" w:hAnsi="Noto Sans" w:cs="Noto Sans"/>
          <w:sz w:val="16"/>
        </w:rPr>
      </w:pPr>
    </w:p>
    <w:p w:rsidR="007D58BD" w:rsidRPr="00604038" w:rsidRDefault="00AA6EC0" w:rsidP="008B1B26">
      <w:pPr>
        <w:shd w:val="clear" w:color="auto" w:fill="005E4C"/>
        <w:spacing w:before="18" w:after="14"/>
        <w:jc w:val="both"/>
        <w:rPr>
          <w:rFonts w:ascii="Noto Sans" w:hAnsi="Noto Sans" w:cs="Noto Sans"/>
          <w:sz w:val="22"/>
          <w:szCs w:val="22"/>
        </w:rPr>
      </w:pPr>
      <w:r w:rsidRPr="00604038">
        <w:rPr>
          <w:rFonts w:ascii="Noto Sans" w:eastAsia="Noto Sans" w:hAnsi="Noto Sans" w:cs="Noto Sans"/>
          <w:b/>
          <w:bCs/>
          <w:color w:val="FFFFFF"/>
          <w:sz w:val="22"/>
          <w:szCs w:val="22"/>
        </w:rPr>
        <w:t>Análisis</w:t>
      </w:r>
    </w:p>
    <w:p w:rsidR="00072A07" w:rsidRPr="00072A07" w:rsidRDefault="00877B2E" w:rsidP="00072A07">
      <w:pPr>
        <w:pStyle w:val="Prrafodelista"/>
        <w:numPr>
          <w:ilvl w:val="0"/>
          <w:numId w:val="2"/>
        </w:numPr>
        <w:spacing w:after="18"/>
        <w:jc w:val="both"/>
        <w:rPr>
          <w:rFonts w:ascii="Noto Sans" w:eastAsia="Noto Sans" w:hAnsi="Noto Sans" w:cs="Noto Sans"/>
          <w:color w:val="000000"/>
          <w:sz w:val="22"/>
          <w:szCs w:val="22"/>
        </w:rPr>
      </w:pPr>
      <w:r w:rsidRPr="00877B2E">
        <w:rPr>
          <w:rFonts w:ascii="Noto Sans" w:eastAsia="Noto Sans" w:hAnsi="Noto Sans" w:cs="Noto Sans"/>
          <w:color w:val="000000"/>
          <w:sz w:val="22"/>
          <w:szCs w:val="22"/>
        </w:rPr>
        <w:t>El avance de junio mejora el resultado respecto a mayo; sin embargo, la actividad industrial acumuló una variación de 0.0% en el primer semestre</w:t>
      </w:r>
      <w:bookmarkStart w:id="0" w:name="_GoBack"/>
      <w:bookmarkEnd w:id="0"/>
      <w:r w:rsidR="00072A07" w:rsidRPr="00072A07">
        <w:rPr>
          <w:rFonts w:ascii="Noto Sans" w:eastAsia="Noto Sans" w:hAnsi="Noto Sans" w:cs="Noto Sans"/>
          <w:color w:val="000000"/>
          <w:sz w:val="22"/>
          <w:szCs w:val="22"/>
        </w:rPr>
        <w:t>.</w:t>
      </w:r>
    </w:p>
    <w:p w:rsidR="007D58BD" w:rsidRPr="00B86410" w:rsidRDefault="00072A07" w:rsidP="00072A07">
      <w:pPr>
        <w:pStyle w:val="Prrafodelista"/>
        <w:numPr>
          <w:ilvl w:val="0"/>
          <w:numId w:val="2"/>
        </w:numPr>
        <w:spacing w:after="18"/>
        <w:jc w:val="both"/>
        <w:rPr>
          <w:rFonts w:ascii="Noto Sans" w:hAnsi="Noto Sans" w:cs="Noto Sans"/>
          <w:sz w:val="22"/>
          <w:szCs w:val="22"/>
        </w:rPr>
      </w:pPr>
      <w:r w:rsidRPr="00072A07">
        <w:rPr>
          <w:rFonts w:ascii="Noto Sans" w:eastAsia="Noto Sans" w:hAnsi="Noto Sans" w:cs="Noto Sans"/>
          <w:color w:val="000000"/>
          <w:sz w:val="22"/>
          <w:szCs w:val="22"/>
        </w:rPr>
        <w:t>El comportamiento sectorial permanece diferenciado: minería y construcción registran avances, mientras las manufacturas acumulan una caída de 1.1%, con contrastes importantes entre sus subsectores</w:t>
      </w:r>
      <w:r w:rsidR="00AA6EC0" w:rsidRPr="00604038">
        <w:rPr>
          <w:rFonts w:ascii="Noto Sans" w:eastAsia="Noto Sans" w:hAnsi="Noto Sans" w:cs="Noto Sans"/>
          <w:color w:val="000000"/>
          <w:sz w:val="22"/>
          <w:szCs w:val="22"/>
        </w:rPr>
        <w:t>.</w:t>
      </w:r>
    </w:p>
    <w:p w:rsidR="00B86410" w:rsidRPr="00B86410" w:rsidRDefault="00B86410" w:rsidP="00B86410">
      <w:pPr>
        <w:spacing w:after="18"/>
        <w:jc w:val="both"/>
        <w:rPr>
          <w:rFonts w:ascii="Noto Sans" w:hAnsi="Noto Sans" w:cs="Noto Sans"/>
          <w:sz w:val="13"/>
          <w:szCs w:val="22"/>
        </w:rPr>
      </w:pPr>
    </w:p>
    <w:p w:rsidR="007D58BD" w:rsidRPr="00B86410" w:rsidRDefault="00AA6EC0" w:rsidP="008B1B26">
      <w:pPr>
        <w:spacing w:before="8" w:after="8"/>
        <w:jc w:val="both"/>
        <w:rPr>
          <w:rFonts w:ascii="Noto Sans" w:hAnsi="Noto Sans" w:cs="Noto Sans"/>
          <w:sz w:val="16"/>
          <w:szCs w:val="16"/>
        </w:rPr>
      </w:pPr>
      <w:r w:rsidRPr="00B86410">
        <w:rPr>
          <w:rFonts w:ascii="Noto Sans" w:eastAsia="Noto Sans" w:hAnsi="Noto Sans" w:cs="Noto Sans"/>
          <w:b/>
          <w:i/>
          <w:iCs/>
          <w:color w:val="4C545B"/>
          <w:sz w:val="16"/>
          <w:szCs w:val="16"/>
        </w:rPr>
        <w:t>Nota:</w:t>
      </w:r>
      <w:r w:rsidRPr="00B86410">
        <w:rPr>
          <w:rFonts w:ascii="Noto Sans" w:eastAsia="Noto Sans" w:hAnsi="Noto Sans" w:cs="Noto Sans"/>
          <w:i/>
          <w:iCs/>
          <w:color w:val="4C545B"/>
          <w:sz w:val="16"/>
          <w:szCs w:val="16"/>
        </w:rPr>
        <w:t xml:space="preserve"> Las variaciones mensuales y anuales del total y los cuatro grandes sectores corresponden a cifras desestacionalizadas. Las variaciones acumuladas enero-junio de 2026 y las ramas manufactureras corresponden a cifras originales del boletín del IMAI publicado por INEGI.</w:t>
      </w:r>
    </w:p>
    <w:p w:rsidR="007D58BD" w:rsidRPr="00B86410" w:rsidRDefault="00AA6EC0" w:rsidP="008B1B26">
      <w:pPr>
        <w:jc w:val="both"/>
        <w:rPr>
          <w:rFonts w:ascii="Noto Sans" w:hAnsi="Noto Sans" w:cs="Noto Sans"/>
          <w:sz w:val="16"/>
          <w:szCs w:val="16"/>
        </w:rPr>
      </w:pPr>
      <w:r w:rsidRPr="00B86410">
        <w:rPr>
          <w:rFonts w:ascii="Noto Sans" w:eastAsia="Arial" w:hAnsi="Noto Sans" w:cs="Noto Sans"/>
          <w:b/>
          <w:color w:val="4C545B"/>
          <w:sz w:val="16"/>
          <w:szCs w:val="16"/>
        </w:rPr>
        <w:t>Fuente:</w:t>
      </w:r>
      <w:r w:rsidRPr="00B86410">
        <w:rPr>
          <w:rFonts w:ascii="Noto Sans" w:eastAsia="Arial" w:hAnsi="Noto Sans" w:cs="Noto Sans"/>
          <w:color w:val="4C545B"/>
          <w:sz w:val="16"/>
          <w:szCs w:val="16"/>
        </w:rPr>
        <w:t xml:space="preserve"> INEGI, Sistema de Cuentas Nacionales de México (SCNM), Indicador Mensual de la Actividad Industrial (IMAI), boletín del 11 de agosto de 2026. Cifras de junio de 2026. Próxima publicación: 11 de septiembre de 2026.</w:t>
      </w:r>
    </w:p>
    <w:sectPr w:rsidR="007D58BD" w:rsidRPr="00B86410">
      <w:headerReference w:type="default" r:id="rId10"/>
      <w:footerReference w:type="default" r:id="rId11"/>
      <w:pgSz w:w="12240" w:h="15840"/>
      <w:pgMar w:top="1000" w:right="1701" w:bottom="1000" w:left="1701" w:header="650" w:footer="6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64B5" w:rsidRDefault="00B664B5">
      <w:r>
        <w:separator/>
      </w:r>
    </w:p>
  </w:endnote>
  <w:endnote w:type="continuationSeparator" w:id="0">
    <w:p w:rsidR="00B664B5" w:rsidRDefault="00B66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Noto Sans">
    <w:altName w:val="Calibri"/>
    <w:panose1 w:val="020B0502040504020204"/>
    <w:charset w:val="00"/>
    <w:family w:val="swiss"/>
    <w:pitch w:val="variable"/>
    <w:sig w:usb0="E00882FF" w:usb1="400078FF" w:usb2="0800002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58BD" w:rsidRDefault="008B1B26">
    <w:r>
      <w:rPr>
        <w:noProof/>
        <w:color w:val="000000"/>
      </w:rPr>
      <w:drawing>
        <wp:anchor distT="0" distB="0" distL="114300" distR="114300" simplePos="0" relativeHeight="251661312" behindDoc="1" locked="0" layoutInCell="1" allowOverlap="1" wp14:anchorId="54B97FDD" wp14:editId="6B6B21A4">
          <wp:simplePos x="0" y="0"/>
          <wp:positionH relativeFrom="page">
            <wp:posOffset>-46916</wp:posOffset>
          </wp:positionH>
          <wp:positionV relativeFrom="paragraph">
            <wp:posOffset>-499731</wp:posOffset>
          </wp:positionV>
          <wp:extent cx="7894873" cy="1293628"/>
          <wp:effectExtent l="0" t="0" r="5080" b="1905"/>
          <wp:wrapNone/>
          <wp:docPr id="441815502" name="Imagen 1" descr="Imagen que contiene Aplicación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835576" name="Imagen 1" descr="Imagen que contiene Aplicación  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39"/>
                  <a:stretch>
                    <a:fillRect/>
                  </a:stretch>
                </pic:blipFill>
                <pic:spPr bwMode="auto">
                  <a:xfrm>
                    <a:off x="0" y="0"/>
                    <a:ext cx="7894873" cy="12936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64B5" w:rsidRDefault="00B664B5">
      <w:r>
        <w:separator/>
      </w:r>
    </w:p>
  </w:footnote>
  <w:footnote w:type="continuationSeparator" w:id="0">
    <w:p w:rsidR="00B664B5" w:rsidRDefault="00B664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58BD" w:rsidRDefault="008B1B26">
    <w:pPr>
      <w:spacing w:after="40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0044A420" wp14:editId="64591340">
          <wp:simplePos x="0" y="0"/>
          <wp:positionH relativeFrom="page">
            <wp:posOffset>187000</wp:posOffset>
          </wp:positionH>
          <wp:positionV relativeFrom="paragraph">
            <wp:posOffset>-521630</wp:posOffset>
          </wp:positionV>
          <wp:extent cx="7753939" cy="1257300"/>
          <wp:effectExtent l="0" t="0" r="6350" b="0"/>
          <wp:wrapNone/>
          <wp:docPr id="94974367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6596"/>
                  <a:stretch>
                    <a:fillRect/>
                  </a:stretch>
                </pic:blipFill>
                <pic:spPr>
                  <a:xfrm>
                    <a:off x="0" y="0"/>
                    <a:ext cx="7753939" cy="1257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B1B26" w:rsidRDefault="008B1B26">
    <w:pPr>
      <w:rPr>
        <w:rFonts w:ascii="Noto Sans" w:eastAsia="Noto Sans" w:hAnsi="Noto Sans" w:cs="Noto Sans"/>
        <w:b/>
        <w:bCs/>
        <w:color w:val="000000"/>
        <w:sz w:val="22"/>
        <w:szCs w:val="22"/>
      </w:rPr>
    </w:pPr>
  </w:p>
  <w:p w:rsidR="008B1B26" w:rsidRDefault="008B1B26">
    <w:pPr>
      <w:rPr>
        <w:rFonts w:ascii="Noto Sans" w:eastAsia="Noto Sans" w:hAnsi="Noto Sans" w:cs="Noto Sans"/>
        <w:b/>
        <w:bCs/>
        <w:color w:val="000000"/>
        <w:sz w:val="22"/>
        <w:szCs w:val="22"/>
      </w:rPr>
    </w:pPr>
  </w:p>
  <w:p w:rsidR="007D58BD" w:rsidRDefault="00AA6EC0">
    <w:r>
      <w:rPr>
        <w:rFonts w:ascii="Noto Sans" w:eastAsia="Noto Sans" w:hAnsi="Noto Sans" w:cs="Noto Sans"/>
        <w:b/>
        <w:bCs/>
        <w:color w:val="000000"/>
        <w:sz w:val="22"/>
        <w:szCs w:val="22"/>
      </w:rPr>
      <w:t>Subsecretaría de Industria y Comercio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F931F9"/>
    <w:multiLevelType w:val="hybridMultilevel"/>
    <w:tmpl w:val="8F449446"/>
    <w:lvl w:ilvl="0" w:tplc="EA1CE20C">
      <w:start w:val="1"/>
      <w:numFmt w:val="bullet"/>
      <w:lvlText w:val="●"/>
      <w:lvlJc w:val="left"/>
      <w:pPr>
        <w:ind w:left="720" w:hanging="360"/>
      </w:pPr>
    </w:lvl>
    <w:lvl w:ilvl="1" w:tplc="8D50DC96">
      <w:start w:val="1"/>
      <w:numFmt w:val="bullet"/>
      <w:lvlText w:val="○"/>
      <w:lvlJc w:val="left"/>
      <w:pPr>
        <w:ind w:left="1440" w:hanging="360"/>
      </w:pPr>
    </w:lvl>
    <w:lvl w:ilvl="2" w:tplc="15F00C78">
      <w:start w:val="1"/>
      <w:numFmt w:val="bullet"/>
      <w:lvlText w:val="■"/>
      <w:lvlJc w:val="left"/>
      <w:pPr>
        <w:ind w:left="2160" w:hanging="360"/>
      </w:pPr>
    </w:lvl>
    <w:lvl w:ilvl="3" w:tplc="C1E2B6D8">
      <w:start w:val="1"/>
      <w:numFmt w:val="bullet"/>
      <w:lvlText w:val="●"/>
      <w:lvlJc w:val="left"/>
      <w:pPr>
        <w:ind w:left="2880" w:hanging="360"/>
      </w:pPr>
    </w:lvl>
    <w:lvl w:ilvl="4" w:tplc="05A4A3C0">
      <w:start w:val="1"/>
      <w:numFmt w:val="bullet"/>
      <w:lvlText w:val="○"/>
      <w:lvlJc w:val="left"/>
      <w:pPr>
        <w:ind w:left="3600" w:hanging="360"/>
      </w:pPr>
    </w:lvl>
    <w:lvl w:ilvl="5" w:tplc="6E58C700">
      <w:start w:val="1"/>
      <w:numFmt w:val="bullet"/>
      <w:lvlText w:val="■"/>
      <w:lvlJc w:val="left"/>
      <w:pPr>
        <w:ind w:left="4320" w:hanging="360"/>
      </w:pPr>
    </w:lvl>
    <w:lvl w:ilvl="6" w:tplc="F1B44346">
      <w:start w:val="1"/>
      <w:numFmt w:val="bullet"/>
      <w:lvlText w:val="●"/>
      <w:lvlJc w:val="left"/>
      <w:pPr>
        <w:ind w:left="5040" w:hanging="360"/>
      </w:pPr>
    </w:lvl>
    <w:lvl w:ilvl="7" w:tplc="2258D980">
      <w:start w:val="1"/>
      <w:numFmt w:val="bullet"/>
      <w:lvlText w:val="●"/>
      <w:lvlJc w:val="left"/>
      <w:pPr>
        <w:ind w:left="5760" w:hanging="360"/>
      </w:pPr>
    </w:lvl>
    <w:lvl w:ilvl="8" w:tplc="963282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B33DAB"/>
    <w:multiLevelType w:val="hybridMultilevel"/>
    <w:tmpl w:val="32729768"/>
    <w:lvl w:ilvl="0" w:tplc="D586111E">
      <w:start w:val="1"/>
      <w:numFmt w:val="bullet"/>
      <w:lvlText w:val="•"/>
      <w:lvlJc w:val="left"/>
      <w:pPr>
        <w:ind w:left="250" w:hanging="190"/>
      </w:pPr>
    </w:lvl>
    <w:lvl w:ilvl="1" w:tplc="0002C9FA">
      <w:numFmt w:val="decimal"/>
      <w:lvlText w:val=""/>
      <w:lvlJc w:val="left"/>
    </w:lvl>
    <w:lvl w:ilvl="2" w:tplc="2240798E">
      <w:numFmt w:val="decimal"/>
      <w:lvlText w:val=""/>
      <w:lvlJc w:val="left"/>
    </w:lvl>
    <w:lvl w:ilvl="3" w:tplc="CF4AC1BA">
      <w:numFmt w:val="decimal"/>
      <w:lvlText w:val=""/>
      <w:lvlJc w:val="left"/>
    </w:lvl>
    <w:lvl w:ilvl="4" w:tplc="6F00D634">
      <w:numFmt w:val="decimal"/>
      <w:lvlText w:val=""/>
      <w:lvlJc w:val="left"/>
    </w:lvl>
    <w:lvl w:ilvl="5" w:tplc="27E63146">
      <w:numFmt w:val="decimal"/>
      <w:lvlText w:val=""/>
      <w:lvlJc w:val="left"/>
    </w:lvl>
    <w:lvl w:ilvl="6" w:tplc="99C83CF6">
      <w:numFmt w:val="decimal"/>
      <w:lvlText w:val=""/>
      <w:lvlJc w:val="left"/>
    </w:lvl>
    <w:lvl w:ilvl="7" w:tplc="0D12DAD6">
      <w:numFmt w:val="decimal"/>
      <w:lvlText w:val=""/>
      <w:lvlJc w:val="left"/>
    </w:lvl>
    <w:lvl w:ilvl="8" w:tplc="F202FE6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3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8BD"/>
    <w:rsid w:val="00072A07"/>
    <w:rsid w:val="001B53B0"/>
    <w:rsid w:val="00297A03"/>
    <w:rsid w:val="00604038"/>
    <w:rsid w:val="0064552B"/>
    <w:rsid w:val="007D58BD"/>
    <w:rsid w:val="00877B2E"/>
    <w:rsid w:val="008B1B26"/>
    <w:rsid w:val="008C1256"/>
    <w:rsid w:val="00942FB5"/>
    <w:rsid w:val="00AA6EC0"/>
    <w:rsid w:val="00B117A6"/>
    <w:rsid w:val="00B664B5"/>
    <w:rsid w:val="00B86410"/>
    <w:rsid w:val="00B90CBB"/>
    <w:rsid w:val="00C30812"/>
    <w:rsid w:val="00C543D8"/>
    <w:rsid w:val="00EA6A7F"/>
    <w:rsid w:val="00FD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97DAF0"/>
  <w15:docId w15:val="{3369F4B1-9FD1-4049-B6D9-D69DE3646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MX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B1B2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B1B26"/>
  </w:style>
  <w:style w:type="paragraph" w:styleId="Piedepgina">
    <w:name w:val="footer"/>
    <w:basedOn w:val="Normal"/>
    <w:link w:val="PiedepginaCar"/>
    <w:uiPriority w:val="99"/>
    <w:unhideWhenUsed/>
    <w:rsid w:val="008B1B2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1B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417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Enrique Buendía</cp:lastModifiedBy>
  <cp:revision>15</cp:revision>
  <dcterms:created xsi:type="dcterms:W3CDTF">2026-08-11T03:17:00Z</dcterms:created>
  <dcterms:modified xsi:type="dcterms:W3CDTF">2026-08-11T03:45:00Z</dcterms:modified>
</cp:coreProperties>
</file>