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524"/>
      </w:tblGrid>
      <w:tr w:rsidR="00116A82" w:rsidRPr="00DD098D" w:rsidTr="002C6B9B">
        <w:tc>
          <w:tcPr>
            <w:tcW w:w="5524" w:type="dxa"/>
            <w:shd w:val="clear" w:color="auto" w:fill="10312B"/>
          </w:tcPr>
          <w:p w:rsidR="00116A82" w:rsidRPr="00DD098D" w:rsidRDefault="00116A82" w:rsidP="002C6B9B">
            <w:pPr>
              <w:rPr>
                <w:rFonts w:ascii="Noto Sans" w:hAnsi="Noto Sans" w:cs="Noto Sans"/>
              </w:rPr>
            </w:pPr>
            <w:r w:rsidRPr="00DD098D">
              <w:rPr>
                <w:rFonts w:ascii="Noto Sans" w:hAnsi="Noto Sans" w:cs="Noto Sans"/>
                <w:b/>
                <w:color w:val="FFFFFF"/>
                <w:sz w:val="20"/>
              </w:rPr>
              <w:t xml:space="preserve">Boletín de Indicador del </w:t>
            </w:r>
            <w:r w:rsidR="00841FE6">
              <w:rPr>
                <w:rFonts w:ascii="Noto Sans" w:hAnsi="Noto Sans" w:cs="Noto Sans"/>
                <w:b/>
                <w:color w:val="FFFFFF"/>
                <w:sz w:val="20"/>
              </w:rPr>
              <w:t>7</w:t>
            </w:r>
            <w:r w:rsidRPr="00DD098D">
              <w:rPr>
                <w:rFonts w:ascii="Noto Sans" w:hAnsi="Noto Sans" w:cs="Noto Sans"/>
                <w:b/>
                <w:color w:val="FFFFFF"/>
                <w:sz w:val="20"/>
              </w:rPr>
              <w:t xml:space="preserve"> de agosto de 2026  | INEGI</w:t>
            </w:r>
          </w:p>
        </w:tc>
      </w:tr>
    </w:tbl>
    <w:p w:rsidR="00116A82" w:rsidRPr="00097661" w:rsidRDefault="00116A82">
      <w:pPr>
        <w:rPr>
          <w:rFonts w:ascii="Noto Sans" w:hAnsi="Noto Sans" w:cs="Noto Sans"/>
          <w:sz w:val="16"/>
        </w:rPr>
      </w:pPr>
    </w:p>
    <w:tbl>
      <w:tblPr>
        <w:tblW w:w="8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0"/>
        <w:gridCol w:w="4410"/>
      </w:tblGrid>
      <w:tr w:rsidR="0071256A" w:rsidTr="00F14615">
        <w:trPr>
          <w:trHeight w:val="682"/>
        </w:trPr>
        <w:tc>
          <w:tcPr>
            <w:tcW w:w="8820" w:type="dxa"/>
            <w:gridSpan w:val="2"/>
            <w:shd w:val="clear" w:color="auto" w:fill="235B4C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Default="0071256A" w:rsidP="00F14615">
            <w:pPr>
              <w:spacing w:after="20"/>
              <w:jc w:val="center"/>
            </w:pPr>
            <w:r>
              <w:rPr>
                <w:rFonts w:ascii="Noto Sans" w:hAnsi="Noto Sans"/>
                <w:color w:val="FFFFFF"/>
                <w:sz w:val="15"/>
              </w:rPr>
              <w:t>ÍNDICE</w:t>
            </w:r>
            <w:r w:rsidR="004C52B4">
              <w:rPr>
                <w:rFonts w:ascii="Noto Sans" w:hAnsi="Noto Sans"/>
                <w:color w:val="FFFFFF"/>
                <w:sz w:val="15"/>
              </w:rPr>
              <w:t>S</w:t>
            </w:r>
            <w:r>
              <w:rPr>
                <w:rFonts w:ascii="Noto Sans" w:hAnsi="Noto Sans"/>
                <w:color w:val="FFFFFF"/>
                <w:sz w:val="15"/>
              </w:rPr>
              <w:t xml:space="preserve"> NACIONAL</w:t>
            </w:r>
            <w:r w:rsidR="004C52B4">
              <w:rPr>
                <w:rFonts w:ascii="Noto Sans" w:hAnsi="Noto Sans"/>
                <w:color w:val="FFFFFF"/>
                <w:sz w:val="15"/>
              </w:rPr>
              <w:t>ES</w:t>
            </w:r>
            <w:r>
              <w:rPr>
                <w:rFonts w:ascii="Noto Sans" w:hAnsi="Noto Sans"/>
                <w:color w:val="FFFFFF"/>
                <w:sz w:val="15"/>
              </w:rPr>
              <w:t xml:space="preserve"> DE PRECIOS</w:t>
            </w:r>
          </w:p>
          <w:p w:rsidR="0071256A" w:rsidRDefault="004C52B4" w:rsidP="004C52B4">
            <w:pPr>
              <w:spacing w:after="20"/>
              <w:jc w:val="center"/>
            </w:pPr>
            <w:r w:rsidRPr="004C52B4">
              <w:rPr>
                <w:rFonts w:ascii="Noto Sans" w:hAnsi="Noto Sans"/>
                <w:b/>
                <w:color w:val="FFFFFF"/>
              </w:rPr>
              <w:t xml:space="preserve">ÍNDICE NACIONAL DE PRECIOS </w:t>
            </w:r>
            <w:r>
              <w:rPr>
                <w:rFonts w:ascii="Noto Sans" w:hAnsi="Noto Sans"/>
                <w:b/>
                <w:color w:val="FFFFFF"/>
              </w:rPr>
              <w:t>AL CONSUMIDOR</w:t>
            </w:r>
            <w:r w:rsidRPr="004C52B4">
              <w:rPr>
                <w:rFonts w:ascii="Noto Sans" w:hAnsi="Noto Sans"/>
                <w:b/>
                <w:color w:val="FFFFFF"/>
              </w:rPr>
              <w:t xml:space="preserve"> (INP</w:t>
            </w:r>
            <w:r>
              <w:rPr>
                <w:rFonts w:ascii="Noto Sans" w:hAnsi="Noto Sans"/>
                <w:b/>
                <w:color w:val="FFFFFF"/>
              </w:rPr>
              <w:t>C</w:t>
            </w:r>
            <w:r w:rsidRPr="004C52B4">
              <w:rPr>
                <w:rFonts w:ascii="Noto Sans" w:hAnsi="Noto Sans"/>
                <w:b/>
                <w:color w:val="FFFFFF"/>
              </w:rPr>
              <w:t>)</w:t>
            </w:r>
          </w:p>
        </w:tc>
      </w:tr>
      <w:tr w:rsidR="0071256A" w:rsidTr="00F14615">
        <w:trPr>
          <w:trHeight w:val="484"/>
        </w:trPr>
        <w:tc>
          <w:tcPr>
            <w:tcW w:w="4410" w:type="dxa"/>
            <w:shd w:val="clear" w:color="auto" w:fill="F4F4F2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Pr="004B3246" w:rsidRDefault="0071256A" w:rsidP="00F14615">
            <w:pPr>
              <w:spacing w:after="40"/>
              <w:jc w:val="center"/>
              <w:rPr>
                <w:sz w:val="32"/>
              </w:rPr>
            </w:pPr>
            <w:r w:rsidRPr="004B3246">
              <w:rPr>
                <w:rFonts w:ascii="Noto Sans" w:hAnsi="Noto Sans"/>
                <w:b/>
                <w:color w:val="8C8C8C"/>
                <w:sz w:val="16"/>
              </w:rPr>
              <w:t>VARIACIÓN MENSUAL</w:t>
            </w:r>
          </w:p>
          <w:p w:rsidR="0071256A" w:rsidRDefault="0071256A" w:rsidP="00F14615">
            <w:pPr>
              <w:spacing w:after="40"/>
              <w:jc w:val="center"/>
            </w:pPr>
            <w:r>
              <w:rPr>
                <w:rFonts w:ascii="Noto Sans" w:hAnsi="Noto Sans"/>
                <w:b/>
                <w:color w:val="006341"/>
                <w:sz w:val="48"/>
              </w:rPr>
              <w:t>▲ 0.03%</w:t>
            </w:r>
          </w:p>
          <w:p w:rsidR="0071256A" w:rsidRDefault="0071256A" w:rsidP="00F14615">
            <w:pPr>
              <w:jc w:val="center"/>
            </w:pPr>
            <w:r w:rsidRPr="004C52B4">
              <w:rPr>
                <w:rFonts w:ascii="Noto Sans" w:hAnsi="Noto Sans"/>
                <w:color w:val="6B6864"/>
                <w:sz w:val="16"/>
              </w:rPr>
              <w:t>Julio 2026</w:t>
            </w:r>
          </w:p>
        </w:tc>
        <w:tc>
          <w:tcPr>
            <w:tcW w:w="4410" w:type="dxa"/>
            <w:shd w:val="clear" w:color="auto" w:fill="F4F4F2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Pr="004B3246" w:rsidRDefault="004C52B4" w:rsidP="00F14615">
            <w:pPr>
              <w:spacing w:after="40"/>
              <w:jc w:val="center"/>
              <w:rPr>
                <w:sz w:val="32"/>
              </w:rPr>
            </w:pPr>
            <w:r w:rsidRPr="004B3246">
              <w:rPr>
                <w:rFonts w:ascii="Noto Sans" w:hAnsi="Noto Sans"/>
                <w:b/>
                <w:color w:val="8C8C8C"/>
                <w:sz w:val="16"/>
              </w:rPr>
              <w:t>V</w:t>
            </w:r>
            <w:r w:rsidR="0071256A" w:rsidRPr="004B3246">
              <w:rPr>
                <w:rFonts w:ascii="Noto Sans" w:hAnsi="Noto Sans"/>
                <w:b/>
                <w:color w:val="8C8C8C"/>
                <w:sz w:val="16"/>
              </w:rPr>
              <w:t>ARIACIÓN ANUAL</w:t>
            </w:r>
          </w:p>
          <w:p w:rsidR="0071256A" w:rsidRDefault="0071256A" w:rsidP="00F14615">
            <w:pPr>
              <w:spacing w:after="40"/>
              <w:jc w:val="center"/>
            </w:pPr>
            <w:r>
              <w:rPr>
                <w:rFonts w:ascii="Noto Sans" w:hAnsi="Noto Sans"/>
                <w:b/>
                <w:color w:val="006341"/>
                <w:sz w:val="48"/>
              </w:rPr>
              <w:t>▲ 3.12%</w:t>
            </w:r>
          </w:p>
          <w:p w:rsidR="0071256A" w:rsidRDefault="0071256A" w:rsidP="00F14615">
            <w:pPr>
              <w:jc w:val="center"/>
            </w:pPr>
            <w:r w:rsidRPr="004C52B4">
              <w:rPr>
                <w:rFonts w:ascii="Noto Sans" w:hAnsi="Noto Sans"/>
                <w:color w:val="6B6864"/>
                <w:sz w:val="16"/>
              </w:rPr>
              <w:t>Comparación julio 2026 vs julio 2025 (3.51%)</w:t>
            </w:r>
          </w:p>
        </w:tc>
      </w:tr>
      <w:tr w:rsidR="0071256A" w:rsidTr="00F14615">
        <w:trPr>
          <w:trHeight w:val="682"/>
        </w:trPr>
        <w:tc>
          <w:tcPr>
            <w:tcW w:w="8820" w:type="dxa"/>
            <w:gridSpan w:val="2"/>
            <w:shd w:val="clear" w:color="auto" w:fill="235B4C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Default="0071256A" w:rsidP="00F14615">
            <w:pPr>
              <w:spacing w:after="20"/>
              <w:jc w:val="center"/>
            </w:pPr>
            <w:r w:rsidRPr="004C52B4">
              <w:rPr>
                <w:rFonts w:ascii="Noto Sans" w:hAnsi="Noto Sans"/>
                <w:b/>
                <w:color w:val="FFFFFF"/>
              </w:rPr>
              <w:t>ÍNDICE NACIONAL DE PRECIOS PRODUCTOR (INPP)</w:t>
            </w:r>
          </w:p>
        </w:tc>
      </w:tr>
      <w:tr w:rsidR="0071256A" w:rsidTr="00F14615">
        <w:trPr>
          <w:trHeight w:val="484"/>
        </w:trPr>
        <w:tc>
          <w:tcPr>
            <w:tcW w:w="4410" w:type="dxa"/>
            <w:shd w:val="clear" w:color="auto" w:fill="611232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Pr="004B3246" w:rsidRDefault="0071256A" w:rsidP="00F14615">
            <w:pPr>
              <w:spacing w:after="40"/>
              <w:jc w:val="center"/>
              <w:rPr>
                <w:sz w:val="32"/>
              </w:rPr>
            </w:pPr>
            <w:r w:rsidRPr="004B3246">
              <w:rPr>
                <w:rFonts w:ascii="Noto Sans" w:hAnsi="Noto Sans"/>
                <w:b/>
                <w:color w:val="FFFFFF"/>
                <w:sz w:val="16"/>
              </w:rPr>
              <w:t xml:space="preserve"> VARIACIÓN MENSUAL</w:t>
            </w:r>
          </w:p>
          <w:p w:rsidR="0071256A" w:rsidRDefault="0071256A" w:rsidP="00F14615">
            <w:pPr>
              <w:spacing w:after="40"/>
              <w:jc w:val="center"/>
            </w:pPr>
            <w:r>
              <w:rPr>
                <w:rFonts w:ascii="Noto Sans" w:hAnsi="Noto Sans"/>
                <w:b/>
                <w:color w:val="FFFFFF"/>
                <w:sz w:val="48"/>
              </w:rPr>
              <w:t>▼ -0.03%</w:t>
            </w:r>
          </w:p>
          <w:p w:rsidR="0071256A" w:rsidRDefault="0071256A" w:rsidP="00F14615">
            <w:pPr>
              <w:jc w:val="center"/>
            </w:pPr>
            <w:r w:rsidRPr="004C52B4">
              <w:rPr>
                <w:rFonts w:ascii="Noto Sans" w:hAnsi="Noto Sans"/>
                <w:color w:val="FFFFFF"/>
                <w:sz w:val="16"/>
              </w:rPr>
              <w:t>Julio 2026</w:t>
            </w:r>
          </w:p>
        </w:tc>
        <w:tc>
          <w:tcPr>
            <w:tcW w:w="4410" w:type="dxa"/>
            <w:shd w:val="clear" w:color="auto" w:fill="F4F4F2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:rsidR="0071256A" w:rsidRPr="004B3246" w:rsidRDefault="0071256A" w:rsidP="00F14615">
            <w:pPr>
              <w:spacing w:after="40"/>
              <w:jc w:val="center"/>
              <w:rPr>
                <w:sz w:val="32"/>
              </w:rPr>
            </w:pPr>
            <w:r w:rsidRPr="004B3246">
              <w:rPr>
                <w:rFonts w:ascii="Noto Sans" w:hAnsi="Noto Sans"/>
                <w:b/>
                <w:color w:val="8C8C8C"/>
                <w:sz w:val="16"/>
              </w:rPr>
              <w:t>VARIACIÓN ANUAL</w:t>
            </w:r>
          </w:p>
          <w:p w:rsidR="0071256A" w:rsidRDefault="0071256A" w:rsidP="00F14615">
            <w:pPr>
              <w:spacing w:after="40"/>
              <w:jc w:val="center"/>
            </w:pPr>
            <w:r>
              <w:rPr>
                <w:rFonts w:ascii="Noto Sans" w:hAnsi="Noto Sans"/>
                <w:b/>
                <w:color w:val="006341"/>
                <w:sz w:val="48"/>
              </w:rPr>
              <w:t>▲ 2.56%</w:t>
            </w:r>
          </w:p>
          <w:p w:rsidR="0071256A" w:rsidRDefault="0071256A" w:rsidP="00F14615">
            <w:pPr>
              <w:jc w:val="center"/>
            </w:pPr>
            <w:r w:rsidRPr="004C52B4">
              <w:rPr>
                <w:rFonts w:ascii="Noto Sans" w:hAnsi="Noto Sans"/>
                <w:color w:val="6B6864"/>
                <w:sz w:val="16"/>
              </w:rPr>
              <w:t>Comparación julio 2026 vs julio 2025 (3.77%)</w:t>
            </w:r>
          </w:p>
        </w:tc>
      </w:tr>
    </w:tbl>
    <w:p w:rsidR="00CD4318" w:rsidRPr="00870C56" w:rsidRDefault="00CD4318" w:rsidP="0071256A">
      <w:pPr>
        <w:spacing w:before="60" w:after="60"/>
        <w:jc w:val="both"/>
        <w:rPr>
          <w:rFonts w:ascii="Calibri" w:eastAsia="Noto Sans" w:hAnsi="Calibri" w:cs="Calibri"/>
          <w:b/>
          <w:bCs/>
          <w:color w:val="1A1A1A"/>
          <w:sz w:val="4"/>
          <w:szCs w:val="20"/>
        </w:rPr>
      </w:pPr>
    </w:p>
    <w:p w:rsidR="00EE5236" w:rsidRDefault="00EE5236" w:rsidP="00CA54B1">
      <w:pPr>
        <w:jc w:val="both"/>
        <w:rPr>
          <w:rFonts w:ascii="Noto Sans" w:hAnsi="Noto Sans"/>
          <w:color w:val="4C545B"/>
          <w:sz w:val="16"/>
          <w:szCs w:val="16"/>
        </w:rPr>
      </w:pPr>
      <w:r w:rsidRPr="00EE5236">
        <w:rPr>
          <w:rFonts w:ascii="Noto Sans" w:hAnsi="Noto Sans"/>
          <w:color w:val="4C545B"/>
          <w:sz w:val="16"/>
          <w:szCs w:val="16"/>
        </w:rPr>
        <w:t>Nota</w:t>
      </w:r>
      <w:r>
        <w:rPr>
          <w:rFonts w:ascii="Noto Sans" w:hAnsi="Noto Sans"/>
          <w:color w:val="4C545B"/>
          <w:sz w:val="16"/>
          <w:szCs w:val="16"/>
        </w:rPr>
        <w:t xml:space="preserve">: </w:t>
      </w:r>
      <w:r w:rsidR="006C78EC" w:rsidRPr="006C78EC">
        <w:rPr>
          <w:rFonts w:ascii="Noto Sans" w:hAnsi="Noto Sans"/>
          <w:color w:val="4C545B"/>
          <w:sz w:val="16"/>
          <w:szCs w:val="16"/>
        </w:rPr>
        <w:t>El INPC mide la variación promedio de los precios de una canasta representativa del consumo de los hogares; el INPP mide la evolución de los precios de bienes y servicios producidos en el país para consumo interno y exportación. La variación mensual compara julio con junio de 2026 y la anual, con julio de 2025</w:t>
      </w:r>
      <w:r>
        <w:rPr>
          <w:rFonts w:ascii="Noto Sans" w:hAnsi="Noto Sans"/>
          <w:color w:val="4C545B"/>
          <w:sz w:val="16"/>
          <w:szCs w:val="16"/>
        </w:rPr>
        <w:t>.</w:t>
      </w:r>
    </w:p>
    <w:p w:rsidR="00EE5236" w:rsidRPr="00EE5236" w:rsidRDefault="00EE5236" w:rsidP="00CA54B1">
      <w:pPr>
        <w:jc w:val="both"/>
        <w:rPr>
          <w:rFonts w:ascii="Noto Sans" w:hAnsi="Noto Sans"/>
          <w:b/>
          <w:sz w:val="16"/>
          <w:szCs w:val="22"/>
        </w:rPr>
      </w:pPr>
    </w:p>
    <w:p w:rsidR="00A03452" w:rsidRPr="00EE5236" w:rsidRDefault="00EE5236" w:rsidP="00CA54B1">
      <w:pPr>
        <w:jc w:val="both"/>
        <w:rPr>
          <w:rFonts w:ascii="Noto Sans Oriya" w:hAnsi="Noto Sans Oriya" w:cs="Noto Sans Oriya"/>
          <w:sz w:val="22"/>
          <w:szCs w:val="22"/>
          <w:lang w:eastAsia="es-ES_tradnl"/>
        </w:rPr>
      </w:pPr>
      <w:r w:rsidRPr="00EE5236">
        <w:rPr>
          <w:rFonts w:ascii="Noto Sans" w:hAnsi="Noto Sans"/>
          <w:b/>
          <w:sz w:val="22"/>
          <w:szCs w:val="22"/>
        </w:rPr>
        <w:t xml:space="preserve">En julio de 2026, la inflación al consumidor se moderó a 3.12% anual, mientras que los precios al productor crecieron 2.56%. </w:t>
      </w:r>
      <w:r w:rsidRPr="00EE5236">
        <w:rPr>
          <w:rFonts w:ascii="Noto Sans" w:hAnsi="Noto Sans"/>
          <w:sz w:val="22"/>
          <w:szCs w:val="22"/>
        </w:rPr>
        <w:t>Ambos indicadores se ubicaron por debajo de sus niveles de julio de 2025, lo que apunta a un entorno de presiones de precios más contenidas. No obstante, persisten diferencias sectoriales y la inflación subyacente continúa cerca del límite superior del intervalo de variabilidad de Banxico</w:t>
      </w:r>
      <w:r w:rsidR="00E935EB" w:rsidRPr="00EE5236">
        <w:rPr>
          <w:rFonts w:ascii="Noto Sans" w:hAnsi="Noto Sans"/>
          <w:sz w:val="22"/>
          <w:szCs w:val="22"/>
        </w:rPr>
        <w:t>.</w:t>
      </w:r>
    </w:p>
    <w:p w:rsidR="00870C56" w:rsidRPr="00EE5236" w:rsidRDefault="00870C56" w:rsidP="00CA54B1">
      <w:pPr>
        <w:spacing w:before="60" w:after="60"/>
        <w:jc w:val="both"/>
        <w:rPr>
          <w:sz w:val="16"/>
          <w:szCs w:val="22"/>
        </w:rPr>
      </w:pPr>
    </w:p>
    <w:tbl>
      <w:tblPr>
        <w:tblW w:w="88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20"/>
      </w:tblGrid>
      <w:tr w:rsidR="0071256A" w:rsidRPr="00EE5236" w:rsidTr="00870C56">
        <w:tc>
          <w:tcPr>
            <w:tcW w:w="8820" w:type="dxa"/>
            <w:shd w:val="clear" w:color="auto" w:fill="F4F4F2"/>
            <w:tcMar>
              <w:top w:w="95" w:type="dxa"/>
              <w:left w:w="90" w:type="dxa"/>
              <w:bottom w:w="9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spacing w:after="40"/>
              <w:rPr>
                <w:sz w:val="22"/>
                <w:szCs w:val="22"/>
              </w:rPr>
            </w:pPr>
            <w:r w:rsidRPr="00EE5236">
              <w:rPr>
                <w:rFonts w:ascii="Noto Sans" w:eastAsia="Noto Sans" w:hAnsi="Noto Sans" w:cs="Noto Sans"/>
                <w:b/>
                <w:bCs/>
                <w:color w:val="10312B"/>
                <w:sz w:val="22"/>
                <w:szCs w:val="22"/>
              </w:rPr>
              <w:t>Resumen ejecutivo</w:t>
            </w:r>
          </w:p>
          <w:p w:rsidR="00E935EB" w:rsidRPr="00EE5236" w:rsidRDefault="00EE5236" w:rsidP="00CA54B1">
            <w:pPr>
              <w:pStyle w:val="pdq2pgselectionanchorcontainer"/>
              <w:numPr>
                <w:ilvl w:val="0"/>
                <w:numId w:val="36"/>
              </w:numPr>
              <w:spacing w:before="0" w:beforeAutospacing="0"/>
              <w:ind w:left="470" w:hanging="357"/>
              <w:jc w:val="both"/>
              <w:rPr>
                <w:rFonts w:ascii="Noto Sans Oriya" w:hAnsi="Noto Sans Oriya" w:cs="Noto Sans Oriya"/>
                <w:sz w:val="22"/>
                <w:szCs w:val="22"/>
              </w:rPr>
            </w:pPr>
            <w:r w:rsidRPr="00EE5236">
              <w:rPr>
                <w:rFonts w:ascii="Noto Sans" w:hAnsi="Noto Sans"/>
                <w:sz w:val="22"/>
                <w:szCs w:val="22"/>
              </w:rPr>
              <w:t xml:space="preserve">El INPC anual bajó de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3.51%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en julio de 2025 a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3.12%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en julio de 2026. La inflación subyacente se ubicó en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3.95%,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dentro del intervalo de variabilidad de Banxico, pero cerca de su límite superior.</w:t>
            </w:r>
          </w:p>
          <w:p w:rsidR="00E935EB" w:rsidRPr="00EE5236" w:rsidRDefault="00E935EB" w:rsidP="00CA54B1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ind w:left="470" w:hanging="357"/>
              <w:jc w:val="both"/>
              <w:rPr>
                <w:rFonts w:ascii="Noto Sans Oriya" w:hAnsi="Noto Sans Oriya" w:cs="Noto Sans Oriya"/>
                <w:sz w:val="22"/>
                <w:szCs w:val="22"/>
              </w:rPr>
            </w:pPr>
            <w:r w:rsidRPr="00EE5236">
              <w:rPr>
                <w:rFonts w:ascii="Noto Sans" w:hAnsi="Noto Sans"/>
                <w:sz w:val="22"/>
                <w:szCs w:val="22"/>
              </w:rPr>
              <w:t xml:space="preserve">El INPP total bajó de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3.77%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a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2.56% anual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, con el índice de uso intermedio en solo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1.73% anual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: </w:t>
            </w:r>
            <w:r w:rsidR="00933271" w:rsidRPr="00933271">
              <w:rPr>
                <w:rFonts w:ascii="Noto Sans" w:hAnsi="Noto Sans"/>
                <w:sz w:val="22"/>
                <w:szCs w:val="22"/>
              </w:rPr>
              <w:t>las presiones de costos de uso intermedio se mantienen moderadas</w:t>
            </w:r>
            <w:r w:rsidRPr="00EE5236">
              <w:rPr>
                <w:rFonts w:ascii="Noto Sans" w:hAnsi="Noto Sans"/>
                <w:sz w:val="22"/>
                <w:szCs w:val="22"/>
              </w:rPr>
              <w:t>.</w:t>
            </w:r>
          </w:p>
          <w:p w:rsidR="0071256A" w:rsidRPr="00EE5236" w:rsidRDefault="00EE5236" w:rsidP="00CA54B1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ind w:left="470" w:hanging="357"/>
              <w:jc w:val="both"/>
              <w:rPr>
                <w:sz w:val="22"/>
                <w:szCs w:val="22"/>
              </w:rPr>
            </w:pPr>
            <w:r w:rsidRPr="00EE5236">
              <w:rPr>
                <w:rFonts w:ascii="Noto Sans" w:hAnsi="Noto Sans"/>
                <w:sz w:val="22"/>
                <w:szCs w:val="22"/>
              </w:rPr>
              <w:t xml:space="preserve">La caída del precio del jitomate contribuyó a moderar ambos indicadores: disminuyó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29.2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% en el INPC y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26.9%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en el INPP durante julio</w:t>
            </w:r>
            <w:r w:rsidR="00E935EB" w:rsidRPr="00EE5236">
              <w:rPr>
                <w:rFonts w:ascii="Noto Sans" w:hAnsi="Noto Sans"/>
                <w:sz w:val="22"/>
                <w:szCs w:val="22"/>
              </w:rPr>
              <w:t>.</w:t>
            </w:r>
          </w:p>
          <w:p w:rsidR="0071256A" w:rsidRPr="00EE5236" w:rsidRDefault="00EE5236" w:rsidP="00CA54B1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ind w:left="470" w:hanging="357"/>
              <w:jc w:val="both"/>
              <w:rPr>
                <w:sz w:val="22"/>
                <w:szCs w:val="22"/>
              </w:rPr>
            </w:pPr>
            <w:r w:rsidRPr="00EE5236">
              <w:rPr>
                <w:rFonts w:ascii="Noto Sans" w:hAnsi="Noto Sans"/>
                <w:sz w:val="22"/>
                <w:szCs w:val="22"/>
              </w:rPr>
              <w:t xml:space="preserve">Dentro del INPC subyacente, los servicios aumentaron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4.36%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anual y aportaron </w:t>
            </w:r>
            <w:r w:rsidRPr="00EE5236">
              <w:rPr>
                <w:rFonts w:ascii="Noto Sans" w:hAnsi="Noto Sans"/>
                <w:b/>
                <w:sz w:val="22"/>
                <w:szCs w:val="22"/>
              </w:rPr>
              <w:t>1.72</w:t>
            </w:r>
            <w:r w:rsidRPr="00EE5236">
              <w:rPr>
                <w:rFonts w:ascii="Noto Sans" w:hAnsi="Noto Sans"/>
                <w:sz w:val="22"/>
                <w:szCs w:val="22"/>
              </w:rPr>
              <w:t xml:space="preserve"> puntos porcentuales a la inflación general, </w:t>
            </w:r>
            <w:r w:rsidR="001B2BC5" w:rsidRPr="001B2BC5">
              <w:rPr>
                <w:rFonts w:ascii="Noto Sans" w:hAnsi="Noto Sans"/>
                <w:sz w:val="22"/>
                <w:szCs w:val="22"/>
              </w:rPr>
              <w:t>por lo que continúan siendo un componente relevante de seguimiento</w:t>
            </w:r>
            <w:r w:rsidR="00D3678C">
              <w:rPr>
                <w:rFonts w:ascii="Noto Sans" w:hAnsi="Noto Sans"/>
                <w:sz w:val="22"/>
                <w:szCs w:val="22"/>
              </w:rPr>
              <w:t>.</w:t>
            </w:r>
          </w:p>
        </w:tc>
      </w:tr>
    </w:tbl>
    <w:p w:rsidR="00A03452" w:rsidRPr="00EE5236" w:rsidRDefault="000C1906" w:rsidP="00EE5236">
      <w:pPr>
        <w:spacing w:before="80" w:after="40"/>
        <w:jc w:val="center"/>
        <w:rPr>
          <w:rFonts w:ascii="Calibri" w:eastAsia="Noto Sans" w:hAnsi="Calibri" w:cs="Calibri"/>
          <w:b/>
          <w:bCs/>
          <w:color w:val="10312B"/>
          <w:sz w:val="22"/>
          <w:szCs w:val="20"/>
        </w:rPr>
      </w:pPr>
      <w:r>
        <w:rPr>
          <w:rFonts w:ascii="Noto Sans" w:hAnsi="Noto Sans"/>
          <w:b/>
          <w:color w:val="10312B"/>
          <w:sz w:val="22"/>
        </w:rPr>
        <w:lastRenderedPageBreak/>
        <w:t>Variación del INPC y el INPP, julio de 2026</w:t>
      </w:r>
    </w:p>
    <w:tbl>
      <w:tblPr>
        <w:tblW w:w="8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73"/>
        <w:gridCol w:w="1873"/>
        <w:gridCol w:w="1874"/>
      </w:tblGrid>
      <w:tr w:rsidR="0071256A" w:rsidRPr="00EE5236" w:rsidTr="00F14615">
        <w:trPr>
          <w:tblHeader/>
        </w:trPr>
        <w:tc>
          <w:tcPr>
            <w:tcW w:w="3200" w:type="dxa"/>
            <w:shd w:val="clear" w:color="auto" w:fill="235B4C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FFFFFF"/>
                <w:sz w:val="16"/>
              </w:rPr>
              <w:t>Concepto</w:t>
            </w:r>
          </w:p>
        </w:tc>
        <w:tc>
          <w:tcPr>
            <w:tcW w:w="1873" w:type="dxa"/>
            <w:shd w:val="clear" w:color="auto" w:fill="235B4C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FFFFFF"/>
                <w:sz w:val="16"/>
              </w:rPr>
              <w:t>Var. mensual</w:t>
            </w:r>
          </w:p>
        </w:tc>
        <w:tc>
          <w:tcPr>
            <w:tcW w:w="1873" w:type="dxa"/>
            <w:shd w:val="clear" w:color="auto" w:fill="235B4C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FFFFFF"/>
                <w:sz w:val="16"/>
              </w:rPr>
              <w:t>Var. anual jul-26</w:t>
            </w:r>
          </w:p>
        </w:tc>
        <w:tc>
          <w:tcPr>
            <w:tcW w:w="1874" w:type="dxa"/>
            <w:shd w:val="clear" w:color="auto" w:fill="235B4C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FFFFFF"/>
                <w:sz w:val="16"/>
              </w:rPr>
              <w:t>Var. anual jul-25</w:t>
            </w:r>
          </w:p>
        </w:tc>
      </w:tr>
      <w:tr w:rsidR="0071256A" w:rsidRPr="00EE5236" w:rsidTr="00F14615">
        <w:tc>
          <w:tcPr>
            <w:tcW w:w="3200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INPC general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▲ 0.03%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▲ 3.12%</w:t>
            </w:r>
          </w:p>
        </w:tc>
        <w:tc>
          <w:tcPr>
            <w:tcW w:w="1874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▲ 3.51%</w:t>
            </w:r>
          </w:p>
        </w:tc>
      </w:tr>
      <w:tr w:rsidR="0071256A" w:rsidRPr="00EE5236" w:rsidTr="00F14615">
        <w:tc>
          <w:tcPr>
            <w:tcW w:w="3200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Subyacente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0.23%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3.95%</w:t>
            </w:r>
          </w:p>
        </w:tc>
        <w:tc>
          <w:tcPr>
            <w:tcW w:w="1874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4.23%</w:t>
            </w:r>
          </w:p>
        </w:tc>
      </w:tr>
      <w:tr w:rsidR="0071256A" w:rsidRPr="00EE5236" w:rsidTr="00F14615">
        <w:tc>
          <w:tcPr>
            <w:tcW w:w="3200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No subyacente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-0.67%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0.29%</w:t>
            </w:r>
          </w:p>
        </w:tc>
        <w:tc>
          <w:tcPr>
            <w:tcW w:w="1874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1.14%</w:t>
            </w:r>
          </w:p>
        </w:tc>
      </w:tr>
      <w:tr w:rsidR="0071256A" w:rsidRPr="00EE5236" w:rsidTr="00F14615">
        <w:tc>
          <w:tcPr>
            <w:tcW w:w="3200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INPP total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C00000"/>
                <w:sz w:val="16"/>
              </w:rPr>
              <w:t>▼ -0.03%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▲ 2.56%</w:t>
            </w:r>
          </w:p>
        </w:tc>
        <w:tc>
          <w:tcPr>
            <w:tcW w:w="1874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b/>
                <w:color w:val="000000"/>
                <w:sz w:val="16"/>
              </w:rPr>
              <w:t>▲ 3.77%</w:t>
            </w:r>
          </w:p>
        </w:tc>
      </w:tr>
      <w:tr w:rsidR="0071256A" w:rsidRPr="00EE5236" w:rsidTr="00F14615">
        <w:tc>
          <w:tcPr>
            <w:tcW w:w="3200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Uso intermedio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-0.16%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1.73%</w:t>
            </w:r>
          </w:p>
        </w:tc>
        <w:tc>
          <w:tcPr>
            <w:tcW w:w="1874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3.11%</w:t>
            </w:r>
          </w:p>
        </w:tc>
      </w:tr>
      <w:tr w:rsidR="0071256A" w:rsidRPr="00EE5236" w:rsidTr="00F14615">
        <w:tc>
          <w:tcPr>
            <w:tcW w:w="3200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Finales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0.02%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2.90%</w:t>
            </w:r>
          </w:p>
        </w:tc>
        <w:tc>
          <w:tcPr>
            <w:tcW w:w="1874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4.03%</w:t>
            </w:r>
          </w:p>
        </w:tc>
      </w:tr>
      <w:tr w:rsidR="0071256A" w:rsidRPr="00EE5236" w:rsidTr="00F14615">
        <w:tc>
          <w:tcPr>
            <w:tcW w:w="3200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Primarias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-1.56%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-7.25%</w:t>
            </w:r>
          </w:p>
        </w:tc>
        <w:tc>
          <w:tcPr>
            <w:tcW w:w="1874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-3.12%</w:t>
            </w:r>
          </w:p>
        </w:tc>
      </w:tr>
      <w:tr w:rsidR="0071256A" w:rsidRPr="00EE5236" w:rsidTr="00F14615">
        <w:tc>
          <w:tcPr>
            <w:tcW w:w="3200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Secundarias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C00000"/>
                <w:sz w:val="16"/>
              </w:rPr>
              <w:t>▼ -0.13%</w:t>
            </w:r>
          </w:p>
        </w:tc>
        <w:tc>
          <w:tcPr>
            <w:tcW w:w="1873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2.40%</w:t>
            </w:r>
          </w:p>
        </w:tc>
        <w:tc>
          <w:tcPr>
            <w:tcW w:w="1874" w:type="dx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4.01%</w:t>
            </w:r>
          </w:p>
        </w:tc>
      </w:tr>
      <w:tr w:rsidR="0071256A" w:rsidRPr="00EE5236" w:rsidTr="00F14615">
        <w:tc>
          <w:tcPr>
            <w:tcW w:w="3200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 xml:space="preserve">   Terciarias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0.34%</w:t>
            </w:r>
          </w:p>
        </w:tc>
        <w:tc>
          <w:tcPr>
            <w:tcW w:w="1873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4.14%</w:t>
            </w:r>
          </w:p>
        </w:tc>
        <w:tc>
          <w:tcPr>
            <w:tcW w:w="1874" w:type="dxa"/>
            <w:shd w:val="clear" w:color="auto" w:fill="F4F4F2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:rsidR="0071256A" w:rsidRPr="00EE5236" w:rsidRDefault="0071256A" w:rsidP="00CA54B1">
            <w:pPr>
              <w:jc w:val="center"/>
              <w:rPr>
                <w:sz w:val="16"/>
              </w:rPr>
            </w:pPr>
            <w:r w:rsidRPr="00EE5236">
              <w:rPr>
                <w:rFonts w:ascii="Noto Sans" w:hAnsi="Noto Sans"/>
                <w:color w:val="000000"/>
                <w:sz w:val="16"/>
              </w:rPr>
              <w:t>▲ 4.67%</w:t>
            </w:r>
          </w:p>
        </w:tc>
      </w:tr>
    </w:tbl>
    <w:p w:rsidR="00A03452" w:rsidRPr="00A03452" w:rsidRDefault="00A03452" w:rsidP="00CA54B1">
      <w:pPr>
        <w:spacing w:before="15" w:after="60"/>
        <w:rPr>
          <w:rFonts w:ascii="Noto Sans" w:eastAsia="Noto Sans" w:hAnsi="Noto Sans" w:cs="Noto Sans"/>
          <w:color w:val="4C545B"/>
          <w:sz w:val="4"/>
          <w:szCs w:val="13"/>
        </w:rPr>
      </w:pPr>
    </w:p>
    <w:p w:rsidR="0071256A" w:rsidRDefault="0071256A" w:rsidP="00CA54B1">
      <w:pPr>
        <w:spacing w:before="15" w:after="60"/>
        <w:rPr>
          <w:rFonts w:ascii="Noto Sans" w:hAnsi="Noto Sans"/>
          <w:color w:val="4C545B"/>
          <w:sz w:val="16"/>
          <w:szCs w:val="16"/>
        </w:rPr>
      </w:pPr>
      <w:r w:rsidRPr="00EE5236">
        <w:rPr>
          <w:rFonts w:ascii="Noto Sans" w:hAnsi="Noto Sans"/>
          <w:color w:val="4C545B"/>
          <w:sz w:val="16"/>
          <w:szCs w:val="16"/>
        </w:rPr>
        <w:t>Nota: INPP incluye petróleo. Fuente: INEGI, INPC e INPP.</w:t>
      </w:r>
    </w:p>
    <w:p w:rsidR="00EE5236" w:rsidRPr="00EE5236" w:rsidRDefault="00EE5236" w:rsidP="00CA54B1">
      <w:pPr>
        <w:spacing w:before="15" w:after="60"/>
        <w:rPr>
          <w:sz w:val="16"/>
          <w:szCs w:val="16"/>
        </w:rPr>
      </w:pPr>
    </w:p>
    <w:p w:rsidR="0071256A" w:rsidRDefault="00EE5236" w:rsidP="00CA54B1">
      <w:pPr>
        <w:jc w:val="center"/>
      </w:pPr>
      <w:r w:rsidRPr="00EE5236">
        <w:rPr>
          <w:rFonts w:ascii="Noto Sans" w:hAnsi="Noto Sans"/>
          <w:b/>
          <w:color w:val="10312B"/>
          <w:sz w:val="22"/>
        </w:rPr>
        <w:t>Variación anual del INPC y del INPP en julio, 2024-2026</w:t>
      </w:r>
      <w:r w:rsidR="00F4606D">
        <w:rPr>
          <w:rFonts w:ascii="Noto Sans" w:hAnsi="Noto Sans"/>
          <w:b/>
          <w:color w:val="10312B"/>
          <w:sz w:val="22"/>
        </w:rPr>
        <w:t>.</w:t>
      </w:r>
      <w:r w:rsidR="00F4606D">
        <w:rPr>
          <w:noProof/>
        </w:rPr>
        <w:drawing>
          <wp:inline distT="0" distB="0" distL="0" distR="0">
            <wp:extent cx="5120640" cy="14471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inpc_vs_in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4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906" w:rsidRPr="00EE5236" w:rsidRDefault="0071256A" w:rsidP="00564C79">
      <w:pPr>
        <w:spacing w:before="10" w:after="60"/>
        <w:rPr>
          <w:rFonts w:ascii="Noto Sans" w:eastAsia="Noto Sans" w:hAnsi="Noto Sans" w:cs="Noto Sans"/>
          <w:color w:val="4C545B"/>
          <w:sz w:val="16"/>
          <w:szCs w:val="16"/>
        </w:rPr>
      </w:pPr>
      <w:r w:rsidRPr="00EE5236">
        <w:rPr>
          <w:rFonts w:ascii="Noto Sans" w:hAnsi="Noto Sans"/>
          <w:color w:val="4C545B"/>
          <w:sz w:val="16"/>
          <w:szCs w:val="16"/>
        </w:rPr>
        <w:t>Gráfica 1. Variación anual de julio, INPC vs. INPP, 2024-2026 (%). Fuente: INEGI, INPC e INPP, boletines del 7 de agosto de 2026.</w:t>
      </w:r>
    </w:p>
    <w:p w:rsidR="002A0D3E" w:rsidRPr="00514E2F" w:rsidRDefault="002A0D3E" w:rsidP="00CA54B1">
      <w:pPr>
        <w:spacing w:after="42"/>
        <w:rPr>
          <w:rFonts w:ascii="Noto Sans" w:eastAsia="Noto Sans" w:hAnsi="Noto Sans" w:cs="Noto Sans"/>
          <w:b/>
          <w:bCs/>
          <w:color w:val="10312B"/>
          <w:sz w:val="10"/>
          <w:szCs w:val="21"/>
        </w:rPr>
      </w:pPr>
    </w:p>
    <w:p w:rsidR="0071256A" w:rsidRDefault="0071256A" w:rsidP="00CA54B1">
      <w:pPr>
        <w:shd w:val="clear" w:color="auto" w:fill="005E4C"/>
        <w:spacing w:before="90" w:after="45"/>
      </w:pPr>
      <w:r>
        <w:rPr>
          <w:rFonts w:ascii="Noto Sans" w:eastAsia="Noto Sans" w:hAnsi="Noto Sans" w:cs="Noto Sans"/>
          <w:b/>
          <w:bCs/>
          <w:color w:val="FFFFFF"/>
          <w:sz w:val="21"/>
          <w:szCs w:val="21"/>
        </w:rPr>
        <w:t>Análisis</w:t>
      </w:r>
    </w:p>
    <w:p w:rsidR="00EE5236" w:rsidRPr="00EE5236" w:rsidRDefault="00EE5236" w:rsidP="00564C79">
      <w:pPr>
        <w:pStyle w:val="NormalWeb"/>
        <w:numPr>
          <w:ilvl w:val="0"/>
          <w:numId w:val="37"/>
        </w:numPr>
        <w:spacing w:before="0" w:beforeAutospacing="0" w:after="0" w:afterAutospacing="0"/>
        <w:ind w:left="425" w:hanging="357"/>
        <w:jc w:val="both"/>
        <w:rPr>
          <w:rFonts w:ascii="Noto Sans" w:hAnsi="Noto Sans"/>
          <w:sz w:val="22"/>
          <w:lang w:eastAsia="es-ES_tradnl"/>
        </w:rPr>
      </w:pPr>
      <w:r w:rsidRPr="00EE5236">
        <w:rPr>
          <w:rFonts w:ascii="Noto Sans" w:hAnsi="Noto Sans"/>
          <w:sz w:val="22"/>
          <w:lang w:eastAsia="es-ES_tradnl"/>
        </w:rPr>
        <w:t>La inflación general se ubicó en 3.12% anual, apoyada por la reducción mensual del componente no subyacente, particularmente de productos agropecuarios.</w:t>
      </w:r>
    </w:p>
    <w:p w:rsidR="00EE5236" w:rsidRPr="00EE5236" w:rsidRDefault="00EE5236" w:rsidP="00EE5236">
      <w:pPr>
        <w:pStyle w:val="NormalWeb"/>
        <w:numPr>
          <w:ilvl w:val="0"/>
          <w:numId w:val="37"/>
        </w:numPr>
        <w:ind w:left="426"/>
        <w:jc w:val="both"/>
        <w:rPr>
          <w:rFonts w:ascii="Noto Sans" w:hAnsi="Noto Sans"/>
          <w:sz w:val="22"/>
          <w:lang w:eastAsia="es-ES_tradnl"/>
        </w:rPr>
      </w:pPr>
      <w:r w:rsidRPr="00EE5236">
        <w:rPr>
          <w:rFonts w:ascii="Noto Sans" w:hAnsi="Noto Sans"/>
          <w:sz w:val="22"/>
          <w:lang w:eastAsia="es-ES_tradnl"/>
        </w:rPr>
        <w:t>La inflación subyacente se mantuvo en 3.95%; los servicios registraron 4.36% anual, por lo que las presiones de carácter más persistente aún requieren seguimiento.</w:t>
      </w:r>
    </w:p>
    <w:p w:rsidR="00F4606D" w:rsidRPr="00EE5236" w:rsidRDefault="00EE5236" w:rsidP="00EE5236">
      <w:pPr>
        <w:pStyle w:val="NormalWeb"/>
        <w:numPr>
          <w:ilvl w:val="0"/>
          <w:numId w:val="37"/>
        </w:numPr>
        <w:ind w:left="426"/>
        <w:jc w:val="both"/>
        <w:rPr>
          <w:rFonts w:ascii="Noto Sans Oriya" w:hAnsi="Noto Sans Oriya" w:cs="Noto Sans Oriya"/>
        </w:rPr>
      </w:pPr>
      <w:r w:rsidRPr="00EE5236">
        <w:rPr>
          <w:rFonts w:ascii="Noto Sans" w:hAnsi="Noto Sans"/>
          <w:sz w:val="22"/>
          <w:lang w:eastAsia="es-ES_tradnl"/>
        </w:rPr>
        <w:t>Los precios al productor aumentaron 2.56% anual y disminuyeron 0.03% mensual. Los bienes de uso intermedio crecieron 1.73% anual, lo que refleja presiones de costos moderadas, aunque con diferencias importantes entre sectores</w:t>
      </w:r>
      <w:r w:rsidR="00F4606D" w:rsidRPr="00EE5236">
        <w:rPr>
          <w:rFonts w:ascii="Noto Sans" w:hAnsi="Noto Sans"/>
          <w:sz w:val="22"/>
        </w:rPr>
        <w:t>.</w:t>
      </w:r>
    </w:p>
    <w:p w:rsidR="00246E09" w:rsidRPr="00EE5236" w:rsidRDefault="0071256A" w:rsidP="00CA54B1">
      <w:pPr>
        <w:spacing w:before="40"/>
        <w:rPr>
          <w:sz w:val="16"/>
          <w:szCs w:val="16"/>
        </w:rPr>
      </w:pPr>
      <w:r w:rsidRPr="00EE5236">
        <w:rPr>
          <w:rFonts w:ascii="Arial" w:hAnsi="Arial"/>
          <w:color w:val="4C545B"/>
          <w:sz w:val="16"/>
          <w:szCs w:val="16"/>
        </w:rPr>
        <w:t xml:space="preserve">Fuente: INEGI. Índice Nacional de Precios al Consumidor (INPC) e Índice Nacional de Precios Productor (INPP), boletines de indicador del 7 de agosto de 2026 (cifras de julio de 2026). </w:t>
      </w:r>
      <w:bookmarkStart w:id="0" w:name="_GoBack"/>
      <w:bookmarkEnd w:id="0"/>
    </w:p>
    <w:sectPr w:rsidR="00246E09" w:rsidRPr="00EE5236">
      <w:headerReference w:type="default" r:id="rId10"/>
      <w:footerReference w:type="even" r:id="rId11"/>
      <w:footerReference w:type="default" r:id="rId12"/>
      <w:pgSz w:w="12240" w:h="15840"/>
      <w:pgMar w:top="792" w:right="1701" w:bottom="720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55EA" w:rsidRDefault="007655EA" w:rsidP="00E32E74">
      <w:r>
        <w:separator/>
      </w:r>
    </w:p>
  </w:endnote>
  <w:endnote w:type="continuationSeparator" w:id="0">
    <w:p w:rsidR="007655EA" w:rsidRDefault="007655EA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">
    <w:altName w:val="Calibri"/>
    <w:panose1 w:val="020B0502040504020204"/>
    <w:charset w:val="00"/>
    <w:family w:val="swiss"/>
    <w:pitch w:val="variable"/>
    <w:sig w:usb0="E00882FF" w:usb1="400078FF" w:usb2="08000029" w:usb3="00000000" w:csb0="0000019F" w:csb1="00000000"/>
  </w:font>
  <w:font w:name="Montserrat Ligh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Noto Sans Oriya">
    <w:panose1 w:val="020B0502040504020204"/>
    <w:charset w:val="00"/>
    <w:family w:val="swiss"/>
    <w:pitch w:val="variable"/>
    <w:sig w:usb0="0008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CE633D"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page">
            <wp:posOffset>-121920</wp:posOffset>
          </wp:positionH>
          <wp:positionV relativeFrom="paragraph">
            <wp:posOffset>-45085</wp:posOffset>
          </wp:positionV>
          <wp:extent cx="7894873" cy="1293628"/>
          <wp:effectExtent l="0" t="0" r="5080" b="1905"/>
          <wp:wrapNone/>
          <wp:docPr id="441815502" name="Imagen 1" descr="Imagen que contiene Aplicación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  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Pr="00E7262E" w:rsidRDefault="00DB54A2" w:rsidP="00A27EAB">
    <w:pPr>
      <w:jc w:val="right"/>
    </w:pPr>
  </w:p>
  <w:p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55EA" w:rsidRDefault="007655EA" w:rsidP="00E32E74">
      <w:r>
        <w:separator/>
      </w:r>
    </w:p>
  </w:footnote>
  <w:footnote w:type="continuationSeparator" w:id="0">
    <w:p w:rsidR="007655EA" w:rsidRDefault="007655EA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EA49C5" w:rsidP="00E32E74"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-12700</wp:posOffset>
          </wp:positionH>
          <wp:positionV relativeFrom="paragraph">
            <wp:posOffset>-436626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53939" cy="1257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Default="00DB54A2" w:rsidP="00E32E74"/>
  <w:p w:rsidR="00DB54A2" w:rsidRDefault="00DB54A2" w:rsidP="00E32E74"/>
  <w:p w:rsidR="00F859CD" w:rsidRDefault="00F859CD" w:rsidP="00E32E74"/>
  <w:p w:rsidR="00EA51AD" w:rsidRDefault="00FE6B8B" w:rsidP="00FE6B8B">
    <w:pPr>
      <w:ind w:left="-426"/>
      <w:rPr>
        <w:rFonts w:ascii="Noto Sans" w:hAnsi="Noto Sans" w:cs="Noto Sans"/>
        <w:b/>
        <w:bCs/>
        <w:sz w:val="22"/>
        <w:szCs w:val="22"/>
      </w:rPr>
    </w:pPr>
    <w:r>
      <w:rPr>
        <w:rFonts w:ascii="Calibri" w:hAnsi="Calibri" w:cs="Calibri"/>
        <w:b/>
        <w:bCs/>
        <w:sz w:val="22"/>
        <w:szCs w:val="22"/>
      </w:rPr>
      <w:t>Subsecretaría de Industria y Comercio</w:t>
    </w:r>
    <w:r w:rsidR="00EA51AD">
      <w:rPr>
        <w:rFonts w:ascii="Noto Sans" w:hAnsi="Noto Sans" w:cs="Noto Sans"/>
        <w:b/>
        <w:bCs/>
        <w:sz w:val="22"/>
        <w:szCs w:val="22"/>
      </w:rPr>
      <w:t xml:space="preserve"> </w:t>
    </w:r>
  </w:p>
  <w:p w:rsidR="00A03452" w:rsidRPr="00FE6B8B" w:rsidRDefault="00A03452" w:rsidP="00FE6B8B">
    <w:pPr>
      <w:ind w:left="-426"/>
      <w:rPr>
        <w:rFonts w:ascii="Calibri" w:hAnsi="Calibri" w:cs="Calibri"/>
        <w:b/>
        <w:bCs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74F6"/>
    <w:multiLevelType w:val="hybridMultilevel"/>
    <w:tmpl w:val="BD24C636"/>
    <w:lvl w:ilvl="0" w:tplc="0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12835"/>
    <w:multiLevelType w:val="hybridMultilevel"/>
    <w:tmpl w:val="6138078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7E7B97"/>
    <w:multiLevelType w:val="hybridMultilevel"/>
    <w:tmpl w:val="2A4A9C34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E1199"/>
    <w:multiLevelType w:val="hybridMultilevel"/>
    <w:tmpl w:val="9C70F70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BE3CB6"/>
    <w:multiLevelType w:val="hybridMultilevel"/>
    <w:tmpl w:val="9724E6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90047D"/>
    <w:multiLevelType w:val="hybridMultilevel"/>
    <w:tmpl w:val="A822CF98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4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395CD3"/>
    <w:multiLevelType w:val="hybridMultilevel"/>
    <w:tmpl w:val="87D69FC0"/>
    <w:lvl w:ilvl="0" w:tplc="1018C248">
      <w:start w:val="1"/>
      <w:numFmt w:val="bullet"/>
      <w:lvlText w:val="•"/>
      <w:lvlJc w:val="left"/>
      <w:pPr>
        <w:ind w:left="260" w:hanging="200"/>
      </w:pPr>
    </w:lvl>
    <w:lvl w:ilvl="1" w:tplc="FBE2B880">
      <w:numFmt w:val="decimal"/>
      <w:lvlText w:val=""/>
      <w:lvlJc w:val="left"/>
    </w:lvl>
    <w:lvl w:ilvl="2" w:tplc="B06EDE8C">
      <w:numFmt w:val="decimal"/>
      <w:lvlText w:val=""/>
      <w:lvlJc w:val="left"/>
    </w:lvl>
    <w:lvl w:ilvl="3" w:tplc="55341AEE">
      <w:numFmt w:val="decimal"/>
      <w:lvlText w:val=""/>
      <w:lvlJc w:val="left"/>
    </w:lvl>
    <w:lvl w:ilvl="4" w:tplc="8A1A687A">
      <w:numFmt w:val="decimal"/>
      <w:lvlText w:val=""/>
      <w:lvlJc w:val="left"/>
    </w:lvl>
    <w:lvl w:ilvl="5" w:tplc="66C03360">
      <w:numFmt w:val="decimal"/>
      <w:lvlText w:val=""/>
      <w:lvlJc w:val="left"/>
    </w:lvl>
    <w:lvl w:ilvl="6" w:tplc="770EC2DE">
      <w:numFmt w:val="decimal"/>
      <w:lvlText w:val=""/>
      <w:lvlJc w:val="left"/>
    </w:lvl>
    <w:lvl w:ilvl="7" w:tplc="2FBEF708">
      <w:numFmt w:val="decimal"/>
      <w:lvlText w:val=""/>
      <w:lvlJc w:val="left"/>
    </w:lvl>
    <w:lvl w:ilvl="8" w:tplc="9B741FAC">
      <w:numFmt w:val="decimal"/>
      <w:lvlText w:val=""/>
      <w:lvlJc w:val="left"/>
    </w:lvl>
  </w:abstractNum>
  <w:abstractNum w:abstractNumId="33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1B2C3D"/>
    <w:multiLevelType w:val="hybridMultilevel"/>
    <w:tmpl w:val="7A1B2C3E"/>
    <w:lvl w:ilvl="0" w:tplc="F266E762">
      <w:start w:val="1"/>
      <w:numFmt w:val="bullet"/>
      <w:lvlText w:val=""/>
      <w:lvlJc w:val="left"/>
      <w:pPr>
        <w:ind w:left="432" w:hanging="288"/>
      </w:pPr>
      <w:rPr>
        <w:rFonts w:ascii="Symbol" w:hAnsi="Symbol" w:hint="default"/>
      </w:rPr>
    </w:lvl>
    <w:lvl w:ilvl="1" w:tplc="1A44F988">
      <w:numFmt w:val="decimal"/>
      <w:lvlText w:val=""/>
      <w:lvlJc w:val="left"/>
    </w:lvl>
    <w:lvl w:ilvl="2" w:tplc="784A313A">
      <w:numFmt w:val="decimal"/>
      <w:lvlText w:val=""/>
      <w:lvlJc w:val="left"/>
    </w:lvl>
    <w:lvl w:ilvl="3" w:tplc="E940B9BA">
      <w:numFmt w:val="decimal"/>
      <w:lvlText w:val=""/>
      <w:lvlJc w:val="left"/>
    </w:lvl>
    <w:lvl w:ilvl="4" w:tplc="CE9E15B0">
      <w:numFmt w:val="decimal"/>
      <w:lvlText w:val=""/>
      <w:lvlJc w:val="left"/>
    </w:lvl>
    <w:lvl w:ilvl="5" w:tplc="803CE1A8">
      <w:numFmt w:val="decimal"/>
      <w:lvlText w:val=""/>
      <w:lvlJc w:val="left"/>
    </w:lvl>
    <w:lvl w:ilvl="6" w:tplc="7EBEE4BC">
      <w:numFmt w:val="decimal"/>
      <w:lvlText w:val=""/>
      <w:lvlJc w:val="left"/>
    </w:lvl>
    <w:lvl w:ilvl="7" w:tplc="AD3C62DA">
      <w:numFmt w:val="decimal"/>
      <w:lvlText w:val=""/>
      <w:lvlJc w:val="left"/>
    </w:lvl>
    <w:lvl w:ilvl="8" w:tplc="C35E76F4">
      <w:numFmt w:val="decimal"/>
      <w:lvlText w:val=""/>
      <w:lvlJc w:val="left"/>
    </w:lvl>
  </w:abstractNum>
  <w:abstractNum w:abstractNumId="35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22"/>
  </w:num>
  <w:num w:numId="4">
    <w:abstractNumId w:val="36"/>
  </w:num>
  <w:num w:numId="5">
    <w:abstractNumId w:val="29"/>
  </w:num>
  <w:num w:numId="6">
    <w:abstractNumId w:val="11"/>
  </w:num>
  <w:num w:numId="7">
    <w:abstractNumId w:val="31"/>
  </w:num>
  <w:num w:numId="8">
    <w:abstractNumId w:val="9"/>
  </w:num>
  <w:num w:numId="9">
    <w:abstractNumId w:val="6"/>
  </w:num>
  <w:num w:numId="10">
    <w:abstractNumId w:val="16"/>
  </w:num>
  <w:num w:numId="11">
    <w:abstractNumId w:val="21"/>
  </w:num>
  <w:num w:numId="12">
    <w:abstractNumId w:val="20"/>
  </w:num>
  <w:num w:numId="13">
    <w:abstractNumId w:val="8"/>
  </w:num>
  <w:num w:numId="14">
    <w:abstractNumId w:val="14"/>
  </w:num>
  <w:num w:numId="15">
    <w:abstractNumId w:val="33"/>
  </w:num>
  <w:num w:numId="16">
    <w:abstractNumId w:val="0"/>
  </w:num>
  <w:num w:numId="17">
    <w:abstractNumId w:val="26"/>
  </w:num>
  <w:num w:numId="18">
    <w:abstractNumId w:val="15"/>
  </w:num>
  <w:num w:numId="19">
    <w:abstractNumId w:val="25"/>
  </w:num>
  <w:num w:numId="20">
    <w:abstractNumId w:val="28"/>
  </w:num>
  <w:num w:numId="21">
    <w:abstractNumId w:val="12"/>
  </w:num>
  <w:num w:numId="22">
    <w:abstractNumId w:val="1"/>
  </w:num>
  <w:num w:numId="23">
    <w:abstractNumId w:val="24"/>
  </w:num>
  <w:num w:numId="24">
    <w:abstractNumId w:val="27"/>
  </w:num>
  <w:num w:numId="25">
    <w:abstractNumId w:val="3"/>
  </w:num>
  <w:num w:numId="26">
    <w:abstractNumId w:val="4"/>
  </w:num>
  <w:num w:numId="27">
    <w:abstractNumId w:val="30"/>
  </w:num>
  <w:num w:numId="28">
    <w:abstractNumId w:val="10"/>
  </w:num>
  <w:num w:numId="29">
    <w:abstractNumId w:val="35"/>
  </w:num>
  <w:num w:numId="30">
    <w:abstractNumId w:val="34"/>
  </w:num>
  <w:num w:numId="31">
    <w:abstractNumId w:val="2"/>
  </w:num>
  <w:num w:numId="32">
    <w:abstractNumId w:val="23"/>
  </w:num>
  <w:num w:numId="33">
    <w:abstractNumId w:val="13"/>
  </w:num>
  <w:num w:numId="34">
    <w:abstractNumId w:val="32"/>
    <w:lvlOverride w:ilvl="0">
      <w:startOverride w:val="1"/>
    </w:lvlOverride>
  </w:num>
  <w:num w:numId="35">
    <w:abstractNumId w:val="17"/>
  </w:num>
  <w:num w:numId="36">
    <w:abstractNumId w:val="19"/>
  </w:num>
  <w:num w:numId="37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2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4C"/>
    <w:rsid w:val="00002027"/>
    <w:rsid w:val="00003EA0"/>
    <w:rsid w:val="0000545B"/>
    <w:rsid w:val="000258F9"/>
    <w:rsid w:val="00025A89"/>
    <w:rsid w:val="00030E8C"/>
    <w:rsid w:val="0003237D"/>
    <w:rsid w:val="000377A6"/>
    <w:rsid w:val="00041BD6"/>
    <w:rsid w:val="000438FF"/>
    <w:rsid w:val="00043F02"/>
    <w:rsid w:val="00046781"/>
    <w:rsid w:val="00050586"/>
    <w:rsid w:val="00054FB9"/>
    <w:rsid w:val="000571C6"/>
    <w:rsid w:val="000879DB"/>
    <w:rsid w:val="00097661"/>
    <w:rsid w:val="000A3591"/>
    <w:rsid w:val="000A46AA"/>
    <w:rsid w:val="000A71DD"/>
    <w:rsid w:val="000C1906"/>
    <w:rsid w:val="000D126D"/>
    <w:rsid w:val="000D5B48"/>
    <w:rsid w:val="000E1551"/>
    <w:rsid w:val="000E263D"/>
    <w:rsid w:val="001106F9"/>
    <w:rsid w:val="00113971"/>
    <w:rsid w:val="00113ADD"/>
    <w:rsid w:val="00116A82"/>
    <w:rsid w:val="00136317"/>
    <w:rsid w:val="0013733B"/>
    <w:rsid w:val="00153B11"/>
    <w:rsid w:val="00155DFB"/>
    <w:rsid w:val="0018050E"/>
    <w:rsid w:val="00193DC0"/>
    <w:rsid w:val="00197050"/>
    <w:rsid w:val="00197ADD"/>
    <w:rsid w:val="001A6402"/>
    <w:rsid w:val="001B2972"/>
    <w:rsid w:val="001B2BC5"/>
    <w:rsid w:val="001B64D3"/>
    <w:rsid w:val="001C2D90"/>
    <w:rsid w:val="001C5436"/>
    <w:rsid w:val="001D27D6"/>
    <w:rsid w:val="001D4DE9"/>
    <w:rsid w:val="001E072F"/>
    <w:rsid w:val="001F561B"/>
    <w:rsid w:val="00204B82"/>
    <w:rsid w:val="00220619"/>
    <w:rsid w:val="0022679A"/>
    <w:rsid w:val="002360E8"/>
    <w:rsid w:val="00246E09"/>
    <w:rsid w:val="00254C67"/>
    <w:rsid w:val="002907B7"/>
    <w:rsid w:val="00290C17"/>
    <w:rsid w:val="00294C95"/>
    <w:rsid w:val="002A0D3E"/>
    <w:rsid w:val="002C459E"/>
    <w:rsid w:val="002E0889"/>
    <w:rsid w:val="002E131D"/>
    <w:rsid w:val="002E3C28"/>
    <w:rsid w:val="002F4E7A"/>
    <w:rsid w:val="00320CA1"/>
    <w:rsid w:val="00341FF9"/>
    <w:rsid w:val="00344789"/>
    <w:rsid w:val="00360F50"/>
    <w:rsid w:val="0036312B"/>
    <w:rsid w:val="003919F7"/>
    <w:rsid w:val="003B7AF4"/>
    <w:rsid w:val="003E7119"/>
    <w:rsid w:val="004135C9"/>
    <w:rsid w:val="00424E7E"/>
    <w:rsid w:val="0042728A"/>
    <w:rsid w:val="00431758"/>
    <w:rsid w:val="004362C5"/>
    <w:rsid w:val="00437209"/>
    <w:rsid w:val="00465707"/>
    <w:rsid w:val="004676E4"/>
    <w:rsid w:val="00470257"/>
    <w:rsid w:val="0047264F"/>
    <w:rsid w:val="004869A7"/>
    <w:rsid w:val="00486FFD"/>
    <w:rsid w:val="00491EE7"/>
    <w:rsid w:val="0049299F"/>
    <w:rsid w:val="00494D11"/>
    <w:rsid w:val="00495548"/>
    <w:rsid w:val="004A74A4"/>
    <w:rsid w:val="004A78F6"/>
    <w:rsid w:val="004B221D"/>
    <w:rsid w:val="004B3246"/>
    <w:rsid w:val="004C2B18"/>
    <w:rsid w:val="004C52B4"/>
    <w:rsid w:val="004D104B"/>
    <w:rsid w:val="004D2236"/>
    <w:rsid w:val="004E388B"/>
    <w:rsid w:val="004E776E"/>
    <w:rsid w:val="004F3817"/>
    <w:rsid w:val="004F590A"/>
    <w:rsid w:val="0050130F"/>
    <w:rsid w:val="00502F3D"/>
    <w:rsid w:val="00514E2F"/>
    <w:rsid w:val="00520E2E"/>
    <w:rsid w:val="005267AC"/>
    <w:rsid w:val="00527411"/>
    <w:rsid w:val="005279B6"/>
    <w:rsid w:val="00550647"/>
    <w:rsid w:val="00564C79"/>
    <w:rsid w:val="00580B12"/>
    <w:rsid w:val="00587300"/>
    <w:rsid w:val="00591B3A"/>
    <w:rsid w:val="00593514"/>
    <w:rsid w:val="005A57CC"/>
    <w:rsid w:val="005B39C1"/>
    <w:rsid w:val="005D105A"/>
    <w:rsid w:val="00625F36"/>
    <w:rsid w:val="00642AE5"/>
    <w:rsid w:val="00646C52"/>
    <w:rsid w:val="00661ED1"/>
    <w:rsid w:val="006626AF"/>
    <w:rsid w:val="00662863"/>
    <w:rsid w:val="00667278"/>
    <w:rsid w:val="00671DD9"/>
    <w:rsid w:val="0068031A"/>
    <w:rsid w:val="00697E37"/>
    <w:rsid w:val="006A1F60"/>
    <w:rsid w:val="006C17B1"/>
    <w:rsid w:val="006C78EC"/>
    <w:rsid w:val="006F4646"/>
    <w:rsid w:val="007008A9"/>
    <w:rsid w:val="00705DC8"/>
    <w:rsid w:val="0071256A"/>
    <w:rsid w:val="00746F18"/>
    <w:rsid w:val="007471F1"/>
    <w:rsid w:val="007655EA"/>
    <w:rsid w:val="007759A6"/>
    <w:rsid w:val="007816C7"/>
    <w:rsid w:val="0078392B"/>
    <w:rsid w:val="0079704D"/>
    <w:rsid w:val="007B7560"/>
    <w:rsid w:val="007C2E7C"/>
    <w:rsid w:val="007D06F1"/>
    <w:rsid w:val="007D3385"/>
    <w:rsid w:val="007F60B5"/>
    <w:rsid w:val="00810EC6"/>
    <w:rsid w:val="0082026B"/>
    <w:rsid w:val="00830352"/>
    <w:rsid w:val="00832176"/>
    <w:rsid w:val="0083711C"/>
    <w:rsid w:val="00841FE6"/>
    <w:rsid w:val="008544E1"/>
    <w:rsid w:val="0086418A"/>
    <w:rsid w:val="00864D64"/>
    <w:rsid w:val="00870C56"/>
    <w:rsid w:val="00887FBD"/>
    <w:rsid w:val="00897B8A"/>
    <w:rsid w:val="008A56B9"/>
    <w:rsid w:val="008B36BF"/>
    <w:rsid w:val="008B5764"/>
    <w:rsid w:val="008D09CA"/>
    <w:rsid w:val="008F0109"/>
    <w:rsid w:val="008F2DC2"/>
    <w:rsid w:val="008F54BD"/>
    <w:rsid w:val="00927F12"/>
    <w:rsid w:val="00930605"/>
    <w:rsid w:val="00933271"/>
    <w:rsid w:val="009667A4"/>
    <w:rsid w:val="00981CAC"/>
    <w:rsid w:val="00994331"/>
    <w:rsid w:val="00995175"/>
    <w:rsid w:val="00997820"/>
    <w:rsid w:val="009B2B04"/>
    <w:rsid w:val="009B3BEB"/>
    <w:rsid w:val="009D1660"/>
    <w:rsid w:val="009D513B"/>
    <w:rsid w:val="009D662C"/>
    <w:rsid w:val="009E6351"/>
    <w:rsid w:val="00A03452"/>
    <w:rsid w:val="00A25E9B"/>
    <w:rsid w:val="00A27EAB"/>
    <w:rsid w:val="00A34818"/>
    <w:rsid w:val="00A503BD"/>
    <w:rsid w:val="00A60013"/>
    <w:rsid w:val="00A73CF4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273F4"/>
    <w:rsid w:val="00B62B90"/>
    <w:rsid w:val="00B64AE2"/>
    <w:rsid w:val="00B72087"/>
    <w:rsid w:val="00B93C35"/>
    <w:rsid w:val="00B94BFE"/>
    <w:rsid w:val="00BA7AF6"/>
    <w:rsid w:val="00BB1DC9"/>
    <w:rsid w:val="00BB4307"/>
    <w:rsid w:val="00BC0BB8"/>
    <w:rsid w:val="00BC0F57"/>
    <w:rsid w:val="00BD38B1"/>
    <w:rsid w:val="00BE2C85"/>
    <w:rsid w:val="00BF5F01"/>
    <w:rsid w:val="00C0087D"/>
    <w:rsid w:val="00C122A4"/>
    <w:rsid w:val="00C176D8"/>
    <w:rsid w:val="00C2663E"/>
    <w:rsid w:val="00C33446"/>
    <w:rsid w:val="00C43081"/>
    <w:rsid w:val="00C619F7"/>
    <w:rsid w:val="00C62995"/>
    <w:rsid w:val="00C639EA"/>
    <w:rsid w:val="00C65A1B"/>
    <w:rsid w:val="00C65F5C"/>
    <w:rsid w:val="00C66897"/>
    <w:rsid w:val="00C821D5"/>
    <w:rsid w:val="00C9207B"/>
    <w:rsid w:val="00CA54B1"/>
    <w:rsid w:val="00CA567C"/>
    <w:rsid w:val="00CB38B3"/>
    <w:rsid w:val="00CB70C5"/>
    <w:rsid w:val="00CC3F7F"/>
    <w:rsid w:val="00CD078D"/>
    <w:rsid w:val="00CD0F2A"/>
    <w:rsid w:val="00CD4318"/>
    <w:rsid w:val="00CD4A23"/>
    <w:rsid w:val="00CD61C4"/>
    <w:rsid w:val="00CD7369"/>
    <w:rsid w:val="00CE633D"/>
    <w:rsid w:val="00D10BEE"/>
    <w:rsid w:val="00D2057E"/>
    <w:rsid w:val="00D2376F"/>
    <w:rsid w:val="00D23B89"/>
    <w:rsid w:val="00D263C6"/>
    <w:rsid w:val="00D3678C"/>
    <w:rsid w:val="00D60BF7"/>
    <w:rsid w:val="00D70252"/>
    <w:rsid w:val="00D70D18"/>
    <w:rsid w:val="00D83A01"/>
    <w:rsid w:val="00D90AAA"/>
    <w:rsid w:val="00D92277"/>
    <w:rsid w:val="00D974FD"/>
    <w:rsid w:val="00DA0C65"/>
    <w:rsid w:val="00DB54A2"/>
    <w:rsid w:val="00DD2599"/>
    <w:rsid w:val="00DD4B7F"/>
    <w:rsid w:val="00DD6CF3"/>
    <w:rsid w:val="00DE76A7"/>
    <w:rsid w:val="00E0538C"/>
    <w:rsid w:val="00E1407E"/>
    <w:rsid w:val="00E32E74"/>
    <w:rsid w:val="00E56F00"/>
    <w:rsid w:val="00E61388"/>
    <w:rsid w:val="00E7262E"/>
    <w:rsid w:val="00E76409"/>
    <w:rsid w:val="00E76E1A"/>
    <w:rsid w:val="00E935EB"/>
    <w:rsid w:val="00E94CD4"/>
    <w:rsid w:val="00EA2751"/>
    <w:rsid w:val="00EA49C5"/>
    <w:rsid w:val="00EA51AD"/>
    <w:rsid w:val="00EB1C36"/>
    <w:rsid w:val="00EB1FB8"/>
    <w:rsid w:val="00EC60E0"/>
    <w:rsid w:val="00ED0B2E"/>
    <w:rsid w:val="00EE0C87"/>
    <w:rsid w:val="00EE5236"/>
    <w:rsid w:val="00F0340D"/>
    <w:rsid w:val="00F05F40"/>
    <w:rsid w:val="00F06026"/>
    <w:rsid w:val="00F16AAF"/>
    <w:rsid w:val="00F231FC"/>
    <w:rsid w:val="00F33EEE"/>
    <w:rsid w:val="00F367B6"/>
    <w:rsid w:val="00F37BF3"/>
    <w:rsid w:val="00F43BA1"/>
    <w:rsid w:val="00F45090"/>
    <w:rsid w:val="00F4606D"/>
    <w:rsid w:val="00F53CD8"/>
    <w:rsid w:val="00F715E8"/>
    <w:rsid w:val="00F73ED8"/>
    <w:rsid w:val="00F83769"/>
    <w:rsid w:val="00F859CD"/>
    <w:rsid w:val="00F95ABF"/>
    <w:rsid w:val="00FA6B54"/>
    <w:rsid w:val="00FB178F"/>
    <w:rsid w:val="00FD0DC2"/>
    <w:rsid w:val="00FE2C1E"/>
    <w:rsid w:val="00FE6B8B"/>
    <w:rsid w:val="00FF0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4CD4"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next w:val="Normal"/>
    <w:uiPriority w:val="9"/>
    <w:qFormat/>
    <w:rsid w:val="00CD7369"/>
    <w:pPr>
      <w:jc w:val="center"/>
      <w:outlineLvl w:val="0"/>
    </w:pPr>
    <w:rPr>
      <w:rFonts w:eastAsia="Noto Sans" w:cs="Noto Sans"/>
      <w:b/>
      <w:color w:val="670E35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jc w:val="center"/>
      <w:outlineLvl w:val="1"/>
    </w:pPr>
    <w:rPr>
      <w:rFonts w:eastAsia="Montserrat Light" w:cs="Montserrat Light"/>
      <w:b/>
      <w:color w:val="666666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outlineLvl w:val="2"/>
    </w:pPr>
    <w:rPr>
      <w:b/>
      <w:color w:val="FFFFFF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240" w:after="40"/>
      <w:ind w:left="709" w:hanging="709"/>
      <w:outlineLvl w:val="3"/>
    </w:pPr>
    <w:rPr>
      <w:b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jc w:val="right"/>
      <w:outlineLvl w:val="4"/>
    </w:pPr>
    <w:rPr>
      <w:b w:val="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C84662"/>
    <w:pPr>
      <w:spacing w:before="100" w:beforeAutospacing="1" w:after="100" w:afterAutospacing="1"/>
    </w:pPr>
  </w:style>
  <w:style w:type="paragraph" w:styleId="Prrafodelista">
    <w:name w:val="List Paragraph"/>
    <w:basedOn w:val="Normal"/>
    <w:qFormat/>
    <w:rsid w:val="001E119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240"/>
      <w:ind w:left="720" w:hanging="720"/>
    </w:pPr>
    <w:rPr>
      <w:rFonts w:ascii="Univers (W1)" w:hAnsi="Univers (W1)" w:cs="Arial"/>
      <w:color w:val="800080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502F3D"/>
    <w:pPr>
      <w:spacing w:before="100" w:beforeAutospacing="1" w:after="100" w:afterAutospacing="1"/>
    </w:pPr>
  </w:style>
  <w:style w:type="paragraph" w:customStyle="1" w:styleId="xl66">
    <w:name w:val="xl66"/>
    <w:basedOn w:val="Normal"/>
    <w:rsid w:val="00502F3D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100" w:beforeAutospacing="1" w:after="100" w:afterAutospacing="1"/>
    </w:pPr>
  </w:style>
  <w:style w:type="paragraph" w:customStyle="1" w:styleId="xl68">
    <w:name w:val="xl68"/>
    <w:basedOn w:val="Normal"/>
    <w:rsid w:val="00E94CD4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paragraph" w:customStyle="1" w:styleId="pdq2pgselectionanchorcontainer">
    <w:name w:val="pdq2pg_selectionanchorcontainer"/>
    <w:basedOn w:val="Normal"/>
    <w:rsid w:val="00360F50"/>
    <w:pPr>
      <w:spacing w:before="100" w:beforeAutospacing="1" w:after="100" w:afterAutospacing="1"/>
    </w:pPr>
    <w:rPr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8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97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0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7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92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7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539DB52-FEDA-0D47-802F-916762A0C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505</Words>
  <Characters>2782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Luis Enrique Buendía</cp:lastModifiedBy>
  <cp:revision>46</cp:revision>
  <cp:lastPrinted>2026-06-17T17:31:00Z</cp:lastPrinted>
  <dcterms:created xsi:type="dcterms:W3CDTF">2026-06-17T17:31:00Z</dcterms:created>
  <dcterms:modified xsi:type="dcterms:W3CDTF">2026-08-07T02:59:00Z</dcterms:modified>
</cp:coreProperties>
</file>