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shd w:val="clear" w:color="auto" w:fill="235B4C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246E09" w:rsidRPr="00FB0CD8"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35B4C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b w:val="0"/>
                <w:color w:val="FFFFFF"/>
                <w:sz w:val="20"/>
              </w:rPr>
              <w:t>Indicador Oportuno de la Actividad Económica (IOAE)</w:t>
            </w:r>
          </w:p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b/>
                <w:color w:val="FFFFFF"/>
                <w:sz w:val="40"/>
              </w:rPr>
              <w:t>IOAE · Julio 2026</w:t>
            </w:r>
          </w:p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b w:val="0"/>
                <w:color w:val="FFFFFF"/>
                <w:sz w:val="20"/>
              </w:rPr>
              <w:t>Boletín de Indicador del 20 de agosto de 2026 | INEGI</w:t>
            </w:r>
          </w:p>
        </w:tc>
      </w:tr>
      <w:tr w:rsidR="00246E09" w:rsidRPr="00FB0CD8"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b/>
                <w:color w:val="006341"/>
                <w:sz w:val="17"/>
              </w:rPr>
              <w:t>VARIACIÓN MENSUAL</w:t>
            </w:r>
          </w:p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6341"/>
                <w:sz w:val="72"/>
              </w:rPr>
              <w:t>▲</w:t>
            </w:r>
            <w:r>
              <w:rPr>
                <w:rFonts w:ascii="Noto Sans" w:hAnsi="Noto Sans" w:cs="Noto Sans"/>
                <w:b/>
                <w:color w:val="006341"/>
                <w:sz w:val="72"/>
              </w:rPr>
              <w:t xml:space="preserve"> 0.1%</w:t>
            </w:r>
          </w:p>
          <w:p w:rsidR="00246E09" w:rsidRPr="00FB0CD8" w:rsidRDefault="00465707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b w:val="0"/>
                <w:color w:val="4C545B"/>
                <w:sz w:val="16"/>
              </w:rPr>
              <w:t>IGAE (nowcast) · cifras desest. · julio 2026</w:t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b/>
                <w:color w:val="006341"/>
                <w:sz w:val="17"/>
              </w:rPr>
              <w:t>VARIACIÓN ANUAL</w:t>
            </w:r>
          </w:p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6341"/>
                <w:sz w:val="72"/>
              </w:rPr>
              <w:t>▲</w:t>
            </w:r>
            <w:r>
              <w:rPr>
                <w:rFonts w:ascii="Noto Sans" w:hAnsi="Noto Sans" w:cs="Noto Sans"/>
                <w:b/>
                <w:color w:val="006341"/>
                <w:sz w:val="72"/>
              </w:rPr>
              <w:t xml:space="preserve"> 2.7%</w:t>
            </w:r>
          </w:p>
          <w:p w:rsidR="00246E09" w:rsidRPr="00FB0CD8" w:rsidRDefault="00465707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>
              <w:rPr>
                <w:rFonts w:ascii="Noto Sans" w:hAnsi="Noto Sans" w:cs="Noto Sans"/>
                <w:b w:val="0"/>
                <w:color w:val="4C545B"/>
                <w:sz w:val="16"/>
              </w:rPr>
              <w:t>vs. julio 2025 · IC 95%: 1.8%–3.6%</w:t>
            </w:r>
          </w:p>
        </w:tc>
      </w:tr>
    </w:tbl>
    <w:p w:rsidR="00246E09" w:rsidRPr="00FB0CD8" w:rsidRDefault="00246E09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1472"/>
        <w:gridCol w:w="1472"/>
        <w:gridCol w:w="1472"/>
        <w:gridCol w:w="1472"/>
        <w:gridCol w:w="1472"/>
        <w:gridCol w:w="1472"/>
      </w:tblGrid>
      <w:tr w:rsidR="00DC152E" w:rsidRPr="00FB0CD8">
        <w:tc>
          <w:tcPr>
            <w:tcW w:w="2944" w:type="dxa"/>
            <w:gridSpan w:val="2"/>
            <w:shd w:val="clear" w:color="auto" w:fill="235B4C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IGAE</w:t>
            </w:r>
          </w:p>
        </w:tc>
        <w:tc>
          <w:tcPr>
            <w:tcW w:w="2944" w:type="dxa"/>
            <w:gridSpan w:val="2"/>
            <w:shd w:val="clear" w:color="auto" w:fill="235B4C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Actividades secundarias</w:t>
            </w:r>
          </w:p>
        </w:tc>
        <w:tc>
          <w:tcPr>
            <w:tcW w:w="2944" w:type="dxa"/>
            <w:gridSpan w:val="2"/>
            <w:shd w:val="clear" w:color="auto" w:fill="235B4C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b/>
                <w:color w:val="FFFFFF"/>
                <w:sz w:val="19"/>
              </w:rPr>
              <w:t>Actividades terciarias</w:t>
            </w:r>
          </w:p>
        </w:tc>
      </w:tr>
      <w:tr w:rsidR="00246E09" w:rsidRPr="00FB0CD8">
        <w:trPr>
          <w:trHeight w:val="150"/>
        </w:trPr>
        <w:tc>
          <w:tcPr>
            <w:tcW w:w="147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FB0CD8">
              <w:rPr>
                <w:rFonts w:ascii="Noto Sans" w:hAnsi="Noto Sans" w:cs="Noto Sans"/>
                <w:color w:val="000000"/>
                <w:sz w:val="22"/>
                <w:szCs w:val="22"/>
              </w:rPr>
              <w:t>Mensual</w:t>
            </w:r>
          </w:p>
        </w:tc>
        <w:tc>
          <w:tcPr>
            <w:tcW w:w="14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FB0CD8">
              <w:rPr>
                <w:rFonts w:ascii="Noto Sans" w:hAnsi="Noto Sans" w:cs="Noto Sans"/>
                <w:color w:val="000000"/>
                <w:sz w:val="22"/>
                <w:szCs w:val="22"/>
              </w:rPr>
              <w:t>Anual</w:t>
            </w:r>
          </w:p>
        </w:tc>
        <w:tc>
          <w:tcPr>
            <w:tcW w:w="14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FB0CD8">
              <w:rPr>
                <w:rFonts w:ascii="Noto Sans" w:hAnsi="Noto Sans" w:cs="Noto Sans"/>
                <w:color w:val="000000"/>
                <w:sz w:val="22"/>
                <w:szCs w:val="22"/>
              </w:rPr>
              <w:t>Mensual</w:t>
            </w:r>
          </w:p>
        </w:tc>
        <w:tc>
          <w:tcPr>
            <w:tcW w:w="14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FB0CD8">
              <w:rPr>
                <w:rFonts w:ascii="Noto Sans" w:hAnsi="Noto Sans" w:cs="Noto Sans"/>
                <w:color w:val="000000"/>
                <w:sz w:val="22"/>
                <w:szCs w:val="22"/>
              </w:rPr>
              <w:t>Anual</w:t>
            </w:r>
          </w:p>
        </w:tc>
        <w:tc>
          <w:tcPr>
            <w:tcW w:w="14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FB0CD8">
              <w:rPr>
                <w:rFonts w:ascii="Noto Sans" w:hAnsi="Noto Sans" w:cs="Noto Sans"/>
                <w:color w:val="000000"/>
                <w:sz w:val="22"/>
                <w:szCs w:val="22"/>
              </w:rPr>
              <w:t>Mensual</w:t>
            </w:r>
          </w:p>
        </w:tc>
        <w:tc>
          <w:tcPr>
            <w:tcW w:w="14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FB0CD8">
              <w:rPr>
                <w:rFonts w:ascii="Noto Sans" w:hAnsi="Noto Sans" w:cs="Noto Sans"/>
                <w:color w:val="000000"/>
                <w:sz w:val="22"/>
                <w:szCs w:val="22"/>
              </w:rPr>
              <w:t>Anual</w:t>
            </w:r>
          </w:p>
        </w:tc>
      </w:tr>
      <w:tr w:rsidR="00246E09" w:rsidRPr="00FB0CD8">
        <w:trPr>
          <w:trHeight w:val="170"/>
        </w:trPr>
        <w:tc>
          <w:tcPr>
            <w:tcW w:w="1472" w:type="dxa"/>
            <w:tcBorders>
              <w:top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▲</w:t>
            </w:r>
            <w:r>
              <w:rPr>
                <w:rFonts w:ascii="Noto Sans" w:hAnsi="Noto Sans" w:cs="Noto Sans"/>
                <w:b/>
                <w:color w:val="000000"/>
                <w:sz w:val="18"/>
              </w:rPr>
              <w:t xml:space="preserve"> 0.1 %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▲</w:t>
            </w:r>
            <w:r>
              <w:rPr>
                <w:rFonts w:ascii="Noto Sans" w:hAnsi="Noto Sans" w:cs="Noto Sans"/>
                <w:b/>
                <w:color w:val="000000"/>
                <w:sz w:val="18"/>
              </w:rPr>
              <w:t xml:space="preserve"> 2.7 %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▲</w:t>
            </w:r>
            <w:r>
              <w:rPr>
                <w:rFonts w:ascii="Noto Sans" w:hAnsi="Noto Sans" w:cs="Noto Sans"/>
                <w:b/>
                <w:color w:val="000000"/>
                <w:sz w:val="18"/>
              </w:rPr>
              <w:t xml:space="preserve"> 0.1 %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▲</w:t>
            </w:r>
            <w:r>
              <w:rPr>
                <w:rFonts w:ascii="Noto Sans" w:hAnsi="Noto Sans" w:cs="Noto Sans"/>
                <w:b/>
                <w:color w:val="000000"/>
                <w:sz w:val="18"/>
              </w:rPr>
              <w:t xml:space="preserve"> 1.8 %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▲</w:t>
            </w:r>
            <w:r>
              <w:rPr>
                <w:rFonts w:ascii="Noto Sans" w:hAnsi="Noto Sans" w:cs="Noto Sans"/>
                <w:b/>
                <w:color w:val="000000"/>
                <w:sz w:val="18"/>
              </w:rPr>
              <w:t xml:space="preserve"> 0.1 %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Pr="00FB0CD8" w:rsidRDefault="00465707">
            <w:pPr>
              <w:jc w:val="center"/>
              <w:rPr>
                <w:rFonts w:ascii="Noto Sans" w:hAnsi="Noto Sans" w:cs="Noto Sans"/>
                <w:sz w:val="22"/>
                <w:szCs w:val="22"/>
              </w:r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▲</w:t>
            </w:r>
            <w:r>
              <w:rPr>
                <w:rFonts w:ascii="Noto Sans" w:hAnsi="Noto Sans" w:cs="Noto Sans"/>
                <w:b/>
                <w:color w:val="000000"/>
                <w:sz w:val="18"/>
              </w:rPr>
              <w:t xml:space="preserve"> 2.8 %</w:t>
            </w:r>
          </w:p>
        </w:tc>
      </w:tr>
    </w:tbl>
    <w:p w:rsidR="00BC0BB8" w:rsidRPr="00DD3CD0" w:rsidRDefault="00465707">
      <w:pPr>
        <w:spacing w:before="40"/>
        <w:rPr>
          <w:rFonts w:ascii="Noto Sans" w:hAnsi="Noto Sans" w:cs="Noto Sans"/>
          <w:color w:val="4C545B"/>
          <w:sz w:val="18"/>
          <w:szCs w:val="22"/>
        </w:rPr>
      </w:pPr>
      <w:r>
        <w:rPr>
          <w:rFonts w:ascii="Noto Sans" w:hAnsi="Noto Sans" w:cs="Noto Sans"/>
          <w:b w:val="0"/>
          <w:color w:val="4C545B"/>
          <w:sz w:val="15"/>
        </w:rPr>
        <w:t xml:space="preserve">Nota: </w:t>
      </w:r>
      <w:r>
        <w:rPr>
          <w:rFonts w:ascii="Noto Sans" w:hAnsi="Noto Sans" w:cs="Noto Sans"/>
          <w:b w:val="0"/>
          <w:color w:val="4C545B"/>
          <w:sz w:val="15"/>
        </w:rPr>
        <w:t>cifras de julio de 2026 (nowcast); el dato de junio de actividades secundarias ya es observado, vía el Indicador Mensual de la Actividad Industrial (IMAI).</w:t>
      </w:r>
    </w:p>
    <w:p w:rsidR="00246E09" w:rsidRPr="00FB0CD8" w:rsidRDefault="00246E09">
      <w:pPr>
        <w:rPr>
          <w:rFonts w:ascii="Noto Sans" w:hAnsi="Noto Sans" w:cs="Noto Sans"/>
          <w:sz w:val="22"/>
          <w:szCs w:val="22"/>
        </w:rPr>
      </w:pPr>
    </w:p>
    <w:p w:rsidR="00BC0BB8" w:rsidRDefault="00CA49C6">
      <w:pPr>
        <w:jc w:val="both"/>
        <w:rPr>
          <w:rFonts w:ascii="Noto Sans" w:hAnsi="Noto Sans" w:cs="Noto Sans"/>
          <w:color w:val="000000"/>
          <w:sz w:val="22"/>
          <w:szCs w:val="22"/>
        </w:rPr>
      </w:pPr>
      <w:r>
        <w:rPr>
          <w:rFonts w:ascii="Noto Sans" w:hAnsi="Noto Sans" w:cs="Noto Sans"/>
          <w:b/>
          <w:color w:val="000000"/>
          <w:sz w:val="20"/>
        </w:rPr>
        <w:t>El IOAE anticipa para julio de 2026 una variación mensual de 0.1% y anual de 2.7% del IGAE.</w:t>
      </w:r>
      <w:r>
        <w:rPr>
          <w:rFonts w:ascii="Noto Sans" w:hAnsi="Noto Sans" w:cs="Noto Sans"/>
          <w:b w:val="0"/>
          <w:color w:val="000000"/>
          <w:sz w:val="20"/>
        </w:rPr>
        <w:t xml:space="preserve"> El índice desestacionalizado se ubicó en </w:t>
      </w:r>
      <w:r>
        <w:rPr>
          <w:rFonts w:ascii="Noto Sans" w:hAnsi="Noto Sans" w:cs="Noto Sans"/>
          <w:b/>
          <w:color w:val="000000"/>
          <w:sz w:val="20"/>
        </w:rPr>
        <w:t>107.2 puntos</w:t>
      </w:r>
      <w:r>
        <w:rPr>
          <w:rFonts w:ascii="Noto Sans" w:hAnsi="Noto Sans" w:cs="Noto Sans"/>
          <w:b w:val="0"/>
          <w:color w:val="000000"/>
          <w:sz w:val="20"/>
        </w:rPr>
        <w:t xml:space="preserve"> (base 2018=100). El intervalo de confianza anual (</w:t>
      </w:r>
      <w:r>
        <w:rPr>
          <w:rFonts w:ascii="Noto Sans" w:hAnsi="Noto Sans" w:cs="Noto Sans"/>
          <w:b/>
          <w:color w:val="000000"/>
          <w:sz w:val="20"/>
        </w:rPr>
        <w:t>1.8% a 3.6%</w:t>
      </w:r>
      <w:r>
        <w:rPr>
          <w:rFonts w:ascii="Noto Sans" w:hAnsi="Noto Sans" w:cs="Noto Sans"/>
          <w:b w:val="0"/>
          <w:color w:val="000000"/>
          <w:sz w:val="20"/>
        </w:rPr>
        <w:t>) es el más sólido de los últimos tres boletines y se mantiene íntegramente en terreno positivo, en línea con una aceleración gradual del crecimiento anual desde mayo.</w:t>
      </w:r>
    </w:p>
    <w:p w:rsidR="00B775B3" w:rsidRPr="00DD3CD0" w:rsidRDefault="00B775B3">
      <w:pPr>
        <w:jc w:val="both"/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8828"/>
      </w:tblGrid>
      <w:tr w:rsidR="00246E09" w:rsidRPr="00DD3CD0">
        <w:tc>
          <w:tcPr>
            <w:tcW w:w="8828" w:type="dxa"/>
            <w:shd w:val="clear" w:color="auto" w:fill="F4F4F2"/>
          </w:tcPr>
          <w:p w:rsidR="00246E09" w:rsidRPr="00DD3CD0" w:rsidRDefault="00465707">
            <w:pPr>
              <w:shd w:val="clear" w:color="auto" w:fill="F4F4F2"/>
              <w:rPr>
                <w:rFonts w:ascii="Noto Sans" w:hAnsi="Noto Sans" w:cs="Noto Sans"/>
                <w:sz w:val="22"/>
                <w:szCs w:val="22"/>
              </w:rPr>
            </w:pPr>
            <w:r w:rsidRPr="00DD3CD0">
              <w:rPr>
                <w:rFonts w:ascii="Noto Sans" w:hAnsi="Noto Sans" w:cs="Noto Sans"/>
                <w:b/>
                <w:color w:val="10312B"/>
                <w:sz w:val="22"/>
                <w:szCs w:val="22"/>
              </w:rPr>
              <w:t>Resumen ejecutivo</w:t>
            </w:r>
          </w:p>
          <w:p w:rsidR="00612102" w:rsidRPr="00DD3CD0" w:rsidRDefault="00612102">
            <w:pPr>
              <w:pStyle w:val="Prrafodelista"/>
              <w:numPr>
                <w:ilvl w:val="0"/>
                <w:numId w:val="32"/>
              </w:numPr>
              <w:shd w:val="clear" w:color="auto" w:fill="F4F4F2"/>
              <w:spacing w:before="30" w:after="30"/>
              <w:jc w:val="both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b w:val="0"/>
                <w:color w:val="000000"/>
                <w:sz w:val="20"/>
              </w:rPr>
              <w:t xml:space="preserve">El IOAE anticipa para julio una variación de 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0.1% mensual</w:t>
            </w:r>
            <w:r>
              <w:rPr>
                <w:rFonts w:ascii="Noto Sans" w:hAnsi="Noto Sans" w:cs="Noto Sans"/>
                <w:b w:val="0"/>
                <w:color w:val="000000"/>
                <w:sz w:val="20"/>
              </w:rPr>
              <w:t xml:space="preserve"> y 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2.7% anual</w:t>
            </w:r>
            <w:r>
              <w:rPr>
                <w:rFonts w:ascii="Noto Sans" w:hAnsi="Noto Sans" w:cs="Noto Sans"/>
                <w:b w:val="0"/>
                <w:color w:val="000000"/>
                <w:sz w:val="20"/>
              </w:rPr>
              <w:t xml:space="preserve"> del IGAE, con un intervalo de confianza anual de 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1.8% a 3.6%</w:t>
            </w:r>
            <w:r>
              <w:rPr>
                <w:rFonts w:ascii="Noto Sans" w:hAnsi="Noto Sans" w:cs="Noto Sans"/>
                <w:b w:val="0"/>
                <w:color w:val="000000"/>
                <w:sz w:val="20"/>
              </w:rPr>
              <w:t>, el más sólido en terreno positivo de los últimos tres meses.</w:t>
            </w:r>
          </w:p>
          <w:p w:rsidR="00B52545" w:rsidRPr="00B52545" w:rsidRDefault="00465707">
            <w:pPr>
              <w:pStyle w:val="Prrafodelista"/>
              <w:numPr>
                <w:ilvl w:val="0"/>
                <w:numId w:val="32"/>
              </w:numPr>
              <w:shd w:val="clear" w:color="auto" w:fill="F4F4F2"/>
              <w:spacing w:before="30" w:after="30"/>
              <w:jc w:val="both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b w:val="0"/>
                <w:color w:val="000000"/>
                <w:sz w:val="20"/>
              </w:rPr>
              <w:t xml:space="preserve">Las 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actividades secundarias</w:t>
            </w:r>
            <w:r>
              <w:rPr>
                <w:rFonts w:ascii="Noto Sans" w:hAnsi="Noto Sans" w:cs="Noto Sans"/>
                <w:b w:val="0"/>
                <w:color w:val="000000"/>
                <w:sz w:val="20"/>
              </w:rPr>
              <w:t xml:space="preserve"> anticipan 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0.1% mensual</w:t>
            </w:r>
            <w:r>
              <w:rPr>
                <w:rFonts w:ascii="Noto Sans" w:hAnsi="Noto Sans" w:cs="Noto Sans"/>
                <w:b w:val="0"/>
                <w:color w:val="000000"/>
                <w:sz w:val="20"/>
              </w:rPr>
              <w:t xml:space="preserve"> y 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1.8% anual</w:t>
            </w:r>
            <w:r>
              <w:rPr>
                <w:rFonts w:ascii="Noto Sans" w:hAnsi="Noto Sans" w:cs="Noto Sans"/>
                <w:b w:val="0"/>
                <w:color w:val="000000"/>
                <w:sz w:val="20"/>
              </w:rPr>
              <w:t>; el dato de junio (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0.8% anual</w:t>
            </w:r>
            <w:r>
              <w:rPr>
                <w:rFonts w:ascii="Noto Sans" w:hAnsi="Noto Sans" w:cs="Noto Sans"/>
                <w:b w:val="0"/>
                <w:color w:val="000000"/>
                <w:sz w:val="20"/>
              </w:rPr>
              <w:t>) ya es observado, vía el IMAI, y fue mayor al nowcast publicado el mes pasado.</w:t>
            </w:r>
          </w:p>
          <w:p w:rsidR="00246E09" w:rsidRPr="00DD3CD0" w:rsidRDefault="00465707">
            <w:pPr>
              <w:pStyle w:val="Prrafodelista"/>
              <w:numPr>
                <w:ilvl w:val="0"/>
                <w:numId w:val="32"/>
              </w:numPr>
              <w:shd w:val="clear" w:color="auto" w:fill="F4F4F2"/>
              <w:spacing w:before="30" w:after="30"/>
              <w:jc w:val="both"/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b w:val="0"/>
                <w:color w:val="000000"/>
                <w:sz w:val="20"/>
              </w:rPr>
              <w:t xml:space="preserve">Las 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actividades terciarias</w:t>
            </w:r>
            <w:r>
              <w:rPr>
                <w:rFonts w:ascii="Noto Sans" w:hAnsi="Noto Sans" w:cs="Noto Sans"/>
                <w:b w:val="0"/>
                <w:color w:val="000000"/>
                <w:sz w:val="20"/>
              </w:rPr>
              <w:t xml:space="preserve"> anticipan 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0.1% mensual</w:t>
            </w:r>
            <w:r>
              <w:rPr>
                <w:rFonts w:ascii="Noto Sans" w:hAnsi="Noto Sans" w:cs="Noto Sans"/>
                <w:b w:val="0"/>
                <w:color w:val="000000"/>
                <w:sz w:val="20"/>
              </w:rPr>
              <w:t xml:space="preserve"> y 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2.8% anual</w:t>
            </w:r>
            <w:r>
              <w:rPr>
                <w:rFonts w:ascii="Noto Sans" w:hAnsi="Noto Sans" w:cs="Noto Sans"/>
                <w:b w:val="0"/>
                <w:color w:val="000000"/>
                <w:sz w:val="20"/>
              </w:rPr>
              <w:t>, el mayor crecimiento entre los tres grupos por tercer mes consecutivo.</w:t>
            </w:r>
          </w:p>
        </w:tc>
      </w:tr>
    </w:tbl>
    <w:p w:rsidR="00BC0BB8" w:rsidRPr="00DD3CD0" w:rsidRDefault="00BC0BB8">
      <w:pPr>
        <w:jc w:val="center"/>
        <w:rPr>
          <w:rFonts w:ascii="Noto Sans" w:hAnsi="Noto Sans" w:cs="Noto Sans"/>
          <w:b/>
          <w:color w:val="10312B"/>
          <w:sz w:val="22"/>
          <w:szCs w:val="22"/>
        </w:rPr>
      </w:pPr>
    </w:p>
    <w:p w:rsidR="00246E09" w:rsidRPr="00FB0CD8" w:rsidRDefault="00465707">
      <w:pPr>
        <w:jc w:val="center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cs="Noto Sans"/>
          <w:b/>
          <w:color w:val="10312B"/>
          <w:sz w:val="22"/>
        </w:rPr>
        <w:t>Nowcast del IGAE, variación anual, enero 2021–julio 2026</w:t>
      </w:r>
    </w:p>
    <w:p w:rsidR="00246E09" w:rsidRPr="00FB0CD8" w:rsidRDefault="00465707">
      <w:pPr>
        <w:jc w:val="center"/>
        <w:rPr>
          <w:rFonts w:ascii="Noto Sans" w:hAnsi="Noto Sans" w:cs="Noto Sans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4572000" cy="13608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1_jul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08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B308C" w:rsidRPr="00CB6BF6" w:rsidRDefault="006B308C" w:rsidP="006B308C">
      <w:pPr>
        <w:rPr>
          <w:rFonts w:ascii="Noto Sans" w:hAnsi="Noto Sans" w:cs="Noto Sans"/>
          <w:color w:val="4C545B"/>
          <w:sz w:val="16"/>
          <w:szCs w:val="22"/>
        </w:rPr>
      </w:pPr>
      <w:r>
        <w:rPr>
          <w:rFonts w:ascii="Noto Sans" w:hAnsi="Noto Sans" w:cs="Noto Sans"/>
          <w:b w:val="0"/>
          <w:color w:val="4C545B"/>
          <w:sz w:val="15"/>
        </w:rPr>
        <w:t>Fuente: INEGI, IOAE, Boletín de Indicador, 20 de agosto de 2026. Cifras desestacionalizadas.</w:t>
      </w:r>
    </w:p>
    <w:p w:rsidR="006B308C" w:rsidRPr="00FB0CD8" w:rsidRDefault="006B308C">
      <w:pPr>
        <w:jc w:val="both"/>
        <w:rPr>
          <w:rFonts w:ascii="Noto Sans" w:hAnsi="Noto Sans" w:cs="Noto Sans"/>
          <w:color w:val="4C545B"/>
          <w:sz w:val="22"/>
          <w:szCs w:val="22"/>
        </w:rPr>
      </w:pPr>
      <w:bookmarkStart w:id="0" w:name="_GoBack"/>
      <w:bookmarkEnd w:id="0"/>
    </w:p>
    <w:p w:rsidR="00246E09" w:rsidRDefault="00B52545">
      <w:pPr>
        <w:jc w:val="both"/>
        <w:rPr>
          <w:rFonts w:ascii="Noto Sans" w:hAnsi="Noto Sans" w:cs="Noto Sans"/>
          <w:color w:val="10312B"/>
          <w:sz w:val="22"/>
          <w:szCs w:val="22"/>
        </w:rPr>
      </w:pPr>
      <w:r>
        <w:rPr>
          <w:rFonts w:ascii="Noto Sans" w:hAnsi="Noto Sans" w:cs="Noto Sans"/>
          <w:b w:val="0"/>
          <w:color w:val="10312B"/>
          <w:sz w:val="20"/>
        </w:rPr>
        <w:t>Desde 2023, el crecimiento anual estimado del IGAE se ha mantenido en un rango moderado; el nowcast de julio se ubica en la parte alta de ese rango, tras tres meses consecutivos de mejora.</w:t>
      </w:r>
    </w:p>
    <w:p w:rsidR="00B52545" w:rsidRPr="00DD3CD0" w:rsidRDefault="00B52545">
      <w:pPr>
        <w:jc w:val="both"/>
        <w:rPr>
          <w:rFonts w:ascii="Noto Sans" w:hAnsi="Noto Sans" w:cs="Noto Sans"/>
          <w:sz w:val="22"/>
          <w:szCs w:val="22"/>
        </w:rPr>
      </w:pPr>
    </w:p>
    <w:p w:rsidR="00246E09" w:rsidRPr="00DD3CD0" w:rsidRDefault="00465707">
      <w:pPr>
        <w:shd w:val="clear" w:color="auto" w:fill="005E4C"/>
        <w:jc w:val="both"/>
        <w:rPr>
          <w:rFonts w:ascii="Noto Sans" w:hAnsi="Noto Sans" w:cs="Noto Sans"/>
          <w:sz w:val="22"/>
          <w:szCs w:val="22"/>
        </w:rPr>
      </w:pPr>
      <w:r w:rsidRPr="00DD3CD0">
        <w:rPr>
          <w:rFonts w:ascii="Noto Sans" w:hAnsi="Noto Sans" w:cs="Noto Sans"/>
          <w:b/>
          <w:bCs/>
          <w:color w:val="FFFFFF" w:themeColor="background1"/>
          <w:sz w:val="22"/>
          <w:szCs w:val="22"/>
        </w:rPr>
        <w:t>Análisis</w:t>
      </w:r>
    </w:p>
    <w:p w:rsidR="00B52545" w:rsidRPr="00B52545" w:rsidRDefault="00B52545" w:rsidP="00367F36">
      <w:pPr>
        <w:pStyle w:val="Prrafodelista"/>
        <w:numPr>
          <w:ilvl w:val="0"/>
          <w:numId w:val="33"/>
        </w:numPr>
        <w:jc w:val="both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cs="Noto Sans"/>
          <w:b w:val="0"/>
          <w:color w:val="000000"/>
          <w:sz w:val="20"/>
        </w:rPr>
        <w:t xml:space="preserve">El nowcast de junio se revisó al alza respecto al boletín anterior: la variación anual del IGAE subió de </w:t>
      </w:r>
      <w:r>
        <w:rPr>
          <w:rFonts w:ascii="Noto Sans" w:hAnsi="Noto Sans" w:cs="Noto Sans"/>
          <w:b/>
          <w:color w:val="000000"/>
          <w:sz w:val="20"/>
        </w:rPr>
        <w:t>1.7% a 2.0%</w:t>
      </w:r>
      <w:r>
        <w:rPr>
          <w:rFonts w:ascii="Noto Sans" w:hAnsi="Noto Sans" w:cs="Noto Sans"/>
          <w:b w:val="0"/>
          <w:color w:val="000000"/>
          <w:sz w:val="20"/>
        </w:rPr>
        <w:t xml:space="preserve">, y las actividades secundarias, ya observadas, resultaron en </w:t>
      </w:r>
      <w:r>
        <w:rPr>
          <w:rFonts w:ascii="Noto Sans" w:hAnsi="Noto Sans" w:cs="Noto Sans"/>
          <w:b/>
          <w:color w:val="000000"/>
          <w:sz w:val="20"/>
        </w:rPr>
        <w:t>0.8% anual</w:t>
      </w:r>
      <w:r>
        <w:rPr>
          <w:rFonts w:ascii="Noto Sans" w:hAnsi="Noto Sans" w:cs="Noto Sans"/>
          <w:b w:val="0"/>
          <w:color w:val="000000"/>
          <w:sz w:val="20"/>
        </w:rPr>
        <w:t xml:space="preserve">, por encima del </w:t>
      </w:r>
      <w:r>
        <w:rPr>
          <w:rFonts w:ascii="Noto Sans" w:hAnsi="Noto Sans" w:cs="Noto Sans"/>
          <w:b/>
          <w:color w:val="000000"/>
          <w:sz w:val="20"/>
        </w:rPr>
        <w:t>0.5%</w:t>
      </w:r>
      <w:r>
        <w:rPr>
          <w:rFonts w:ascii="Noto Sans" w:hAnsi="Noto Sans" w:cs="Noto Sans"/>
          <w:b w:val="0"/>
          <w:color w:val="000000"/>
          <w:sz w:val="20"/>
        </w:rPr>
        <w:t xml:space="preserve"> estimado el mes pasado. Julio continúa esa mejora, con </w:t>
      </w:r>
      <w:r>
        <w:rPr>
          <w:rFonts w:ascii="Noto Sans" w:hAnsi="Noto Sans" w:cs="Noto Sans"/>
          <w:b/>
          <w:color w:val="000000"/>
          <w:sz w:val="20"/>
        </w:rPr>
        <w:t>2.7% anual</w:t>
      </w:r>
      <w:r>
        <w:rPr>
          <w:rFonts w:ascii="Noto Sans" w:hAnsi="Noto Sans" w:cs="Noto Sans"/>
          <w:b w:val="0"/>
          <w:color w:val="000000"/>
          <w:sz w:val="20"/>
        </w:rPr>
        <w:t>.</w:t>
      </w:r>
    </w:p>
    <w:p w:rsidR="00B37FB0" w:rsidRPr="00B37FB0" w:rsidRDefault="00B37FB0" w:rsidP="00367F36">
      <w:pPr>
        <w:pStyle w:val="Prrafodelista"/>
        <w:numPr>
          <w:ilvl w:val="0"/>
          <w:numId w:val="33"/>
        </w:numPr>
        <w:jc w:val="both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cs="Noto Sans"/>
          <w:b w:val="0"/>
          <w:color w:val="000000"/>
          <w:sz w:val="20"/>
        </w:rPr>
        <w:t xml:space="preserve">El IGAE encadena tres nowcasts consecutivos al alza: </w:t>
      </w:r>
      <w:r>
        <w:rPr>
          <w:rFonts w:ascii="Noto Sans" w:hAnsi="Noto Sans" w:cs="Noto Sans"/>
          <w:b/>
          <w:color w:val="000000"/>
          <w:sz w:val="20"/>
        </w:rPr>
        <w:t>1.1% en mayo, 2.0% en junio</w:t>
      </w:r>
      <w:r>
        <w:rPr>
          <w:rFonts w:ascii="Noto Sans" w:hAnsi="Noto Sans" w:cs="Noto Sans"/>
          <w:b w:val="0"/>
          <w:color w:val="000000"/>
          <w:sz w:val="20"/>
        </w:rPr>
        <w:t xml:space="preserve"> (cifra revisada) y </w:t>
      </w:r>
      <w:r>
        <w:rPr>
          <w:rFonts w:ascii="Noto Sans" w:hAnsi="Noto Sans" w:cs="Noto Sans"/>
          <w:b/>
          <w:color w:val="000000"/>
          <w:sz w:val="20"/>
        </w:rPr>
        <w:t>2.7% en julio</w:t>
      </w:r>
      <w:r>
        <w:rPr>
          <w:rFonts w:ascii="Noto Sans" w:hAnsi="Noto Sans" w:cs="Noto Sans"/>
          <w:b w:val="0"/>
          <w:color w:val="000000"/>
          <w:sz w:val="20"/>
        </w:rPr>
        <w:t>, la señal más consistente de aceleración desde el inicio del periodo cubierto por estas notas.</w:t>
      </w:r>
    </w:p>
    <w:p w:rsidR="00C42943" w:rsidRDefault="001334B6" w:rsidP="00C42943">
      <w:pPr>
        <w:pStyle w:val="Prrafodelista"/>
        <w:numPr>
          <w:ilvl w:val="0"/>
          <w:numId w:val="33"/>
        </w:numPr>
        <w:jc w:val="both"/>
        <w:rPr>
          <w:rFonts w:ascii="Noto Sans" w:hAnsi="Noto Sans" w:cs="Noto Sans"/>
          <w:color w:val="000000"/>
          <w:sz w:val="22"/>
          <w:szCs w:val="22"/>
        </w:rPr>
      </w:pPr>
      <w:r>
        <w:rPr>
          <w:rFonts w:ascii="Noto Sans" w:hAnsi="Noto Sans" w:cs="Noto Sans"/>
          <w:b w:val="0"/>
          <w:color w:val="000000"/>
          <w:sz w:val="20"/>
        </w:rPr>
        <w:t>Al ser un indicador oportuno, el IOAE permite anticipar la lectura de coyuntura antes de la publicación formal del IGAE; conviene confirmar esta trayectoria con los datos oficiales antes de darla por consolidada.</w:t>
      </w:r>
    </w:p>
    <w:p w:rsidR="001334B6" w:rsidRPr="00FB0CD8" w:rsidRDefault="001334B6" w:rsidP="00C42943">
      <w:pPr>
        <w:pStyle w:val="Prrafodelista"/>
        <w:ind w:left="504"/>
        <w:jc w:val="both"/>
        <w:rPr>
          <w:rFonts w:ascii="Noto Sans" w:hAnsi="Noto Sans" w:cs="Noto Sans"/>
          <w:sz w:val="22"/>
          <w:szCs w:val="22"/>
        </w:rPr>
      </w:pPr>
    </w:p>
    <w:p w:rsidR="00246E09" w:rsidRPr="00FB0CD8" w:rsidRDefault="00650C79">
      <w:pPr>
        <w:jc w:val="center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cs="Noto Sans"/>
          <w:b/>
          <w:color w:val="10312B"/>
          <w:sz w:val="22"/>
        </w:rPr>
        <w:t>IOAE: variación mensual estimada del IGAE, enero 2021–julio 2026</w:t>
      </w:r>
    </w:p>
    <w:p w:rsidR="00BC0BB8" w:rsidRPr="00FB0CD8" w:rsidRDefault="00465707" w:rsidP="001334B6">
      <w:pPr>
        <w:jc w:val="center"/>
        <w:rPr>
          <w:rFonts w:ascii="Noto Sans" w:hAnsi="Noto Sans" w:cs="Noto Sans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4572000" cy="14116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4_jul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161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246E09" w:rsidRPr="00FB0CD8" w:rsidRDefault="00246E09">
      <w:pPr>
        <w:jc w:val="both"/>
        <w:rPr>
          <w:rFonts w:ascii="Noto Sans" w:hAnsi="Noto Sans" w:cs="Noto Sans"/>
          <w:sz w:val="22"/>
          <w:szCs w:val="22"/>
        </w:rPr>
      </w:pPr>
    </w:p>
    <w:p w:rsidR="00246E09" w:rsidRPr="00DD3CD0" w:rsidRDefault="00465707">
      <w:pPr>
        <w:shd w:val="clear" w:color="auto" w:fill="005E4C"/>
        <w:jc w:val="both"/>
        <w:rPr>
          <w:rFonts w:ascii="Noto Sans" w:hAnsi="Noto Sans" w:cs="Noto Sans"/>
          <w:sz w:val="22"/>
          <w:szCs w:val="22"/>
        </w:rPr>
      </w:pPr>
      <w:r w:rsidRPr="00DD3CD0">
        <w:rPr>
          <w:rFonts w:ascii="Noto Sans" w:hAnsi="Noto Sans" w:cs="Noto Sans"/>
          <w:b/>
          <w:bCs/>
          <w:color w:val="FFFFFF" w:themeColor="background1"/>
          <w:sz w:val="22"/>
          <w:szCs w:val="22"/>
        </w:rPr>
        <w:t>Implicaciones</w:t>
      </w:r>
    </w:p>
    <w:p w:rsidR="00035532" w:rsidRPr="00035532" w:rsidRDefault="00035532">
      <w:pPr>
        <w:jc w:val="both"/>
        <w:rPr>
          <w:rFonts w:ascii="Noto Sans" w:hAnsi="Noto Sans" w:cs="Noto Sans"/>
          <w:b/>
          <w:color w:val="000000"/>
          <w:sz w:val="22"/>
          <w:szCs w:val="22"/>
        </w:rPr>
      </w:pPr>
      <w:r>
        <w:rPr>
          <w:rFonts w:ascii="Noto Sans" w:hAnsi="Noto Sans" w:cs="Noto Sans"/>
          <w:b/>
          <w:color w:val="000000"/>
          <w:sz w:val="20"/>
        </w:rPr>
        <w:t>El IOAE de julio confirma una trayectoria de aceleración gradual en la actividad económica, con una lectura más sólida que en los dos boletines previos.</w:t>
      </w:r>
      <w:r>
        <w:rPr>
          <w:rFonts w:ascii="Noto Sans" w:hAnsi="Noto Sans" w:cs="Noto Sans"/>
          <w:b w:val="0"/>
          <w:color w:val="000000"/>
          <w:sz w:val="20"/>
        </w:rPr>
        <w:t xml:space="preserve"> La señal relevante está en la consistencia: los tres grupos —IGAE, secundarias y terciarias— muestran variaciones mensuales positivas por segundo mes consecutivo, y el intervalo de confianza anual del IGAE se ubica íntegramente por encima de 1.5% por primera vez en los últimos tres meses. Las actividades secundarias, aunque siguen por debajo de las terciarias, muestran la mayor mejora relativa frente a sus propias estimaciones previas. Conviene esperar la publicación formal del IGAE para confirmar si julio consolida esta aceleración o si, como ocurrió con el dato de mayo, se ajusta en la siguiente revisión. El siguiente boletín del IOAE se publicará el </w:t>
      </w:r>
      <w:r>
        <w:rPr>
          <w:rFonts w:ascii="Noto Sans" w:hAnsi="Noto Sans" w:cs="Noto Sans"/>
          <w:b/>
          <w:color w:val="000000"/>
          <w:sz w:val="20"/>
        </w:rPr>
        <w:t>22 de septiembre de 2026</w:t>
      </w:r>
      <w:r>
        <w:rPr>
          <w:rFonts w:ascii="Noto Sans" w:hAnsi="Noto Sans" w:cs="Noto Sans"/>
          <w:b w:val="0"/>
          <w:color w:val="000000"/>
          <w:sz w:val="20"/>
        </w:rPr>
        <w:t>.</w:t>
      </w:r>
    </w:p>
    <w:p w:rsidR="00035532" w:rsidRDefault="00035532">
      <w:pPr>
        <w:jc w:val="both"/>
        <w:rPr>
          <w:rFonts w:ascii="Noto Sans" w:hAnsi="Noto Sans" w:cs="Noto Sans"/>
          <w:color w:val="4C545B"/>
          <w:sz w:val="16"/>
          <w:szCs w:val="16"/>
        </w:rPr>
      </w:pPr>
    </w:p>
    <w:p w:rsidR="00246E09" w:rsidRPr="00DD3CD0" w:rsidRDefault="00465707">
      <w:pPr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b w:val="0"/>
          <w:color w:val="4C545B"/>
          <w:sz w:val="15"/>
        </w:rPr>
        <w:t>Fuente: INEGI, Indicador Oportuno de la Actividad Económica (IOAE), Boletín de Indicador, 20 de agosto de 2026. Cifras de julio de 2026. Próxima publicación: 22 de septiembre de 2026.</w:t>
      </w:r>
    </w:p>
    <w:sectPr w:rsidR="00246E09" w:rsidRPr="00DD3CD0">
      <w:headerReference w:type="default" r:id="rId11"/>
      <w:footerReference w:type="even" r:id="rId12"/>
      <w:footerReference w:type="default" r:id="rId13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0B6B" w:rsidRDefault="00610B6B" w:rsidP="00E32E74">
      <w:r>
        <w:separator/>
      </w:r>
    </w:p>
  </w:endnote>
  <w:endnote w:type="continuationSeparator" w:id="0">
    <w:p w:rsidR="00610B6B" w:rsidRDefault="00610B6B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altName w:val="Calibri"/>
    <w:panose1 w:val="020B0502040504020204"/>
    <w:charset w:val="00"/>
    <w:family w:val="swiss"/>
    <w:pitch w:val="variable"/>
    <w:sig w:usb0="E00882FF" w:usb1="400078F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0B6B" w:rsidRDefault="00610B6B" w:rsidP="00E32E74">
      <w:r>
        <w:separator/>
      </w:r>
    </w:p>
  </w:footnote>
  <w:footnote w:type="continuationSeparator" w:id="0">
    <w:p w:rsidR="00610B6B" w:rsidRDefault="00610B6B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F859CD" w:rsidRDefault="00F859CD" w:rsidP="00E32E74"/>
  <w:p w:rsidR="00E84F6B" w:rsidRDefault="00FE6B8B" w:rsidP="00FE6B8B">
    <w:pPr>
      <w:ind w:left="-426"/>
      <w:rPr>
        <w:rFonts w:ascii="Calibri" w:hAnsi="Calibri" w:cs="Calibri"/>
        <w:b/>
        <w:bCs/>
        <w:sz w:val="22"/>
        <w:szCs w:val="22"/>
      </w:rPr>
    </w:pPr>
    <w:r>
      <w:rPr>
        <w:rFonts w:ascii="Calibri" w:hAnsi="Calibri" w:cs="Calibri"/>
        <w:b/>
        <w:bCs/>
        <w:sz w:val="22"/>
        <w:szCs w:val="22"/>
      </w:rPr>
      <w:t>Subsecretaría de Industria y Comercio</w:t>
    </w:r>
  </w:p>
  <w:p w:rsidR="00EA51AD" w:rsidRPr="00FE6B8B" w:rsidRDefault="00EA51AD" w:rsidP="00FE6B8B">
    <w:pPr>
      <w:ind w:left="-426"/>
      <w:rPr>
        <w:rFonts w:ascii="Calibri" w:hAnsi="Calibri" w:cs="Calibri"/>
        <w:b/>
        <w:bCs/>
        <w:sz w:val="22"/>
        <w:szCs w:val="22"/>
      </w:rPr>
    </w:pPr>
    <w:r>
      <w:rPr>
        <w:rFonts w:ascii="Noto Sans" w:hAnsi="Noto Sans" w:cs="Noto Sans"/>
        <w:b/>
        <w:bCs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1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1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9"/>
  </w:num>
  <w:num w:numId="4">
    <w:abstractNumId w:val="32"/>
  </w:num>
  <w:num w:numId="5">
    <w:abstractNumId w:val="26"/>
  </w:num>
  <w:num w:numId="6">
    <w:abstractNumId w:val="10"/>
  </w:num>
  <w:num w:numId="7">
    <w:abstractNumId w:val="28"/>
  </w:num>
  <w:num w:numId="8">
    <w:abstractNumId w:val="8"/>
  </w:num>
  <w:num w:numId="9">
    <w:abstractNumId w:val="5"/>
  </w:num>
  <w:num w:numId="10">
    <w:abstractNumId w:val="15"/>
  </w:num>
  <w:num w:numId="11">
    <w:abstractNumId w:val="18"/>
  </w:num>
  <w:num w:numId="12">
    <w:abstractNumId w:val="17"/>
  </w:num>
  <w:num w:numId="13">
    <w:abstractNumId w:val="7"/>
  </w:num>
  <w:num w:numId="14">
    <w:abstractNumId w:val="13"/>
  </w:num>
  <w:num w:numId="15">
    <w:abstractNumId w:val="29"/>
  </w:num>
  <w:num w:numId="16">
    <w:abstractNumId w:val="0"/>
  </w:num>
  <w:num w:numId="17">
    <w:abstractNumId w:val="23"/>
  </w:num>
  <w:num w:numId="18">
    <w:abstractNumId w:val="14"/>
  </w:num>
  <w:num w:numId="19">
    <w:abstractNumId w:val="22"/>
  </w:num>
  <w:num w:numId="20">
    <w:abstractNumId w:val="25"/>
  </w:num>
  <w:num w:numId="21">
    <w:abstractNumId w:val="11"/>
  </w:num>
  <w:num w:numId="22">
    <w:abstractNumId w:val="1"/>
  </w:num>
  <w:num w:numId="23">
    <w:abstractNumId w:val="21"/>
  </w:num>
  <w:num w:numId="24">
    <w:abstractNumId w:val="24"/>
  </w:num>
  <w:num w:numId="25">
    <w:abstractNumId w:val="3"/>
  </w:num>
  <w:num w:numId="26">
    <w:abstractNumId w:val="4"/>
  </w:num>
  <w:num w:numId="27">
    <w:abstractNumId w:val="27"/>
  </w:num>
  <w:num w:numId="28">
    <w:abstractNumId w:val="9"/>
  </w:num>
  <w:num w:numId="29">
    <w:abstractNumId w:val="31"/>
  </w:num>
  <w:num w:numId="30">
    <w:abstractNumId w:val="30"/>
  </w:num>
  <w:num w:numId="31">
    <w:abstractNumId w:val="2"/>
  </w:num>
  <w:num w:numId="32">
    <w:abstractNumId w:val="20"/>
  </w:num>
  <w:num w:numId="33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5532"/>
    <w:rsid w:val="000377A6"/>
    <w:rsid w:val="00041BD6"/>
    <w:rsid w:val="000438FF"/>
    <w:rsid w:val="00043F02"/>
    <w:rsid w:val="00046781"/>
    <w:rsid w:val="00050586"/>
    <w:rsid w:val="00054FB9"/>
    <w:rsid w:val="000571C6"/>
    <w:rsid w:val="000A3591"/>
    <w:rsid w:val="000A46AA"/>
    <w:rsid w:val="000A71DD"/>
    <w:rsid w:val="000D126D"/>
    <w:rsid w:val="000D5B48"/>
    <w:rsid w:val="000E1551"/>
    <w:rsid w:val="000E263D"/>
    <w:rsid w:val="001106F9"/>
    <w:rsid w:val="00113971"/>
    <w:rsid w:val="00113ADD"/>
    <w:rsid w:val="001334B6"/>
    <w:rsid w:val="00136317"/>
    <w:rsid w:val="0013733B"/>
    <w:rsid w:val="00153B11"/>
    <w:rsid w:val="001544FC"/>
    <w:rsid w:val="00155DFB"/>
    <w:rsid w:val="0018050E"/>
    <w:rsid w:val="00193DC0"/>
    <w:rsid w:val="00197050"/>
    <w:rsid w:val="00197ADD"/>
    <w:rsid w:val="001A6402"/>
    <w:rsid w:val="001B2972"/>
    <w:rsid w:val="001B64D3"/>
    <w:rsid w:val="001C1EBA"/>
    <w:rsid w:val="001C2D90"/>
    <w:rsid w:val="001C5436"/>
    <w:rsid w:val="001D27D6"/>
    <w:rsid w:val="001D4DE9"/>
    <w:rsid w:val="001D7690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C459E"/>
    <w:rsid w:val="002D44A8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919F7"/>
    <w:rsid w:val="003B7AF4"/>
    <w:rsid w:val="003E7119"/>
    <w:rsid w:val="00405D69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773F7"/>
    <w:rsid w:val="004869A7"/>
    <w:rsid w:val="00486FFD"/>
    <w:rsid w:val="00491EE7"/>
    <w:rsid w:val="0049299F"/>
    <w:rsid w:val="00495548"/>
    <w:rsid w:val="004A74A4"/>
    <w:rsid w:val="004A78F6"/>
    <w:rsid w:val="004B221D"/>
    <w:rsid w:val="004C0F95"/>
    <w:rsid w:val="004C2B18"/>
    <w:rsid w:val="004D104B"/>
    <w:rsid w:val="004D2236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7300"/>
    <w:rsid w:val="00591B3A"/>
    <w:rsid w:val="00593514"/>
    <w:rsid w:val="005A57CC"/>
    <w:rsid w:val="005D105A"/>
    <w:rsid w:val="005D4B50"/>
    <w:rsid w:val="00610B6B"/>
    <w:rsid w:val="00612102"/>
    <w:rsid w:val="00612F23"/>
    <w:rsid w:val="00624CF1"/>
    <w:rsid w:val="00625F36"/>
    <w:rsid w:val="00646C52"/>
    <w:rsid w:val="00650C79"/>
    <w:rsid w:val="00661ED1"/>
    <w:rsid w:val="006626AF"/>
    <w:rsid w:val="00662863"/>
    <w:rsid w:val="00667278"/>
    <w:rsid w:val="00671DD9"/>
    <w:rsid w:val="0068031A"/>
    <w:rsid w:val="00697E37"/>
    <w:rsid w:val="006A1F60"/>
    <w:rsid w:val="006B308C"/>
    <w:rsid w:val="006D3942"/>
    <w:rsid w:val="006F4646"/>
    <w:rsid w:val="00705DC8"/>
    <w:rsid w:val="007471F1"/>
    <w:rsid w:val="007759A6"/>
    <w:rsid w:val="007816C7"/>
    <w:rsid w:val="0078392B"/>
    <w:rsid w:val="0079704D"/>
    <w:rsid w:val="007B7560"/>
    <w:rsid w:val="007D06F1"/>
    <w:rsid w:val="007D3385"/>
    <w:rsid w:val="007F60B5"/>
    <w:rsid w:val="00810EC6"/>
    <w:rsid w:val="0082026B"/>
    <w:rsid w:val="00830352"/>
    <w:rsid w:val="00832176"/>
    <w:rsid w:val="00833995"/>
    <w:rsid w:val="0083711C"/>
    <w:rsid w:val="008544E1"/>
    <w:rsid w:val="0086418A"/>
    <w:rsid w:val="00864D64"/>
    <w:rsid w:val="00864E21"/>
    <w:rsid w:val="00887FBD"/>
    <w:rsid w:val="00897B8A"/>
    <w:rsid w:val="008A56B9"/>
    <w:rsid w:val="008B36BF"/>
    <w:rsid w:val="008B4362"/>
    <w:rsid w:val="008B5764"/>
    <w:rsid w:val="008D09CA"/>
    <w:rsid w:val="008E781D"/>
    <w:rsid w:val="008F0109"/>
    <w:rsid w:val="008F2DC2"/>
    <w:rsid w:val="008F54BD"/>
    <w:rsid w:val="00927F12"/>
    <w:rsid w:val="00930605"/>
    <w:rsid w:val="0096516F"/>
    <w:rsid w:val="009667A4"/>
    <w:rsid w:val="00981CAC"/>
    <w:rsid w:val="00994331"/>
    <w:rsid w:val="00995175"/>
    <w:rsid w:val="00997820"/>
    <w:rsid w:val="009B2B04"/>
    <w:rsid w:val="009D1660"/>
    <w:rsid w:val="009D513B"/>
    <w:rsid w:val="009D662C"/>
    <w:rsid w:val="009E6351"/>
    <w:rsid w:val="00A25E9B"/>
    <w:rsid w:val="00A27EAB"/>
    <w:rsid w:val="00A34818"/>
    <w:rsid w:val="00A503BD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273F4"/>
    <w:rsid w:val="00B37FB0"/>
    <w:rsid w:val="00B52545"/>
    <w:rsid w:val="00B62B90"/>
    <w:rsid w:val="00B64AE2"/>
    <w:rsid w:val="00B72087"/>
    <w:rsid w:val="00B775B3"/>
    <w:rsid w:val="00B93C35"/>
    <w:rsid w:val="00B94BFE"/>
    <w:rsid w:val="00BA7AF6"/>
    <w:rsid w:val="00BB1DC9"/>
    <w:rsid w:val="00BB4307"/>
    <w:rsid w:val="00BC0BB8"/>
    <w:rsid w:val="00BC0F57"/>
    <w:rsid w:val="00BD38B1"/>
    <w:rsid w:val="00BE2C85"/>
    <w:rsid w:val="00BF5F01"/>
    <w:rsid w:val="00C0087D"/>
    <w:rsid w:val="00C122A4"/>
    <w:rsid w:val="00C176D8"/>
    <w:rsid w:val="00C2645D"/>
    <w:rsid w:val="00C2663E"/>
    <w:rsid w:val="00C33446"/>
    <w:rsid w:val="00C42943"/>
    <w:rsid w:val="00C43081"/>
    <w:rsid w:val="00C619F7"/>
    <w:rsid w:val="00C62995"/>
    <w:rsid w:val="00C639EA"/>
    <w:rsid w:val="00C65A1B"/>
    <w:rsid w:val="00C66897"/>
    <w:rsid w:val="00C821D5"/>
    <w:rsid w:val="00C9207B"/>
    <w:rsid w:val="00CA49C6"/>
    <w:rsid w:val="00CA567C"/>
    <w:rsid w:val="00CB38B3"/>
    <w:rsid w:val="00CB6BF6"/>
    <w:rsid w:val="00CB70C5"/>
    <w:rsid w:val="00CC7915"/>
    <w:rsid w:val="00CD4A23"/>
    <w:rsid w:val="00CD7369"/>
    <w:rsid w:val="00CE633D"/>
    <w:rsid w:val="00D10BEE"/>
    <w:rsid w:val="00D2057E"/>
    <w:rsid w:val="00D2376F"/>
    <w:rsid w:val="00D23B89"/>
    <w:rsid w:val="00D263C6"/>
    <w:rsid w:val="00D60BF7"/>
    <w:rsid w:val="00D70252"/>
    <w:rsid w:val="00D70D18"/>
    <w:rsid w:val="00D83A01"/>
    <w:rsid w:val="00D90AAA"/>
    <w:rsid w:val="00D92277"/>
    <w:rsid w:val="00D974FD"/>
    <w:rsid w:val="00DA0A95"/>
    <w:rsid w:val="00DA0C65"/>
    <w:rsid w:val="00DB54A2"/>
    <w:rsid w:val="00DC152E"/>
    <w:rsid w:val="00DC5509"/>
    <w:rsid w:val="00DD2599"/>
    <w:rsid w:val="00DD3CD0"/>
    <w:rsid w:val="00DD4B7F"/>
    <w:rsid w:val="00DD6CF3"/>
    <w:rsid w:val="00DE76A7"/>
    <w:rsid w:val="00E0538C"/>
    <w:rsid w:val="00E066F2"/>
    <w:rsid w:val="00E1407E"/>
    <w:rsid w:val="00E32E74"/>
    <w:rsid w:val="00E56F00"/>
    <w:rsid w:val="00E61388"/>
    <w:rsid w:val="00E7262E"/>
    <w:rsid w:val="00E76409"/>
    <w:rsid w:val="00E84F6B"/>
    <w:rsid w:val="00E94CD4"/>
    <w:rsid w:val="00EA2751"/>
    <w:rsid w:val="00EA49C5"/>
    <w:rsid w:val="00EA51AD"/>
    <w:rsid w:val="00EB1C36"/>
    <w:rsid w:val="00EB1FB8"/>
    <w:rsid w:val="00EC4BC7"/>
    <w:rsid w:val="00ED0B2E"/>
    <w:rsid w:val="00F0340D"/>
    <w:rsid w:val="00F05F40"/>
    <w:rsid w:val="00F06026"/>
    <w:rsid w:val="00F16AAF"/>
    <w:rsid w:val="00F231FC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A1EE3"/>
    <w:rsid w:val="00FA6B54"/>
    <w:rsid w:val="00FB0CD8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64A6C1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4CD4"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4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5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2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C0D653-E1BC-494A-A276-FB05513CC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535</Words>
  <Characters>2947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maria eugenia garcia macias</cp:lastModifiedBy>
  <cp:revision>45</cp:revision>
  <cp:lastPrinted>2026-06-17T17:31:00Z</cp:lastPrinted>
  <dcterms:created xsi:type="dcterms:W3CDTF">2026-06-17T17:31:00Z</dcterms:created>
  <dcterms:modified xsi:type="dcterms:W3CDTF">2026-07-21T03:57:00Z</dcterms:modified>
</cp:coreProperties>
</file>