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524"/>
      </w:tblGrid>
      <w:tr w:rsidR="00F179EE" w:rsidRPr="00DD098D">
        <w:tc>
          <w:tcPr>
            <w:tcW w:w="5524" w:type="dxa"/>
            <w:shd w:val="clear" w:color="auto" w:fill="10312B"/>
          </w:tcPr>
          <w:p w:rsidR="00F179EE" w:rsidRPr="00DD098D" w:rsidRDefault="0004382B">
            <w:pPr>
              <w:rPr>
                <w:rFonts w:ascii="Noto Sans" w:hAnsi="Noto Sans" w:cs="Noto Sans"/>
              </w:rPr>
            </w:pPr>
            <w:r w:rsidRPr="00DD098D">
              <w:rPr>
                <w:rFonts w:ascii="Noto Sans" w:hAnsi="Noto Sans" w:cs="Noto Sans"/>
                <w:b/>
                <w:color w:val="FFFFFF"/>
                <w:sz w:val="20"/>
              </w:rPr>
              <w:t>Boletín de Indicador del 4 de agosto de 2026  | INEGI</w:t>
            </w:r>
          </w:p>
        </w:tc>
      </w:tr>
    </w:tbl>
    <w:p w:rsidR="00F179EE" w:rsidRPr="00DD098D" w:rsidRDefault="00F179EE">
      <w:pPr>
        <w:rPr>
          <w:rFonts w:ascii="Noto Sans" w:hAnsi="Noto Sans" w:cs="Noto Sans"/>
          <w:sz w:val="8"/>
        </w:rPr>
      </w:pPr>
    </w:p>
    <w:tbl>
      <w:tblPr>
        <w:tblW w:w="0" w:type="auto"/>
        <w:shd w:val="clear" w:color="auto" w:fill="235B4C"/>
        <w:tblLayout w:type="fixed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F179EE" w:rsidRPr="00DD098D">
        <w:tc>
          <w:tcPr>
            <w:tcW w:w="4414" w:type="dxa"/>
            <w:gridSpan w:val="4"/>
            <w:shd w:val="clear" w:color="auto" w:fill="235B4C"/>
          </w:tcPr>
          <w:p w:rsidR="00F179EE" w:rsidRPr="00DD098D" w:rsidRDefault="0004382B">
            <w:pPr>
              <w:jc w:val="center"/>
              <w:rPr>
                <w:rFonts w:ascii="Noto Sans" w:hAnsi="Noto Sans" w:cs="Noto Sans"/>
              </w:rPr>
            </w:pPr>
            <w:r w:rsidRPr="00DD098D">
              <w:rPr>
                <w:rFonts w:ascii="Noto Sans" w:hAnsi="Noto Sans" w:cs="Noto Sans"/>
                <w:color w:val="FFFFFF"/>
                <w:sz w:val="20"/>
              </w:rPr>
              <w:t>Sistema de Indicadores Cíclicos (SIC)</w:t>
            </w:r>
          </w:p>
          <w:p w:rsidR="00F179EE" w:rsidRPr="00DD098D" w:rsidRDefault="0004382B">
            <w:pPr>
              <w:jc w:val="center"/>
              <w:rPr>
                <w:rFonts w:ascii="Noto Sans" w:hAnsi="Noto Sans" w:cs="Noto Sans"/>
              </w:rPr>
            </w:pPr>
            <w:r w:rsidRPr="00DD098D">
              <w:rPr>
                <w:rFonts w:ascii="Noto Sans" w:hAnsi="Noto Sans" w:cs="Noto Sans"/>
                <w:b/>
                <w:color w:val="FFFFFF"/>
                <w:sz w:val="40"/>
              </w:rPr>
              <w:t>SIC · mayo-junio 2026</w:t>
            </w:r>
          </w:p>
        </w:tc>
      </w:tr>
      <w:tr w:rsidR="00F179EE" w:rsidRPr="00DD098D" w:rsidTr="00EE7E20">
        <w:trPr>
          <w:trHeight w:val="1304"/>
        </w:trPr>
        <w:tc>
          <w:tcPr>
            <w:tcW w:w="4414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4F4F2"/>
          </w:tcPr>
          <w:p w:rsidR="00F179EE" w:rsidRPr="00DD098D" w:rsidRDefault="0004382B">
            <w:pPr>
              <w:spacing w:before="60"/>
              <w:jc w:val="center"/>
              <w:rPr>
                <w:rFonts w:ascii="Noto Sans" w:hAnsi="Noto Sans" w:cs="Noto Sans"/>
              </w:rPr>
            </w:pPr>
            <w:r w:rsidRPr="00DD098D">
              <w:rPr>
                <w:rFonts w:ascii="Noto Sans" w:hAnsi="Noto Sans" w:cs="Noto Sans"/>
                <w:b/>
                <w:color w:val="8C8C8C"/>
                <w:sz w:val="15"/>
              </w:rPr>
              <w:t>INDICADOR COINCIDENTE · MAYO 2026</w:t>
            </w:r>
          </w:p>
          <w:p w:rsidR="00F179EE" w:rsidRPr="00DD098D" w:rsidRDefault="0004382B">
            <w:pPr>
              <w:spacing w:after="60"/>
              <w:jc w:val="center"/>
              <w:rPr>
                <w:rFonts w:ascii="Noto Sans" w:hAnsi="Noto Sans" w:cs="Noto Sans"/>
              </w:rPr>
            </w:pPr>
            <w:r w:rsidRPr="00DD098D">
              <w:rPr>
                <w:rFonts w:ascii="Noto Sans" w:hAnsi="Noto Sans" w:cs="Noto Sans"/>
                <w:b/>
                <w:color w:val="006341"/>
                <w:sz w:val="64"/>
              </w:rPr>
              <w:t>99.8</w:t>
            </w:r>
          </w:p>
        </w:tc>
        <w:tc>
          <w:tcPr>
            <w:tcW w:w="4414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4F4F2"/>
          </w:tcPr>
          <w:p w:rsidR="00F179EE" w:rsidRPr="00DD098D" w:rsidRDefault="0004382B">
            <w:pPr>
              <w:spacing w:before="60"/>
              <w:jc w:val="center"/>
              <w:rPr>
                <w:rFonts w:ascii="Noto Sans" w:hAnsi="Noto Sans" w:cs="Noto Sans"/>
              </w:rPr>
            </w:pPr>
            <w:r w:rsidRPr="00DD098D">
              <w:rPr>
                <w:rFonts w:ascii="Noto Sans" w:hAnsi="Noto Sans" w:cs="Noto Sans"/>
                <w:b/>
                <w:color w:val="8C8C8C"/>
                <w:sz w:val="15"/>
              </w:rPr>
              <w:t>INDICADOR ADELANTADO · JUNIO 2026</w:t>
            </w:r>
          </w:p>
          <w:p w:rsidR="00F179EE" w:rsidRPr="00DD098D" w:rsidRDefault="0004382B">
            <w:pPr>
              <w:spacing w:after="60"/>
              <w:jc w:val="center"/>
              <w:rPr>
                <w:rFonts w:ascii="Noto Sans" w:hAnsi="Noto Sans" w:cs="Noto Sans"/>
              </w:rPr>
            </w:pPr>
            <w:r w:rsidRPr="00DD098D">
              <w:rPr>
                <w:rFonts w:ascii="Noto Sans" w:hAnsi="Noto Sans" w:cs="Noto Sans"/>
                <w:b/>
                <w:color w:val="006341"/>
                <w:sz w:val="64"/>
              </w:rPr>
              <w:t>100.8</w:t>
            </w:r>
          </w:p>
        </w:tc>
      </w:tr>
      <w:tr w:rsidR="00F179EE" w:rsidRPr="00DD098D" w:rsidTr="00EE7E20">
        <w:tblPrEx>
          <w:shd w:val="clear" w:color="auto" w:fill="F4F4F2"/>
        </w:tblPrEx>
        <w:tc>
          <w:tcPr>
            <w:tcW w:w="2207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179EE" w:rsidRPr="00DD098D" w:rsidRDefault="0004382B">
            <w:pPr>
              <w:jc w:val="center"/>
              <w:rPr>
                <w:rFonts w:ascii="Noto Sans" w:hAnsi="Noto Sans" w:cs="Noto Sans"/>
                <w:b/>
                <w:sz w:val="22"/>
                <w:szCs w:val="22"/>
              </w:rPr>
            </w:pPr>
            <w:r w:rsidRPr="00DD098D">
              <w:rPr>
                <w:rFonts w:ascii="Noto Sans" w:hAnsi="Noto Sans" w:cs="Noto Sans"/>
                <w:b/>
                <w:sz w:val="22"/>
                <w:szCs w:val="22"/>
              </w:rPr>
              <w:t>Mensual</w:t>
            </w:r>
          </w:p>
        </w:tc>
        <w:tc>
          <w:tcPr>
            <w:tcW w:w="22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179EE" w:rsidRPr="00DD098D" w:rsidRDefault="0004382B">
            <w:pPr>
              <w:jc w:val="center"/>
              <w:rPr>
                <w:rFonts w:ascii="Noto Sans" w:hAnsi="Noto Sans" w:cs="Noto Sans"/>
                <w:b/>
                <w:sz w:val="22"/>
                <w:szCs w:val="22"/>
              </w:rPr>
            </w:pPr>
            <w:r w:rsidRPr="00DD098D">
              <w:rPr>
                <w:rFonts w:ascii="Noto Sans" w:hAnsi="Noto Sans" w:cs="Noto Sans"/>
                <w:b/>
                <w:sz w:val="22"/>
                <w:szCs w:val="22"/>
              </w:rPr>
              <w:t>12 meses</w:t>
            </w:r>
          </w:p>
        </w:tc>
        <w:tc>
          <w:tcPr>
            <w:tcW w:w="22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179EE" w:rsidRPr="00DD098D" w:rsidRDefault="0004382B">
            <w:pPr>
              <w:jc w:val="center"/>
              <w:rPr>
                <w:rFonts w:ascii="Noto Sans" w:hAnsi="Noto Sans" w:cs="Noto Sans"/>
                <w:b/>
                <w:sz w:val="22"/>
                <w:szCs w:val="22"/>
              </w:rPr>
            </w:pPr>
            <w:r w:rsidRPr="00DD098D">
              <w:rPr>
                <w:rFonts w:ascii="Noto Sans" w:hAnsi="Noto Sans" w:cs="Noto Sans"/>
                <w:b/>
                <w:sz w:val="22"/>
                <w:szCs w:val="22"/>
              </w:rPr>
              <w:t>Mensual</w:t>
            </w:r>
          </w:p>
        </w:tc>
        <w:tc>
          <w:tcPr>
            <w:tcW w:w="22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F179EE" w:rsidRPr="00DD098D" w:rsidRDefault="0004382B">
            <w:pPr>
              <w:jc w:val="center"/>
              <w:rPr>
                <w:rFonts w:ascii="Noto Sans" w:hAnsi="Noto Sans" w:cs="Noto Sans"/>
                <w:b/>
                <w:sz w:val="22"/>
                <w:szCs w:val="22"/>
              </w:rPr>
            </w:pPr>
            <w:r w:rsidRPr="00DD098D">
              <w:rPr>
                <w:rFonts w:ascii="Noto Sans" w:hAnsi="Noto Sans" w:cs="Noto Sans"/>
                <w:b/>
                <w:sz w:val="22"/>
                <w:szCs w:val="22"/>
              </w:rPr>
              <w:t>12 meses</w:t>
            </w:r>
          </w:p>
        </w:tc>
      </w:tr>
      <w:tr w:rsidR="00F179EE" w:rsidRPr="00DD098D" w:rsidTr="00EE7E20">
        <w:tblPrEx>
          <w:shd w:val="clear" w:color="auto" w:fill="F4F4F2"/>
        </w:tblPrEx>
        <w:tc>
          <w:tcPr>
            <w:tcW w:w="2207" w:type="dxa"/>
            <w:tcBorders>
              <w:top w:val="single" w:sz="4" w:space="0" w:color="auto"/>
              <w:right w:val="single" w:sz="4" w:space="0" w:color="auto"/>
            </w:tcBorders>
            <w:shd w:val="clear" w:color="auto" w:fill="F4F4F2"/>
          </w:tcPr>
          <w:p w:rsidR="00F179EE" w:rsidRPr="00DD098D" w:rsidRDefault="0004382B">
            <w:pPr>
              <w:jc w:val="center"/>
              <w:rPr>
                <w:rFonts w:ascii="Noto Sans" w:hAnsi="Noto Sans" w:cs="Noto Sans"/>
              </w:rPr>
            </w:pPr>
            <w:r w:rsidRPr="00DD098D">
              <w:rPr>
                <w:rFonts w:ascii="Arial" w:hAnsi="Arial" w:cs="Arial"/>
                <w:b/>
                <w:color w:val="1E6E5C"/>
                <w:sz w:val="17"/>
              </w:rPr>
              <w:t>▲</w:t>
            </w:r>
            <w:r w:rsidRPr="00DD098D">
              <w:rPr>
                <w:rFonts w:ascii="Noto Sans" w:hAnsi="Noto Sans" w:cs="Noto Sans"/>
                <w:b/>
                <w:color w:val="1E6E5C"/>
                <w:sz w:val="17"/>
              </w:rPr>
              <w:t xml:space="preserve"> +0.03 pts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F4F2"/>
          </w:tcPr>
          <w:p w:rsidR="00F179EE" w:rsidRPr="00DD098D" w:rsidRDefault="0004382B">
            <w:pPr>
              <w:jc w:val="center"/>
              <w:rPr>
                <w:rFonts w:ascii="Noto Sans" w:hAnsi="Noto Sans" w:cs="Noto Sans"/>
              </w:rPr>
            </w:pPr>
            <w:r w:rsidRPr="00DD098D">
              <w:rPr>
                <w:rFonts w:ascii="Arial" w:hAnsi="Arial" w:cs="Arial"/>
                <w:b/>
                <w:color w:val="1E6E5C"/>
                <w:sz w:val="17"/>
              </w:rPr>
              <w:t>▲</w:t>
            </w:r>
            <w:r w:rsidRPr="00DD098D">
              <w:rPr>
                <w:rFonts w:ascii="Noto Sans" w:hAnsi="Noto Sans" w:cs="Noto Sans"/>
                <w:b/>
                <w:color w:val="1E6E5C"/>
                <w:sz w:val="17"/>
              </w:rPr>
              <w:t xml:space="preserve"> +0.04 pts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F4F2"/>
          </w:tcPr>
          <w:p w:rsidR="00F179EE" w:rsidRPr="00DD098D" w:rsidRDefault="0004382B">
            <w:pPr>
              <w:jc w:val="center"/>
              <w:rPr>
                <w:rFonts w:ascii="Noto Sans" w:hAnsi="Noto Sans" w:cs="Noto Sans"/>
              </w:rPr>
            </w:pPr>
            <w:r w:rsidRPr="00DD098D">
              <w:rPr>
                <w:rFonts w:ascii="Arial" w:hAnsi="Arial" w:cs="Arial"/>
                <w:b/>
                <w:color w:val="1E6E5C"/>
                <w:sz w:val="17"/>
              </w:rPr>
              <w:t>▲</w:t>
            </w:r>
            <w:r w:rsidRPr="00DD098D">
              <w:rPr>
                <w:rFonts w:ascii="Noto Sans" w:hAnsi="Noto Sans" w:cs="Noto Sans"/>
                <w:b/>
                <w:color w:val="1E6E5C"/>
                <w:sz w:val="17"/>
              </w:rPr>
              <w:t xml:space="preserve"> +0.04 pts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</w:tcBorders>
            <w:shd w:val="clear" w:color="auto" w:fill="F4F4F2"/>
          </w:tcPr>
          <w:p w:rsidR="00F179EE" w:rsidRPr="00DD098D" w:rsidRDefault="0004382B">
            <w:pPr>
              <w:jc w:val="center"/>
              <w:rPr>
                <w:rFonts w:ascii="Noto Sans" w:hAnsi="Noto Sans" w:cs="Noto Sans"/>
              </w:rPr>
            </w:pPr>
            <w:r w:rsidRPr="00DD098D">
              <w:rPr>
                <w:rFonts w:ascii="Arial" w:hAnsi="Arial" w:cs="Arial"/>
                <w:b/>
                <w:color w:val="1E6E5C"/>
                <w:sz w:val="17"/>
              </w:rPr>
              <w:t>▲</w:t>
            </w:r>
            <w:r w:rsidRPr="00DD098D">
              <w:rPr>
                <w:rFonts w:ascii="Noto Sans" w:hAnsi="Noto Sans" w:cs="Noto Sans"/>
                <w:b/>
                <w:color w:val="1E6E5C"/>
                <w:sz w:val="17"/>
              </w:rPr>
              <w:t xml:space="preserve"> +1.18 pts</w:t>
            </w:r>
          </w:p>
        </w:tc>
      </w:tr>
      <w:tr w:rsidR="00F179EE" w:rsidRPr="00DD098D" w:rsidTr="00EE7E20">
        <w:tblPrEx>
          <w:shd w:val="clear" w:color="auto" w:fill="F4F4F2"/>
        </w:tblPrEx>
        <w:tc>
          <w:tcPr>
            <w:tcW w:w="2207" w:type="dxa"/>
            <w:gridSpan w:val="2"/>
            <w:shd w:val="clear" w:color="auto" w:fill="F4F4F2"/>
          </w:tcPr>
          <w:p w:rsidR="00F179EE" w:rsidRPr="00DD098D" w:rsidRDefault="0004382B">
            <w:pPr>
              <w:spacing w:before="40" w:after="40"/>
              <w:jc w:val="center"/>
              <w:rPr>
                <w:rFonts w:ascii="Noto Sans" w:hAnsi="Noto Sans" w:cs="Noto Sans"/>
              </w:rPr>
            </w:pPr>
            <w:r w:rsidRPr="00DD098D">
              <w:rPr>
                <w:rFonts w:ascii="Noto Sans" w:hAnsi="Noto Sans" w:cs="Noto Sans"/>
                <w:color w:val="10312B"/>
                <w:sz w:val="15"/>
              </w:rPr>
              <w:t>Por debajo de su tendencia de largo plazo</w:t>
            </w:r>
          </w:p>
        </w:tc>
        <w:tc>
          <w:tcPr>
            <w:tcW w:w="2207" w:type="dxa"/>
            <w:gridSpan w:val="2"/>
            <w:shd w:val="clear" w:color="auto" w:fill="F4F4F2"/>
          </w:tcPr>
          <w:p w:rsidR="00F179EE" w:rsidRPr="00DD098D" w:rsidRDefault="0004382B">
            <w:pPr>
              <w:spacing w:before="40" w:after="40"/>
              <w:jc w:val="center"/>
              <w:rPr>
                <w:rFonts w:ascii="Noto Sans" w:hAnsi="Noto Sans" w:cs="Noto Sans"/>
              </w:rPr>
            </w:pPr>
            <w:r w:rsidRPr="00DD098D">
              <w:rPr>
                <w:rFonts w:ascii="Noto Sans" w:hAnsi="Noto Sans" w:cs="Noto Sans"/>
                <w:color w:val="10312B"/>
                <w:sz w:val="15"/>
              </w:rPr>
              <w:t>Por arriba de su tendencia de largo plazo</w:t>
            </w:r>
          </w:p>
        </w:tc>
      </w:tr>
    </w:tbl>
    <w:p w:rsidR="00DD098D" w:rsidRPr="00DD098D" w:rsidRDefault="0004382B" w:rsidP="00DD098D">
      <w:pPr>
        <w:jc w:val="both"/>
        <w:rPr>
          <w:rFonts w:ascii="Noto Sans" w:hAnsi="Noto Sans" w:cs="Noto Sans"/>
          <w:color w:val="4C545B"/>
          <w:sz w:val="15"/>
        </w:rPr>
      </w:pPr>
      <w:r w:rsidRPr="00DD098D">
        <w:rPr>
          <w:rFonts w:ascii="Noto Sans" w:hAnsi="Noto Sans" w:cs="Noto Sans"/>
          <w:color w:val="4C545B"/>
          <w:sz w:val="15"/>
        </w:rPr>
        <w:t xml:space="preserve">Nota: los indicadores se referencian a una tendencia de largo plazo igual a 100 puntos. Un valor superior o inferior a 100 señala la posición del componente cíclico respecto de esa tendencia, pero no mide directamente la magnitud del crecimiento o contracción de la economía. </w:t>
      </w:r>
    </w:p>
    <w:p w:rsidR="00F179EE" w:rsidRPr="00DD098D" w:rsidRDefault="000E62C2" w:rsidP="00DD098D">
      <w:pPr>
        <w:jc w:val="both"/>
        <w:rPr>
          <w:rFonts w:ascii="Noto Sans" w:hAnsi="Noto Sans" w:cs="Noto Sans"/>
        </w:rPr>
      </w:pPr>
      <w:r w:rsidRPr="00DD098D">
        <w:rPr>
          <w:rFonts w:ascii="Noto Sans" w:hAnsi="Noto Sans" w:cs="Noto Sans"/>
          <w:b/>
          <w:color w:val="000000"/>
          <w:sz w:val="22"/>
        </w:rPr>
        <w:t xml:space="preserve">En mayo de 2026, el Indicador Coincidente continuó avanzando, aunque permaneció por debajo de su tendencia </w:t>
      </w:r>
      <w:bookmarkStart w:id="0" w:name="_GoBack"/>
      <w:bookmarkEnd w:id="0"/>
      <w:r w:rsidRPr="00DD098D">
        <w:rPr>
          <w:rFonts w:ascii="Noto Sans" w:hAnsi="Noto Sans" w:cs="Noto Sans"/>
          <w:b/>
          <w:color w:val="000000"/>
          <w:sz w:val="22"/>
        </w:rPr>
        <w:t xml:space="preserve">de largo plazo. </w:t>
      </w:r>
      <w:r w:rsidRPr="00DD098D">
        <w:rPr>
          <w:rFonts w:ascii="Noto Sans" w:hAnsi="Noto Sans" w:cs="Noto Sans"/>
          <w:color w:val="000000"/>
          <w:sz w:val="22"/>
        </w:rPr>
        <w:t>En junio, el Indicador Adelantado se mantuvo por arriba de esa referencia, pero con un incremento mensual menor al observado previamente</w:t>
      </w:r>
      <w:r w:rsidR="0004382B" w:rsidRPr="00DD098D">
        <w:rPr>
          <w:rFonts w:ascii="Noto Sans" w:hAnsi="Noto Sans" w:cs="Noto Sans"/>
          <w:color w:val="000000"/>
          <w:sz w:val="22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28"/>
      </w:tblGrid>
      <w:tr w:rsidR="00F179EE" w:rsidRPr="00DD098D">
        <w:tc>
          <w:tcPr>
            <w:tcW w:w="8828" w:type="dxa"/>
            <w:shd w:val="clear" w:color="auto" w:fill="F4F4F2"/>
          </w:tcPr>
          <w:p w:rsidR="00F179EE" w:rsidRPr="00DD098D" w:rsidRDefault="0004382B">
            <w:pPr>
              <w:spacing w:before="120"/>
              <w:rPr>
                <w:rFonts w:ascii="Noto Sans" w:hAnsi="Noto Sans" w:cs="Noto Sans"/>
              </w:rPr>
            </w:pPr>
            <w:r w:rsidRPr="00DD098D">
              <w:rPr>
                <w:rFonts w:ascii="Noto Sans" w:hAnsi="Noto Sans" w:cs="Noto Sans"/>
                <w:b/>
                <w:color w:val="10312B"/>
                <w:sz w:val="22"/>
              </w:rPr>
              <w:t>Resumen ejecutivo</w:t>
            </w:r>
          </w:p>
          <w:p w:rsidR="00F179EE" w:rsidRPr="00DD098D" w:rsidRDefault="00D57CF8">
            <w:pPr>
              <w:pStyle w:val="Prrafodelista"/>
              <w:numPr>
                <w:ilvl w:val="0"/>
                <w:numId w:val="35"/>
              </w:numPr>
              <w:spacing w:before="40" w:after="20"/>
              <w:ind w:left="425" w:hanging="357"/>
              <w:jc w:val="both"/>
              <w:rPr>
                <w:rFonts w:ascii="Noto Sans" w:hAnsi="Noto Sans" w:cs="Noto Sans"/>
              </w:rPr>
            </w:pPr>
            <w:r w:rsidRPr="00DD098D">
              <w:rPr>
                <w:rFonts w:ascii="Noto Sans" w:hAnsi="Noto Sans" w:cs="Noto Sans"/>
                <w:b/>
                <w:color w:val="000000"/>
                <w:sz w:val="22"/>
              </w:rPr>
              <w:t xml:space="preserve">El Indicador Coincidente se ubicó en 99.8 puntos en mayo, </w:t>
            </w:r>
            <w:r w:rsidRPr="00DD098D">
              <w:rPr>
                <w:rFonts w:ascii="Noto Sans" w:hAnsi="Noto Sans" w:cs="Noto Sans"/>
                <w:color w:val="000000"/>
                <w:sz w:val="22"/>
              </w:rPr>
              <w:t>aumentó 0.03 puntos y acumuló ocho avances mensuales; permaneció por debajo de su tendencia de largo plazo</w:t>
            </w:r>
            <w:r w:rsidR="0004382B" w:rsidRPr="00DD098D">
              <w:rPr>
                <w:rFonts w:ascii="Noto Sans" w:hAnsi="Noto Sans" w:cs="Noto Sans"/>
                <w:color w:val="000000"/>
                <w:sz w:val="22"/>
              </w:rPr>
              <w:t>.</w:t>
            </w:r>
          </w:p>
          <w:p w:rsidR="00F179EE" w:rsidRPr="00DD098D" w:rsidRDefault="00D57CF8">
            <w:pPr>
              <w:pStyle w:val="Prrafodelista"/>
              <w:numPr>
                <w:ilvl w:val="0"/>
                <w:numId w:val="35"/>
              </w:numPr>
              <w:spacing w:before="40" w:after="20"/>
              <w:ind w:left="425" w:hanging="357"/>
              <w:jc w:val="both"/>
              <w:rPr>
                <w:rFonts w:ascii="Noto Sans" w:hAnsi="Noto Sans" w:cs="Noto Sans"/>
              </w:rPr>
            </w:pPr>
            <w:r w:rsidRPr="00DD098D">
              <w:rPr>
                <w:rFonts w:ascii="Noto Sans" w:hAnsi="Noto Sans" w:cs="Noto Sans"/>
                <w:b/>
                <w:color w:val="000000"/>
                <w:sz w:val="22"/>
              </w:rPr>
              <w:t xml:space="preserve">El Indicador Adelantado alcanzó 100.8 puntos en junio, </w:t>
            </w:r>
            <w:r w:rsidRPr="00DD098D">
              <w:rPr>
                <w:rFonts w:ascii="Noto Sans" w:hAnsi="Noto Sans" w:cs="Noto Sans"/>
                <w:color w:val="000000"/>
                <w:sz w:val="22"/>
              </w:rPr>
              <w:t>con un aumento mensual de 0.04 puntos, y se mantuvo por arriba de su tendencia</w:t>
            </w:r>
            <w:r w:rsidR="0004382B" w:rsidRPr="00DD098D">
              <w:rPr>
                <w:rFonts w:ascii="Noto Sans" w:hAnsi="Noto Sans" w:cs="Noto Sans"/>
                <w:color w:val="000000"/>
                <w:sz w:val="22"/>
              </w:rPr>
              <w:t>.</w:t>
            </w:r>
          </w:p>
          <w:p w:rsidR="00F179EE" w:rsidRPr="00DD098D" w:rsidRDefault="00D57CF8">
            <w:pPr>
              <w:pStyle w:val="Prrafodelista"/>
              <w:numPr>
                <w:ilvl w:val="0"/>
                <w:numId w:val="35"/>
              </w:numPr>
              <w:spacing w:before="40" w:after="20"/>
              <w:ind w:left="425" w:hanging="357"/>
              <w:jc w:val="both"/>
              <w:rPr>
                <w:rFonts w:ascii="Noto Sans" w:hAnsi="Noto Sans" w:cs="Noto Sans"/>
              </w:rPr>
            </w:pPr>
            <w:r w:rsidRPr="00DD098D">
              <w:rPr>
                <w:rFonts w:ascii="Noto Sans" w:hAnsi="Noto Sans" w:cs="Noto Sans"/>
                <w:b/>
                <w:color w:val="000000"/>
                <w:sz w:val="22"/>
              </w:rPr>
              <w:t>El avance mensual del Adelantado se moderó de 0.18 puntos en julio de 2025 a 0.04 puntos en junio de 2026</w:t>
            </w:r>
            <w:r w:rsidR="0004382B" w:rsidRPr="00DD098D">
              <w:rPr>
                <w:rFonts w:ascii="Noto Sans" w:hAnsi="Noto Sans" w:cs="Noto Sans"/>
                <w:color w:val="000000"/>
                <w:sz w:val="22"/>
              </w:rPr>
              <w:t>.</w:t>
            </w:r>
          </w:p>
        </w:tc>
      </w:tr>
    </w:tbl>
    <w:p w:rsidR="00F179EE" w:rsidRPr="00DD098D" w:rsidRDefault="00F179EE">
      <w:pPr>
        <w:rPr>
          <w:rFonts w:ascii="Noto Sans" w:hAnsi="Noto Sans" w:cs="Noto Sans"/>
          <w:sz w:val="16"/>
        </w:rPr>
      </w:pPr>
    </w:p>
    <w:p w:rsidR="00F179EE" w:rsidRPr="00DD098D" w:rsidRDefault="0004382B">
      <w:pPr>
        <w:jc w:val="center"/>
        <w:rPr>
          <w:rFonts w:ascii="Noto Sans" w:hAnsi="Noto Sans" w:cs="Noto Sans"/>
        </w:rPr>
      </w:pPr>
      <w:r w:rsidRPr="00DD098D">
        <w:rPr>
          <w:rFonts w:ascii="Noto Sans" w:hAnsi="Noto Sans" w:cs="Noto Sans"/>
          <w:noProof/>
        </w:rPr>
        <w:drawing>
          <wp:inline distT="0" distB="0" distL="0" distR="0">
            <wp:extent cx="5005396" cy="23133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4_coincidente.png"/>
                    <pic:cNvPicPr/>
                  </pic:nvPicPr>
                  <pic:blipFill rotWithShape="1">
                    <a:blip r:embed="rId9"/>
                    <a:srcRect t="5484"/>
                    <a:stretch/>
                  </pic:blipFill>
                  <pic:spPr bwMode="auto">
                    <a:xfrm>
                      <a:off x="0" y="0"/>
                      <a:ext cx="5022385" cy="2321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79EE" w:rsidRPr="00DD098D" w:rsidRDefault="00DD098D">
      <w:pPr>
        <w:spacing w:before="60" w:after="60"/>
        <w:jc w:val="both"/>
        <w:rPr>
          <w:rFonts w:ascii="Noto Sans" w:hAnsi="Noto Sans" w:cs="Noto Sans"/>
        </w:rPr>
      </w:pPr>
      <w:r w:rsidRPr="00DD098D">
        <w:rPr>
          <w:rFonts w:ascii="Noto Sans" w:hAnsi="Noto Sans" w:cs="Noto Sans"/>
          <w:color w:val="10312B"/>
          <w:sz w:val="16"/>
        </w:rPr>
        <w:t>La actualización de mayo mantuvo prácticamente sin cambios la trayectoria estimada del Indicador Coincidente respecto de la publicación anterior</w:t>
      </w:r>
      <w:r w:rsidR="0004382B" w:rsidRPr="00DD098D">
        <w:rPr>
          <w:rFonts w:ascii="Noto Sans" w:hAnsi="Noto Sans" w:cs="Noto Sans"/>
          <w:color w:val="10312B"/>
          <w:sz w:val="16"/>
        </w:rPr>
        <w:t>.</w:t>
      </w:r>
    </w:p>
    <w:p w:rsidR="00F179EE" w:rsidRPr="00DD098D" w:rsidRDefault="0004382B">
      <w:pPr>
        <w:shd w:val="clear" w:color="auto" w:fill="005E4C"/>
        <w:jc w:val="both"/>
        <w:rPr>
          <w:rFonts w:ascii="Noto Sans" w:hAnsi="Noto Sans" w:cs="Noto Sans"/>
        </w:rPr>
      </w:pPr>
      <w:r w:rsidRPr="00DD098D">
        <w:rPr>
          <w:rFonts w:ascii="Noto Sans" w:hAnsi="Noto Sans" w:cs="Noto Sans"/>
          <w:b/>
          <w:color w:val="FFFFFF"/>
          <w:sz w:val="22"/>
        </w:rPr>
        <w:lastRenderedPageBreak/>
        <w:t>Componentes cíclicos: lecturas diferenciadas</w:t>
      </w:r>
    </w:p>
    <w:p w:rsidR="00F179EE" w:rsidRPr="00DD098D" w:rsidRDefault="00DD098D">
      <w:pPr>
        <w:pStyle w:val="Prrafodelista"/>
        <w:numPr>
          <w:ilvl w:val="0"/>
          <w:numId w:val="35"/>
        </w:numPr>
        <w:spacing w:before="40" w:after="20"/>
        <w:ind w:left="425" w:hanging="357"/>
        <w:jc w:val="both"/>
        <w:rPr>
          <w:rFonts w:ascii="Noto Sans" w:hAnsi="Noto Sans" w:cs="Noto Sans"/>
        </w:rPr>
      </w:pPr>
      <w:r w:rsidRPr="00DD098D">
        <w:rPr>
          <w:rFonts w:ascii="Noto Sans" w:hAnsi="Noto Sans" w:cs="Noto Sans"/>
          <w:color w:val="000000"/>
          <w:sz w:val="22"/>
        </w:rPr>
        <w:t xml:space="preserve">En el Indicador Coincidente, </w:t>
      </w:r>
      <w:r w:rsidRPr="00DD098D">
        <w:rPr>
          <w:rFonts w:ascii="Noto Sans" w:hAnsi="Noto Sans" w:cs="Noto Sans"/>
          <w:b/>
          <w:color w:val="000000"/>
          <w:sz w:val="22"/>
        </w:rPr>
        <w:t>las importaciones (+0.16 puntos), el IGAE (+0.14) y la actividad industrial (+0.10) contribuyeron al avance de mayo</w:t>
      </w:r>
      <w:r w:rsidRPr="00DD098D">
        <w:rPr>
          <w:rFonts w:ascii="Noto Sans" w:hAnsi="Noto Sans" w:cs="Noto Sans"/>
          <w:color w:val="000000"/>
          <w:sz w:val="22"/>
        </w:rPr>
        <w:t>. Los ingresos al por menor (-0.04) y el empleo formal (-0.03) restaron, mientras que la tasa de desocupación urbana aumentó 0.15 puntos; esta última tiene comportamiento inverso respecto de la actividad económica</w:t>
      </w:r>
      <w:r w:rsidR="0004382B" w:rsidRPr="00DD098D">
        <w:rPr>
          <w:rFonts w:ascii="Noto Sans" w:hAnsi="Noto Sans" w:cs="Noto Sans"/>
          <w:color w:val="000000"/>
          <w:sz w:val="22"/>
        </w:rPr>
        <w:t>.</w:t>
      </w:r>
    </w:p>
    <w:p w:rsidR="00F179EE" w:rsidRPr="00DD098D" w:rsidRDefault="0004382B">
      <w:pPr>
        <w:pStyle w:val="Prrafodelista"/>
        <w:numPr>
          <w:ilvl w:val="0"/>
          <w:numId w:val="35"/>
        </w:numPr>
        <w:spacing w:before="40" w:after="20"/>
        <w:ind w:left="425" w:hanging="357"/>
        <w:jc w:val="both"/>
        <w:rPr>
          <w:rFonts w:ascii="Noto Sans" w:hAnsi="Noto Sans" w:cs="Noto Sans"/>
        </w:rPr>
      </w:pPr>
      <w:r w:rsidRPr="00DD098D">
        <w:rPr>
          <w:rFonts w:ascii="Noto Sans" w:hAnsi="Noto Sans" w:cs="Noto Sans"/>
          <w:color w:val="000000"/>
          <w:sz w:val="22"/>
        </w:rPr>
        <w:t xml:space="preserve">En el Indicador Adelantado, </w:t>
      </w:r>
      <w:r w:rsidR="00DD098D" w:rsidRPr="00DD098D">
        <w:rPr>
          <w:rFonts w:ascii="Noto Sans" w:hAnsi="Noto Sans" w:cs="Noto Sans"/>
          <w:b/>
          <w:color w:val="000000"/>
          <w:sz w:val="22"/>
        </w:rPr>
        <w:t>destacaron los aumentos del S&amp;P 500 (+0.10 puntos), el empleo manufacturero (+0.09) y el tipo de cambio real bilateral (+0.03)</w:t>
      </w:r>
      <w:r w:rsidR="00DD098D" w:rsidRPr="00DD098D">
        <w:rPr>
          <w:rFonts w:ascii="Noto Sans" w:hAnsi="Noto Sans" w:cs="Noto Sans"/>
          <w:color w:val="000000"/>
          <w:sz w:val="22"/>
        </w:rPr>
        <w:t>. Registraron variaciones negativas la tasa de interés interbancaria (-0.08), la BMV en términos reales (-0.05) y la confianza sobre el momento adecuado para invertir (-0.03)</w:t>
      </w:r>
      <w:r w:rsidRPr="00DD098D">
        <w:rPr>
          <w:rFonts w:ascii="Noto Sans" w:hAnsi="Noto Sans" w:cs="Noto Sans"/>
          <w:color w:val="000000"/>
          <w:sz w:val="22"/>
        </w:rPr>
        <w:t>.</w:t>
      </w:r>
    </w:p>
    <w:p w:rsidR="00DD098D" w:rsidRPr="00DD098D" w:rsidRDefault="00DD098D" w:rsidP="00DD098D">
      <w:pPr>
        <w:spacing w:before="40" w:after="20"/>
        <w:ind w:left="68"/>
        <w:jc w:val="both"/>
        <w:rPr>
          <w:rFonts w:ascii="Noto Sans" w:hAnsi="Noto Sans" w:cs="Noto Sans"/>
          <w:sz w:val="16"/>
        </w:rPr>
      </w:pPr>
    </w:p>
    <w:p w:rsidR="00F179EE" w:rsidRPr="00DD098D" w:rsidRDefault="0004382B">
      <w:pPr>
        <w:jc w:val="center"/>
        <w:rPr>
          <w:rFonts w:ascii="Noto Sans" w:hAnsi="Noto Sans" w:cs="Noto Sans"/>
        </w:rPr>
      </w:pPr>
      <w:r w:rsidRPr="00DD098D">
        <w:rPr>
          <w:rFonts w:ascii="Noto Sans" w:hAnsi="Noto Sans" w:cs="Noto Sans"/>
          <w:noProof/>
        </w:rPr>
        <w:drawing>
          <wp:inline distT="0" distB="0" distL="0" distR="0">
            <wp:extent cx="4662346" cy="22496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7_adelantado.png"/>
                    <pic:cNvPicPr/>
                  </pic:nvPicPr>
                  <pic:blipFill rotWithShape="1">
                    <a:blip r:embed="rId10"/>
                    <a:srcRect t="5577"/>
                    <a:stretch/>
                  </pic:blipFill>
                  <pic:spPr bwMode="auto">
                    <a:xfrm>
                      <a:off x="0" y="0"/>
                      <a:ext cx="4663440" cy="2250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79EE" w:rsidRPr="00DD098D" w:rsidRDefault="00DD098D">
      <w:pPr>
        <w:spacing w:before="60" w:after="60"/>
        <w:jc w:val="both"/>
        <w:rPr>
          <w:rFonts w:ascii="Noto Sans" w:hAnsi="Noto Sans" w:cs="Noto Sans"/>
        </w:rPr>
      </w:pPr>
      <w:r w:rsidRPr="00DD098D">
        <w:rPr>
          <w:rFonts w:ascii="Noto Sans" w:hAnsi="Noto Sans" w:cs="Noto Sans"/>
          <w:color w:val="10312B"/>
          <w:sz w:val="16"/>
        </w:rPr>
        <w:t>La actualización de junio mantuvo al Indicador Adelantado por arriba de su tendencia, aunque confirmó una moderación en su ritmo de avance mensual</w:t>
      </w:r>
      <w:r w:rsidR="0004382B" w:rsidRPr="00DD098D">
        <w:rPr>
          <w:rFonts w:ascii="Noto Sans" w:hAnsi="Noto Sans" w:cs="Noto Sans"/>
          <w:color w:val="10312B"/>
          <w:sz w:val="16"/>
        </w:rPr>
        <w:t>.</w:t>
      </w:r>
    </w:p>
    <w:p w:rsidR="00F179EE" w:rsidRPr="00DD098D" w:rsidRDefault="0004382B">
      <w:pPr>
        <w:shd w:val="clear" w:color="auto" w:fill="005E4C"/>
        <w:jc w:val="both"/>
        <w:rPr>
          <w:rFonts w:ascii="Noto Sans" w:hAnsi="Noto Sans" w:cs="Noto Sans"/>
        </w:rPr>
      </w:pPr>
      <w:r w:rsidRPr="00DD098D">
        <w:rPr>
          <w:rFonts w:ascii="Noto Sans" w:hAnsi="Noto Sans" w:cs="Noto Sans"/>
          <w:b/>
          <w:color w:val="FFFFFF"/>
          <w:sz w:val="22"/>
        </w:rPr>
        <w:t xml:space="preserve">Lectura </w:t>
      </w:r>
    </w:p>
    <w:p w:rsidR="00F179EE" w:rsidRPr="00DD098D" w:rsidRDefault="00DD098D">
      <w:pPr>
        <w:spacing w:before="20" w:after="40"/>
        <w:jc w:val="both"/>
        <w:rPr>
          <w:rFonts w:ascii="Noto Sans" w:hAnsi="Noto Sans" w:cs="Noto Sans"/>
          <w:color w:val="000000"/>
          <w:sz w:val="22"/>
        </w:rPr>
      </w:pPr>
      <w:r w:rsidRPr="00DD098D">
        <w:rPr>
          <w:rFonts w:ascii="Noto Sans" w:hAnsi="Noto Sans" w:cs="Noto Sans"/>
          <w:color w:val="000000"/>
          <w:sz w:val="22"/>
        </w:rPr>
        <w:t>La lectura conjunta es moderadamente favorable: el Coincidente acumula avances, pero aún no supera su tendencia de largo plazo; el Adelantado permanece por arriba, aunque pierde velocidad. Esto apunta a una recuperación gradual, todavía sujeta a confirmación. El SIC identifica la posición y el rumbo del ciclo, no la magnitud del crecimiento económico</w:t>
      </w:r>
      <w:r w:rsidR="0004382B" w:rsidRPr="00DD098D">
        <w:rPr>
          <w:rFonts w:ascii="Noto Sans" w:hAnsi="Noto Sans" w:cs="Noto Sans"/>
          <w:color w:val="000000"/>
          <w:sz w:val="22"/>
        </w:rPr>
        <w:t>.</w:t>
      </w:r>
    </w:p>
    <w:p w:rsidR="00DD098D" w:rsidRPr="00DD098D" w:rsidRDefault="00DD098D">
      <w:pPr>
        <w:spacing w:before="20" w:after="40"/>
        <w:jc w:val="both"/>
        <w:rPr>
          <w:rFonts w:ascii="Noto Sans" w:hAnsi="Noto Sans" w:cs="Noto Sans"/>
          <w:sz w:val="16"/>
        </w:rPr>
      </w:pPr>
    </w:p>
    <w:p w:rsidR="00F179EE" w:rsidRDefault="0004382B">
      <w:pPr>
        <w:spacing w:before="60"/>
      </w:pPr>
      <w:r w:rsidRPr="00DD098D">
        <w:rPr>
          <w:rFonts w:ascii="Noto Sans" w:hAnsi="Noto Sans" w:cs="Noto Sans"/>
          <w:color w:val="4C545B"/>
          <w:sz w:val="16"/>
        </w:rPr>
        <w:t>Fuente: INEGI, Sistema de Indicadores Cíclicos, Boletín de Indicador del 4 de agosto de 2026. Información de acceso anticipado y difusión restringida conforme al</w:t>
      </w:r>
      <w:r>
        <w:rPr>
          <w:rFonts w:ascii="Noto Sans" w:hAnsi="Noto Sans" w:cs="Noto Sans"/>
          <w:color w:val="4C545B"/>
          <w:sz w:val="16"/>
        </w:rPr>
        <w:t xml:space="preserve"> artículo 8 Bis de la normativa del INEGI.</w:t>
      </w:r>
    </w:p>
    <w:sectPr w:rsidR="00F179EE">
      <w:headerReference w:type="default" r:id="rId11"/>
      <w:footerReference w:type="even" r:id="rId12"/>
      <w:footerReference w:type="default" r:id="rId13"/>
      <w:pgSz w:w="12240" w:h="15840"/>
      <w:pgMar w:top="1134" w:right="1701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01EE" w:rsidRDefault="009D01EE" w:rsidP="00E32E74">
      <w:r>
        <w:separator/>
      </w:r>
    </w:p>
  </w:endnote>
  <w:endnote w:type="continuationSeparator" w:id="0">
    <w:p w:rsidR="009D01EE" w:rsidRDefault="009D01EE" w:rsidP="00E32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">
    <w:altName w:val="Calibri"/>
    <w:panose1 w:val="020B0502040504020204"/>
    <w:charset w:val="00"/>
    <w:family w:val="swiss"/>
    <w:pitch w:val="variable"/>
    <w:sig w:usb0="E00882FF" w:usb1="400078FF" w:usb2="08000029" w:usb3="00000000" w:csb0="0000019F" w:csb1="00000000"/>
  </w:font>
  <w:font w:name="Montserrat Ligh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Univers (W1)">
    <w:altName w:val="Arial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merodepgina"/>
      </w:rPr>
      <w:id w:val="144527516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8544E1" w:rsidRDefault="008544E1" w:rsidP="00DA379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CE633D"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:rsidR="008544E1" w:rsidRDefault="008544E1" w:rsidP="008544E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4A2" w:rsidRDefault="00D60BF7" w:rsidP="008544E1">
    <w:pPr>
      <w:ind w:right="360"/>
    </w:pPr>
    <w:r>
      <w:rPr>
        <w:noProof/>
        <w:color w:val="000000"/>
      </w:rPr>
      <w:drawing>
        <wp:anchor distT="0" distB="0" distL="114300" distR="114300" simplePos="0" relativeHeight="251660288" behindDoc="1" locked="0" layoutInCell="1" allowOverlap="1" wp14:anchorId="1A7D8A66" wp14:editId="5D3339A7">
          <wp:simplePos x="0" y="0"/>
          <wp:positionH relativeFrom="page">
            <wp:posOffset>-121920</wp:posOffset>
          </wp:positionH>
          <wp:positionV relativeFrom="paragraph">
            <wp:posOffset>-45085</wp:posOffset>
          </wp:positionV>
          <wp:extent cx="7894873" cy="1293628"/>
          <wp:effectExtent l="0" t="0" r="5080" b="1905"/>
          <wp:wrapNone/>
          <wp:docPr id="441815502" name="Imagen 1" descr="Imagen que contiene Aplicación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7835576" name="Imagen 1" descr="Imagen que contiene Aplicación  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39"/>
                  <a:stretch>
                    <a:fillRect/>
                  </a:stretch>
                </pic:blipFill>
                <pic:spPr bwMode="auto">
                  <a:xfrm>
                    <a:off x="0" y="0"/>
                    <a:ext cx="7894873" cy="129362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B54A2" w:rsidRPr="00E7262E" w:rsidRDefault="00DB54A2" w:rsidP="00A27EAB">
    <w:pPr>
      <w:jc w:val="right"/>
    </w:pPr>
  </w:p>
  <w:p w:rsidR="00B62B90" w:rsidRDefault="00B62B90" w:rsidP="00E32E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01EE" w:rsidRDefault="009D01EE" w:rsidP="00E32E74">
      <w:r>
        <w:separator/>
      </w:r>
    </w:p>
  </w:footnote>
  <w:footnote w:type="continuationSeparator" w:id="0">
    <w:p w:rsidR="009D01EE" w:rsidRDefault="009D01EE" w:rsidP="00E32E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4A2" w:rsidRDefault="00EA49C5" w:rsidP="00E32E74">
    <w:r>
      <w:rPr>
        <w:noProof/>
      </w:rPr>
      <w:drawing>
        <wp:anchor distT="0" distB="0" distL="0" distR="0" simplePos="0" relativeHeight="251658240" behindDoc="1" locked="0" layoutInCell="1" hidden="0" allowOverlap="1" wp14:anchorId="21251FA6" wp14:editId="283BD595">
          <wp:simplePos x="0" y="0"/>
          <wp:positionH relativeFrom="page">
            <wp:posOffset>-12700</wp:posOffset>
          </wp:positionH>
          <wp:positionV relativeFrom="paragraph">
            <wp:posOffset>-532717</wp:posOffset>
          </wp:positionV>
          <wp:extent cx="7753939" cy="1257300"/>
          <wp:effectExtent l="0" t="0" r="6350" b="0"/>
          <wp:wrapNone/>
          <wp:docPr id="949743675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16596"/>
                  <a:stretch>
                    <a:fillRect/>
                  </a:stretch>
                </pic:blipFill>
                <pic:spPr>
                  <a:xfrm>
                    <a:off x="0" y="0"/>
                    <a:ext cx="7753939" cy="1257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B54A2" w:rsidRDefault="00DB54A2" w:rsidP="00E32E74"/>
  <w:p w:rsidR="00F859CD" w:rsidRDefault="00F859CD" w:rsidP="00E32E74"/>
  <w:p w:rsidR="009966CB" w:rsidRDefault="00105FFE" w:rsidP="004A1AF8">
    <w:pPr>
      <w:ind w:left="-426"/>
      <w:rPr>
        <w:rFonts w:ascii="Noto Sans" w:hAnsi="Noto Sans"/>
        <w:b/>
        <w:sz w:val="22"/>
      </w:rPr>
    </w:pPr>
    <w:r>
      <w:rPr>
        <w:rFonts w:ascii="Noto Sans" w:hAnsi="Noto Sans"/>
        <w:b/>
        <w:sz w:val="22"/>
      </w:rPr>
      <w:t>Subsecretaría de Industria y Comercio</w:t>
    </w:r>
  </w:p>
  <w:p w:rsidR="00DD098D" w:rsidRPr="00DD098D" w:rsidRDefault="00DD098D" w:rsidP="004A1AF8">
    <w:pPr>
      <w:ind w:left="-426"/>
      <w:rPr>
        <w:rFonts w:ascii="Calibri" w:hAnsi="Calibri" w:cs="Calibri"/>
        <w:b/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66058"/>
    <w:multiLevelType w:val="multilevel"/>
    <w:tmpl w:val="CF0EF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00E73"/>
    <w:multiLevelType w:val="multilevel"/>
    <w:tmpl w:val="F8E6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74F6"/>
    <w:multiLevelType w:val="hybridMultilevel"/>
    <w:tmpl w:val="BD24C636"/>
    <w:lvl w:ilvl="0" w:tplc="040A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09B5062C"/>
    <w:multiLevelType w:val="multilevel"/>
    <w:tmpl w:val="E0D4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B75AF"/>
    <w:multiLevelType w:val="multilevel"/>
    <w:tmpl w:val="F990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A051B"/>
    <w:multiLevelType w:val="multilevel"/>
    <w:tmpl w:val="F70C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26045"/>
    <w:multiLevelType w:val="hybridMultilevel"/>
    <w:tmpl w:val="2886F9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B1544"/>
    <w:multiLevelType w:val="multilevel"/>
    <w:tmpl w:val="1DC4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E7BD5"/>
    <w:multiLevelType w:val="multilevel"/>
    <w:tmpl w:val="E21E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70303"/>
    <w:multiLevelType w:val="hybridMultilevel"/>
    <w:tmpl w:val="77764E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13076"/>
    <w:multiLevelType w:val="multilevel"/>
    <w:tmpl w:val="DC60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37F62"/>
    <w:multiLevelType w:val="hybridMultilevel"/>
    <w:tmpl w:val="491E8574"/>
    <w:lvl w:ilvl="0" w:tplc="47363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D72D51"/>
    <w:multiLevelType w:val="hybridMultilevel"/>
    <w:tmpl w:val="B27E3374"/>
    <w:lvl w:ilvl="0" w:tplc="3A18FC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7E7B97"/>
    <w:multiLevelType w:val="hybridMultilevel"/>
    <w:tmpl w:val="2A4A9C34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0F28E7"/>
    <w:multiLevelType w:val="multilevel"/>
    <w:tmpl w:val="B01CB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0E56A7"/>
    <w:multiLevelType w:val="multilevel"/>
    <w:tmpl w:val="2B92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F13CCD"/>
    <w:multiLevelType w:val="multilevel"/>
    <w:tmpl w:val="AEEE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731D8"/>
    <w:multiLevelType w:val="hybridMultilevel"/>
    <w:tmpl w:val="E58CE21C"/>
    <w:lvl w:ilvl="0" w:tplc="0C348DAA">
      <w:start w:val="1"/>
      <w:numFmt w:val="upperRoman"/>
      <w:pStyle w:val="Ttulo4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270ACC"/>
    <w:multiLevelType w:val="multilevel"/>
    <w:tmpl w:val="DDD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F1DE7"/>
    <w:multiLevelType w:val="multilevel"/>
    <w:tmpl w:val="AF8E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45AEF"/>
    <w:multiLevelType w:val="multilevel"/>
    <w:tmpl w:val="7770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90047D"/>
    <w:multiLevelType w:val="hybridMultilevel"/>
    <w:tmpl w:val="A822CF98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2" w15:restartNumberingAfterBreak="0">
    <w:nsid w:val="62203C88"/>
    <w:multiLevelType w:val="multilevel"/>
    <w:tmpl w:val="CC1C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68072D"/>
    <w:multiLevelType w:val="hybridMultilevel"/>
    <w:tmpl w:val="050879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157499"/>
    <w:multiLevelType w:val="multilevel"/>
    <w:tmpl w:val="C582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6C00BF"/>
    <w:multiLevelType w:val="multilevel"/>
    <w:tmpl w:val="981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327C8"/>
    <w:multiLevelType w:val="hybridMultilevel"/>
    <w:tmpl w:val="4BBA90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A16731"/>
    <w:multiLevelType w:val="multilevel"/>
    <w:tmpl w:val="0A64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B60062"/>
    <w:multiLevelType w:val="hybridMultilevel"/>
    <w:tmpl w:val="F4BA4BB8"/>
    <w:lvl w:ilvl="0" w:tplc="47363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60E2529C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55585F"/>
    <w:multiLevelType w:val="multilevel"/>
    <w:tmpl w:val="EE74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F537A"/>
    <w:multiLevelType w:val="multilevel"/>
    <w:tmpl w:val="4F3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36124"/>
    <w:multiLevelType w:val="multilevel"/>
    <w:tmpl w:val="F65C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1B2C3D"/>
    <w:multiLevelType w:val="hybridMultilevel"/>
    <w:tmpl w:val="7A1B2C3E"/>
    <w:lvl w:ilvl="0" w:tplc="F266E762">
      <w:start w:val="1"/>
      <w:numFmt w:val="bullet"/>
      <w:lvlText w:val=""/>
      <w:lvlJc w:val="left"/>
      <w:pPr>
        <w:ind w:left="432" w:hanging="288"/>
      </w:pPr>
      <w:rPr>
        <w:rFonts w:ascii="Symbol" w:hAnsi="Symbol" w:hint="default"/>
      </w:rPr>
    </w:lvl>
    <w:lvl w:ilvl="1" w:tplc="1A44F988">
      <w:numFmt w:val="decimal"/>
      <w:lvlText w:val=""/>
      <w:lvlJc w:val="left"/>
    </w:lvl>
    <w:lvl w:ilvl="2" w:tplc="784A313A">
      <w:numFmt w:val="decimal"/>
      <w:lvlText w:val=""/>
      <w:lvlJc w:val="left"/>
    </w:lvl>
    <w:lvl w:ilvl="3" w:tplc="E940B9BA">
      <w:numFmt w:val="decimal"/>
      <w:lvlText w:val=""/>
      <w:lvlJc w:val="left"/>
    </w:lvl>
    <w:lvl w:ilvl="4" w:tplc="CE9E15B0">
      <w:numFmt w:val="decimal"/>
      <w:lvlText w:val=""/>
      <w:lvlJc w:val="left"/>
    </w:lvl>
    <w:lvl w:ilvl="5" w:tplc="803CE1A8">
      <w:numFmt w:val="decimal"/>
      <w:lvlText w:val=""/>
      <w:lvlJc w:val="left"/>
    </w:lvl>
    <w:lvl w:ilvl="6" w:tplc="7EBEE4BC">
      <w:numFmt w:val="decimal"/>
      <w:lvlText w:val=""/>
      <w:lvlJc w:val="left"/>
    </w:lvl>
    <w:lvl w:ilvl="7" w:tplc="AD3C62DA">
      <w:numFmt w:val="decimal"/>
      <w:lvlText w:val=""/>
      <w:lvlJc w:val="left"/>
    </w:lvl>
    <w:lvl w:ilvl="8" w:tplc="C35E76F4">
      <w:numFmt w:val="decimal"/>
      <w:lvlText w:val=""/>
      <w:lvlJc w:val="left"/>
    </w:lvl>
  </w:abstractNum>
  <w:abstractNum w:abstractNumId="33" w15:restartNumberingAfterBreak="0">
    <w:nsid w:val="7B7C15D2"/>
    <w:multiLevelType w:val="hybridMultilevel"/>
    <w:tmpl w:val="9E941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7C1AA1"/>
    <w:multiLevelType w:val="multilevel"/>
    <w:tmpl w:val="749C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6"/>
  </w:num>
  <w:num w:numId="3">
    <w:abstractNumId w:val="20"/>
  </w:num>
  <w:num w:numId="4">
    <w:abstractNumId w:val="34"/>
  </w:num>
  <w:num w:numId="5">
    <w:abstractNumId w:val="27"/>
  </w:num>
  <w:num w:numId="6">
    <w:abstractNumId w:val="10"/>
  </w:num>
  <w:num w:numId="7">
    <w:abstractNumId w:val="30"/>
  </w:num>
  <w:num w:numId="8">
    <w:abstractNumId w:val="8"/>
  </w:num>
  <w:num w:numId="9">
    <w:abstractNumId w:val="5"/>
  </w:num>
  <w:num w:numId="10">
    <w:abstractNumId w:val="16"/>
  </w:num>
  <w:num w:numId="11">
    <w:abstractNumId w:val="19"/>
  </w:num>
  <w:num w:numId="12">
    <w:abstractNumId w:val="18"/>
  </w:num>
  <w:num w:numId="13">
    <w:abstractNumId w:val="7"/>
  </w:num>
  <w:num w:numId="14">
    <w:abstractNumId w:val="14"/>
  </w:num>
  <w:num w:numId="15">
    <w:abstractNumId w:val="31"/>
  </w:num>
  <w:num w:numId="16">
    <w:abstractNumId w:val="0"/>
  </w:num>
  <w:num w:numId="17">
    <w:abstractNumId w:val="24"/>
  </w:num>
  <w:num w:numId="18">
    <w:abstractNumId w:val="15"/>
  </w:num>
  <w:num w:numId="19">
    <w:abstractNumId w:val="23"/>
  </w:num>
  <w:num w:numId="20">
    <w:abstractNumId w:val="26"/>
  </w:num>
  <w:num w:numId="21">
    <w:abstractNumId w:val="12"/>
  </w:num>
  <w:num w:numId="22">
    <w:abstractNumId w:val="1"/>
  </w:num>
  <w:num w:numId="23">
    <w:abstractNumId w:val="22"/>
  </w:num>
  <w:num w:numId="24">
    <w:abstractNumId w:val="25"/>
  </w:num>
  <w:num w:numId="25">
    <w:abstractNumId w:val="3"/>
  </w:num>
  <w:num w:numId="26">
    <w:abstractNumId w:val="4"/>
  </w:num>
  <w:num w:numId="27">
    <w:abstractNumId w:val="29"/>
  </w:num>
  <w:num w:numId="28">
    <w:abstractNumId w:val="9"/>
  </w:num>
  <w:num w:numId="29">
    <w:abstractNumId w:val="33"/>
  </w:num>
  <w:num w:numId="30">
    <w:abstractNumId w:val="32"/>
  </w:num>
  <w:num w:numId="31">
    <w:abstractNumId w:val="2"/>
  </w:num>
  <w:num w:numId="32">
    <w:abstractNumId w:val="21"/>
  </w:num>
  <w:num w:numId="33">
    <w:abstractNumId w:val="13"/>
  </w:num>
  <w:num w:numId="34">
    <w:abstractNumId w:val="11"/>
  </w:num>
  <w:num w:numId="35">
    <w:abstractNumId w:val="2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3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4C"/>
    <w:rsid w:val="00002027"/>
    <w:rsid w:val="00003EA0"/>
    <w:rsid w:val="0000545B"/>
    <w:rsid w:val="00020C49"/>
    <w:rsid w:val="000258F9"/>
    <w:rsid w:val="00025A89"/>
    <w:rsid w:val="00030E8C"/>
    <w:rsid w:val="0003237D"/>
    <w:rsid w:val="000377A6"/>
    <w:rsid w:val="00041BD6"/>
    <w:rsid w:val="0004382B"/>
    <w:rsid w:val="000438FF"/>
    <w:rsid w:val="00043F02"/>
    <w:rsid w:val="00046781"/>
    <w:rsid w:val="00050586"/>
    <w:rsid w:val="00054CA4"/>
    <w:rsid w:val="00054FB9"/>
    <w:rsid w:val="000571C6"/>
    <w:rsid w:val="0006003F"/>
    <w:rsid w:val="000A3591"/>
    <w:rsid w:val="000A46AA"/>
    <w:rsid w:val="000A71DD"/>
    <w:rsid w:val="000B3C45"/>
    <w:rsid w:val="000D126D"/>
    <w:rsid w:val="000D5B48"/>
    <w:rsid w:val="000D796F"/>
    <w:rsid w:val="000E1551"/>
    <w:rsid w:val="000E263D"/>
    <w:rsid w:val="000E62C2"/>
    <w:rsid w:val="00105FFE"/>
    <w:rsid w:val="001106F9"/>
    <w:rsid w:val="00113971"/>
    <w:rsid w:val="00113ADD"/>
    <w:rsid w:val="001259AE"/>
    <w:rsid w:val="00136317"/>
    <w:rsid w:val="0013733B"/>
    <w:rsid w:val="001410AA"/>
    <w:rsid w:val="00151B05"/>
    <w:rsid w:val="00153B11"/>
    <w:rsid w:val="00154DA5"/>
    <w:rsid w:val="00155A77"/>
    <w:rsid w:val="00155DFB"/>
    <w:rsid w:val="00167BCF"/>
    <w:rsid w:val="0018050E"/>
    <w:rsid w:val="00193DC0"/>
    <w:rsid w:val="00197050"/>
    <w:rsid w:val="00197ADD"/>
    <w:rsid w:val="001A6402"/>
    <w:rsid w:val="001B2972"/>
    <w:rsid w:val="001B64D3"/>
    <w:rsid w:val="001C2D90"/>
    <w:rsid w:val="001C5436"/>
    <w:rsid w:val="001D27D6"/>
    <w:rsid w:val="001D4DE9"/>
    <w:rsid w:val="001E072F"/>
    <w:rsid w:val="001F561B"/>
    <w:rsid w:val="00204B82"/>
    <w:rsid w:val="0021097E"/>
    <w:rsid w:val="00220619"/>
    <w:rsid w:val="002360E8"/>
    <w:rsid w:val="00246E09"/>
    <w:rsid w:val="00254C67"/>
    <w:rsid w:val="00290C17"/>
    <w:rsid w:val="00294C95"/>
    <w:rsid w:val="002C459E"/>
    <w:rsid w:val="002E0889"/>
    <w:rsid w:val="002E131D"/>
    <w:rsid w:val="002E3C28"/>
    <w:rsid w:val="002F4E7A"/>
    <w:rsid w:val="00320CA1"/>
    <w:rsid w:val="00341FF9"/>
    <w:rsid w:val="00344789"/>
    <w:rsid w:val="00360F50"/>
    <w:rsid w:val="0036312B"/>
    <w:rsid w:val="003817DF"/>
    <w:rsid w:val="003919F7"/>
    <w:rsid w:val="003B7AF4"/>
    <w:rsid w:val="003E400C"/>
    <w:rsid w:val="003E7119"/>
    <w:rsid w:val="003F7434"/>
    <w:rsid w:val="004135C9"/>
    <w:rsid w:val="00424E7E"/>
    <w:rsid w:val="0042728A"/>
    <w:rsid w:val="00430CE8"/>
    <w:rsid w:val="00431758"/>
    <w:rsid w:val="004362C5"/>
    <w:rsid w:val="00437209"/>
    <w:rsid w:val="00465707"/>
    <w:rsid w:val="004676E4"/>
    <w:rsid w:val="00470257"/>
    <w:rsid w:val="0047264F"/>
    <w:rsid w:val="004869A7"/>
    <w:rsid w:val="00486FFD"/>
    <w:rsid w:val="00491EE7"/>
    <w:rsid w:val="0049299F"/>
    <w:rsid w:val="00495548"/>
    <w:rsid w:val="004A1AF8"/>
    <w:rsid w:val="004A74A4"/>
    <w:rsid w:val="004A78F6"/>
    <w:rsid w:val="004B221D"/>
    <w:rsid w:val="004C2B18"/>
    <w:rsid w:val="004D104B"/>
    <w:rsid w:val="004D2236"/>
    <w:rsid w:val="004D5A8C"/>
    <w:rsid w:val="004E388B"/>
    <w:rsid w:val="004E776E"/>
    <w:rsid w:val="004F3817"/>
    <w:rsid w:val="004F590A"/>
    <w:rsid w:val="0050130F"/>
    <w:rsid w:val="00502F3D"/>
    <w:rsid w:val="005267AC"/>
    <w:rsid w:val="00527411"/>
    <w:rsid w:val="005279B6"/>
    <w:rsid w:val="00550647"/>
    <w:rsid w:val="00580B12"/>
    <w:rsid w:val="00587300"/>
    <w:rsid w:val="00591B3A"/>
    <w:rsid w:val="00593514"/>
    <w:rsid w:val="00594464"/>
    <w:rsid w:val="005A57CC"/>
    <w:rsid w:val="005A6B97"/>
    <w:rsid w:val="005C3EB9"/>
    <w:rsid w:val="005D105A"/>
    <w:rsid w:val="00625F36"/>
    <w:rsid w:val="00634088"/>
    <w:rsid w:val="00646C52"/>
    <w:rsid w:val="00646D11"/>
    <w:rsid w:val="00655D4F"/>
    <w:rsid w:val="0065662B"/>
    <w:rsid w:val="00661ED1"/>
    <w:rsid w:val="006626AF"/>
    <w:rsid w:val="00662863"/>
    <w:rsid w:val="00667278"/>
    <w:rsid w:val="00671DD9"/>
    <w:rsid w:val="0068031A"/>
    <w:rsid w:val="006808CC"/>
    <w:rsid w:val="00697E37"/>
    <w:rsid w:val="006A1F60"/>
    <w:rsid w:val="006A3BB6"/>
    <w:rsid w:val="006E3E97"/>
    <w:rsid w:val="006F4646"/>
    <w:rsid w:val="00705DC8"/>
    <w:rsid w:val="007150D8"/>
    <w:rsid w:val="007462AF"/>
    <w:rsid w:val="007471F1"/>
    <w:rsid w:val="007759A6"/>
    <w:rsid w:val="007816C7"/>
    <w:rsid w:val="00783447"/>
    <w:rsid w:val="0078392B"/>
    <w:rsid w:val="0079704D"/>
    <w:rsid w:val="007B7560"/>
    <w:rsid w:val="007C74E0"/>
    <w:rsid w:val="007D06F1"/>
    <w:rsid w:val="007D3385"/>
    <w:rsid w:val="007F60B5"/>
    <w:rsid w:val="00810EC6"/>
    <w:rsid w:val="00812AED"/>
    <w:rsid w:val="00815835"/>
    <w:rsid w:val="0082026B"/>
    <w:rsid w:val="00830352"/>
    <w:rsid w:val="00832176"/>
    <w:rsid w:val="0083711C"/>
    <w:rsid w:val="008544E1"/>
    <w:rsid w:val="0086418A"/>
    <w:rsid w:val="00864D64"/>
    <w:rsid w:val="00887FBD"/>
    <w:rsid w:val="00896916"/>
    <w:rsid w:val="00897B8A"/>
    <w:rsid w:val="008A56B9"/>
    <w:rsid w:val="008B36BF"/>
    <w:rsid w:val="008B5764"/>
    <w:rsid w:val="008D09CA"/>
    <w:rsid w:val="008F0109"/>
    <w:rsid w:val="008F2DC2"/>
    <w:rsid w:val="008F54BD"/>
    <w:rsid w:val="009117FA"/>
    <w:rsid w:val="00927F12"/>
    <w:rsid w:val="00930605"/>
    <w:rsid w:val="009667A4"/>
    <w:rsid w:val="00981CAC"/>
    <w:rsid w:val="00981DEF"/>
    <w:rsid w:val="00994331"/>
    <w:rsid w:val="00994DCF"/>
    <w:rsid w:val="00995175"/>
    <w:rsid w:val="009966CB"/>
    <w:rsid w:val="00997820"/>
    <w:rsid w:val="009A75BB"/>
    <w:rsid w:val="009B2B04"/>
    <w:rsid w:val="009D01EE"/>
    <w:rsid w:val="009D1660"/>
    <w:rsid w:val="009D513B"/>
    <w:rsid w:val="009D662C"/>
    <w:rsid w:val="009D770D"/>
    <w:rsid w:val="009E6351"/>
    <w:rsid w:val="00A25E9B"/>
    <w:rsid w:val="00A27EAB"/>
    <w:rsid w:val="00A34818"/>
    <w:rsid w:val="00A45FB8"/>
    <w:rsid w:val="00A503BD"/>
    <w:rsid w:val="00A73CF4"/>
    <w:rsid w:val="00A84A08"/>
    <w:rsid w:val="00A8694C"/>
    <w:rsid w:val="00A87331"/>
    <w:rsid w:val="00A91676"/>
    <w:rsid w:val="00AA572B"/>
    <w:rsid w:val="00AA5821"/>
    <w:rsid w:val="00AB7467"/>
    <w:rsid w:val="00AE45C4"/>
    <w:rsid w:val="00B00ACC"/>
    <w:rsid w:val="00B109F8"/>
    <w:rsid w:val="00B131F1"/>
    <w:rsid w:val="00B23CE9"/>
    <w:rsid w:val="00B273F4"/>
    <w:rsid w:val="00B62B90"/>
    <w:rsid w:val="00B64AE2"/>
    <w:rsid w:val="00B72087"/>
    <w:rsid w:val="00B93C35"/>
    <w:rsid w:val="00B94BFE"/>
    <w:rsid w:val="00B96CD0"/>
    <w:rsid w:val="00BA690B"/>
    <w:rsid w:val="00BA7AF6"/>
    <w:rsid w:val="00BB1DC9"/>
    <w:rsid w:val="00BB3B44"/>
    <w:rsid w:val="00BB4307"/>
    <w:rsid w:val="00BC0BB8"/>
    <w:rsid w:val="00BC0F57"/>
    <w:rsid w:val="00BD38B1"/>
    <w:rsid w:val="00BE2C85"/>
    <w:rsid w:val="00BF5F01"/>
    <w:rsid w:val="00C0087D"/>
    <w:rsid w:val="00C041DF"/>
    <w:rsid w:val="00C062EB"/>
    <w:rsid w:val="00C122A4"/>
    <w:rsid w:val="00C176D8"/>
    <w:rsid w:val="00C2663E"/>
    <w:rsid w:val="00C33446"/>
    <w:rsid w:val="00C42F66"/>
    <w:rsid w:val="00C43081"/>
    <w:rsid w:val="00C619F7"/>
    <w:rsid w:val="00C62995"/>
    <w:rsid w:val="00C639EA"/>
    <w:rsid w:val="00C65A1B"/>
    <w:rsid w:val="00C66897"/>
    <w:rsid w:val="00C74F1D"/>
    <w:rsid w:val="00C821D5"/>
    <w:rsid w:val="00C9207B"/>
    <w:rsid w:val="00C93B0C"/>
    <w:rsid w:val="00CA567C"/>
    <w:rsid w:val="00CB13F4"/>
    <w:rsid w:val="00CB38B3"/>
    <w:rsid w:val="00CB70C5"/>
    <w:rsid w:val="00CD4A23"/>
    <w:rsid w:val="00CD7369"/>
    <w:rsid w:val="00CE633D"/>
    <w:rsid w:val="00D10BEE"/>
    <w:rsid w:val="00D1508D"/>
    <w:rsid w:val="00D2057E"/>
    <w:rsid w:val="00D2376F"/>
    <w:rsid w:val="00D23B89"/>
    <w:rsid w:val="00D2506F"/>
    <w:rsid w:val="00D263C6"/>
    <w:rsid w:val="00D57CF8"/>
    <w:rsid w:val="00D60BF7"/>
    <w:rsid w:val="00D70252"/>
    <w:rsid w:val="00D70D18"/>
    <w:rsid w:val="00D83A01"/>
    <w:rsid w:val="00D90AAA"/>
    <w:rsid w:val="00D92277"/>
    <w:rsid w:val="00D974FD"/>
    <w:rsid w:val="00DA0C65"/>
    <w:rsid w:val="00DB54A2"/>
    <w:rsid w:val="00DD098D"/>
    <w:rsid w:val="00DD2599"/>
    <w:rsid w:val="00DD4B7F"/>
    <w:rsid w:val="00DD6CF3"/>
    <w:rsid w:val="00DE76A7"/>
    <w:rsid w:val="00DF1756"/>
    <w:rsid w:val="00E0538C"/>
    <w:rsid w:val="00E1407E"/>
    <w:rsid w:val="00E32E74"/>
    <w:rsid w:val="00E56F00"/>
    <w:rsid w:val="00E61388"/>
    <w:rsid w:val="00E7262E"/>
    <w:rsid w:val="00E76409"/>
    <w:rsid w:val="00E94CD4"/>
    <w:rsid w:val="00EA2751"/>
    <w:rsid w:val="00EA49C5"/>
    <w:rsid w:val="00EA51AD"/>
    <w:rsid w:val="00EB1C36"/>
    <w:rsid w:val="00EB1FB8"/>
    <w:rsid w:val="00ED0B2E"/>
    <w:rsid w:val="00ED7AE1"/>
    <w:rsid w:val="00EE7E20"/>
    <w:rsid w:val="00F0340D"/>
    <w:rsid w:val="00F05F40"/>
    <w:rsid w:val="00F06026"/>
    <w:rsid w:val="00F16AAF"/>
    <w:rsid w:val="00F179EE"/>
    <w:rsid w:val="00F213F4"/>
    <w:rsid w:val="00F231FC"/>
    <w:rsid w:val="00F27FA5"/>
    <w:rsid w:val="00F3290F"/>
    <w:rsid w:val="00F367B6"/>
    <w:rsid w:val="00F37BF3"/>
    <w:rsid w:val="00F43BA1"/>
    <w:rsid w:val="00F45090"/>
    <w:rsid w:val="00F53CD8"/>
    <w:rsid w:val="00F715E8"/>
    <w:rsid w:val="00F73ED8"/>
    <w:rsid w:val="00F83769"/>
    <w:rsid w:val="00F859CD"/>
    <w:rsid w:val="00F95ABF"/>
    <w:rsid w:val="00F9737C"/>
    <w:rsid w:val="00FA6B54"/>
    <w:rsid w:val="00FB178F"/>
    <w:rsid w:val="00FD0DC2"/>
    <w:rsid w:val="00FE2C1E"/>
    <w:rsid w:val="00FE6B8B"/>
    <w:rsid w:val="00FF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3E9E5A"/>
  <w15:docId w15:val="{788DCC13-AF70-4DF6-8663-0D0C6439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F7434"/>
    <w:rPr>
      <w:rFonts w:ascii="Times New Roman" w:eastAsia="Times New Roman" w:hAnsi="Times New Roman" w:cs="Times New Roman"/>
      <w:lang w:eastAsia="es-ES_tradnl"/>
    </w:rPr>
  </w:style>
  <w:style w:type="paragraph" w:styleId="Ttulo1">
    <w:name w:val="heading 1"/>
    <w:basedOn w:val="Normal"/>
    <w:next w:val="Normal"/>
    <w:uiPriority w:val="9"/>
    <w:qFormat/>
    <w:rsid w:val="00CD7369"/>
    <w:pPr>
      <w:jc w:val="center"/>
      <w:outlineLvl w:val="0"/>
    </w:pPr>
    <w:rPr>
      <w:rFonts w:eastAsia="Noto Sans" w:cs="Noto Sans"/>
      <w:b/>
      <w:color w:val="670E35"/>
      <w:lang w:eastAsia="es-MX"/>
    </w:rPr>
  </w:style>
  <w:style w:type="paragraph" w:styleId="Ttulo2">
    <w:name w:val="heading 2"/>
    <w:basedOn w:val="Normal"/>
    <w:next w:val="Normal"/>
    <w:uiPriority w:val="9"/>
    <w:unhideWhenUsed/>
    <w:qFormat/>
    <w:rsid w:val="00D70252"/>
    <w:pPr>
      <w:jc w:val="center"/>
      <w:outlineLvl w:val="1"/>
    </w:pPr>
    <w:rPr>
      <w:rFonts w:eastAsia="Montserrat Light" w:cs="Montserrat Light"/>
      <w:b/>
      <w:color w:val="666666"/>
      <w:lang w:eastAsia="es-MX"/>
    </w:rPr>
  </w:style>
  <w:style w:type="paragraph" w:styleId="Ttulo3">
    <w:name w:val="heading 3"/>
    <w:basedOn w:val="Normal"/>
    <w:next w:val="Normal"/>
    <w:uiPriority w:val="9"/>
    <w:unhideWhenUsed/>
    <w:qFormat/>
    <w:rsid w:val="00CD7369"/>
    <w:pPr>
      <w:shd w:val="clear" w:color="auto" w:fill="670E35"/>
      <w:outlineLvl w:val="2"/>
    </w:pPr>
    <w:rPr>
      <w:b/>
      <w:color w:val="FFFFFF"/>
      <w:lang w:eastAsia="es-MX"/>
    </w:rPr>
  </w:style>
  <w:style w:type="paragraph" w:styleId="Ttulo4">
    <w:name w:val="heading 4"/>
    <w:basedOn w:val="Normal"/>
    <w:next w:val="Normal"/>
    <w:uiPriority w:val="9"/>
    <w:unhideWhenUsed/>
    <w:qFormat/>
    <w:rsid w:val="00D70252"/>
    <w:pPr>
      <w:keepNext/>
      <w:keepLines/>
      <w:numPr>
        <w:numId w:val="1"/>
      </w:numPr>
      <w:spacing w:before="240" w:after="40"/>
      <w:ind w:left="709" w:hanging="709"/>
      <w:outlineLvl w:val="3"/>
    </w:pPr>
    <w:rPr>
      <w:b/>
      <w:lang w:eastAsia="es-MX"/>
    </w:rPr>
  </w:style>
  <w:style w:type="paragraph" w:styleId="Ttulo5">
    <w:name w:val="heading 5"/>
    <w:basedOn w:val="Ttulo2"/>
    <w:next w:val="Normal"/>
    <w:uiPriority w:val="9"/>
    <w:unhideWhenUsed/>
    <w:qFormat/>
    <w:rsid w:val="00D70252"/>
    <w:pPr>
      <w:jc w:val="right"/>
      <w:outlineLvl w:val="4"/>
    </w:pPr>
    <w:rPr>
      <w:b w:val="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  <w:lang w:eastAsia="es-MX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  <w:rPr>
      <w:lang w:eastAsia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  <w:rPr>
      <w:lang w:eastAsia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s-MX"/>
    </w:rPr>
  </w:style>
  <w:style w:type="paragraph" w:styleId="NormalWeb">
    <w:name w:val="Normal (Web)"/>
    <w:basedOn w:val="Normal"/>
    <w:uiPriority w:val="99"/>
    <w:unhideWhenUsed/>
    <w:rsid w:val="00C84662"/>
    <w:pPr>
      <w:spacing w:before="100" w:beforeAutospacing="1" w:after="100" w:afterAutospacing="1"/>
    </w:pPr>
    <w:rPr>
      <w:lang w:eastAsia="es-MX"/>
    </w:rPr>
  </w:style>
  <w:style w:type="paragraph" w:styleId="Prrafodelista">
    <w:name w:val="List Paragraph"/>
    <w:basedOn w:val="Normal"/>
    <w:uiPriority w:val="34"/>
    <w:qFormat/>
    <w:rsid w:val="001E119D"/>
    <w:pPr>
      <w:ind w:left="720"/>
      <w:contextualSpacing/>
    </w:pPr>
    <w:rPr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E119D"/>
    <w:rPr>
      <w:rFonts w:ascii="Segoe UI" w:hAnsi="Segoe UI" w:cs="Segoe UI"/>
      <w:sz w:val="18"/>
      <w:szCs w:val="18"/>
      <w:lang w:eastAsia="es-MX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119D"/>
    <w:rPr>
      <w:rFonts w:ascii="Segoe UI" w:eastAsiaTheme="minorEastAsia" w:hAnsi="Segoe UI" w:cs="Segoe UI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unhideWhenUsed/>
    <w:rsid w:val="00021984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8D09CA"/>
    <w:rPr>
      <w:b/>
      <w:bCs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D09CA"/>
    <w:rPr>
      <w:sz w:val="20"/>
      <w:szCs w:val="20"/>
      <w:lang w:eastAsia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D09CA"/>
    <w:rPr>
      <w:rFonts w:ascii="Montserrat" w:eastAsia="Montserrat" w:hAnsi="Montserrat" w:cs="Montserrat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8D09CA"/>
    <w:rPr>
      <w:vertAlign w:val="superscript"/>
    </w:rPr>
  </w:style>
  <w:style w:type="table" w:styleId="Tablaconcuadrcula">
    <w:name w:val="Table Grid"/>
    <w:basedOn w:val="Tablanormal"/>
    <w:uiPriority w:val="39"/>
    <w:rsid w:val="00E764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3">
    <w:name w:val="Grid Table 4 Accent 3"/>
    <w:basedOn w:val="Tablanormal"/>
    <w:uiPriority w:val="49"/>
    <w:rsid w:val="00C176D8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810EC6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13733B"/>
    <w:rPr>
      <w:color w:val="605E5C"/>
      <w:shd w:val="clear" w:color="auto" w:fill="E1DFDD"/>
    </w:rPr>
  </w:style>
  <w:style w:type="paragraph" w:customStyle="1" w:styleId="n01">
    <w:name w:val="n01"/>
    <w:basedOn w:val="Normal"/>
    <w:rsid w:val="00431758"/>
    <w:pPr>
      <w:keepLines/>
      <w:spacing w:before="240"/>
      <w:ind w:left="720" w:hanging="720"/>
    </w:pPr>
    <w:rPr>
      <w:rFonts w:ascii="Univers (W1)" w:hAnsi="Univers (W1)" w:cs="Arial"/>
      <w:color w:val="800080"/>
      <w:lang w:val="es-ES_tradnl" w:eastAsia="es-ES"/>
    </w:rPr>
  </w:style>
  <w:style w:type="table" w:styleId="Tablaconcuadrcula1clara-nfasis6">
    <w:name w:val="Grid Table 1 Light Accent 6"/>
    <w:basedOn w:val="Tablanormal"/>
    <w:uiPriority w:val="46"/>
    <w:rsid w:val="00054FB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6">
    <w:name w:val="Grid Table 2 Accent 6"/>
    <w:basedOn w:val="Tablanormal"/>
    <w:uiPriority w:val="47"/>
    <w:rsid w:val="00054FB9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Nmerodepgina">
    <w:name w:val="page number"/>
    <w:basedOn w:val="Fuentedeprrafopredeter"/>
    <w:uiPriority w:val="99"/>
    <w:semiHidden/>
    <w:unhideWhenUsed/>
    <w:rsid w:val="008544E1"/>
  </w:style>
  <w:style w:type="character" w:styleId="Hipervnculovisitado">
    <w:name w:val="FollowedHyperlink"/>
    <w:basedOn w:val="Fuentedeprrafopredeter"/>
    <w:uiPriority w:val="99"/>
    <w:semiHidden/>
    <w:unhideWhenUsed/>
    <w:rsid w:val="00502F3D"/>
    <w:rPr>
      <w:color w:val="96607D"/>
      <w:u w:val="single"/>
    </w:rPr>
  </w:style>
  <w:style w:type="paragraph" w:customStyle="1" w:styleId="msonormal0">
    <w:name w:val="msonormal"/>
    <w:basedOn w:val="Normal"/>
    <w:rsid w:val="00502F3D"/>
    <w:pPr>
      <w:spacing w:before="100" w:beforeAutospacing="1" w:after="100" w:afterAutospacing="1"/>
    </w:pPr>
    <w:rPr>
      <w:lang w:eastAsia="es-MX"/>
    </w:rPr>
  </w:style>
  <w:style w:type="paragraph" w:customStyle="1" w:styleId="xl65">
    <w:name w:val="xl65"/>
    <w:basedOn w:val="Normal"/>
    <w:rsid w:val="00502F3D"/>
    <w:pPr>
      <w:spacing w:before="100" w:beforeAutospacing="1" w:after="100" w:afterAutospacing="1"/>
    </w:pPr>
    <w:rPr>
      <w:lang w:eastAsia="es-MX"/>
    </w:rPr>
  </w:style>
  <w:style w:type="paragraph" w:customStyle="1" w:styleId="xl66">
    <w:name w:val="xl66"/>
    <w:basedOn w:val="Normal"/>
    <w:rsid w:val="00502F3D"/>
    <w:pPr>
      <w:spacing w:before="100" w:beforeAutospacing="1" w:after="100" w:afterAutospacing="1"/>
    </w:pPr>
    <w:rPr>
      <w:rFonts w:ascii="Calibri" w:hAnsi="Calibri" w:cs="Calibri"/>
      <w:color w:val="000000"/>
      <w:lang w:eastAsia="es-MX"/>
    </w:rPr>
  </w:style>
  <w:style w:type="table" w:styleId="Tablaconcuadrcula4-nfasis6">
    <w:name w:val="Grid Table 4 Accent 6"/>
    <w:basedOn w:val="Tablanormal"/>
    <w:uiPriority w:val="49"/>
    <w:rsid w:val="00502F3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xl67">
    <w:name w:val="xl67"/>
    <w:basedOn w:val="Normal"/>
    <w:rsid w:val="00E94CD4"/>
    <w:pPr>
      <w:spacing w:before="100" w:beforeAutospacing="1" w:after="100" w:afterAutospacing="1"/>
    </w:pPr>
    <w:rPr>
      <w:lang w:eastAsia="es-MX"/>
    </w:rPr>
  </w:style>
  <w:style w:type="paragraph" w:customStyle="1" w:styleId="xl68">
    <w:name w:val="xl68"/>
    <w:basedOn w:val="Normal"/>
    <w:rsid w:val="00E94CD4"/>
    <w:pPr>
      <w:spacing w:before="100" w:beforeAutospacing="1" w:after="100" w:afterAutospacing="1"/>
    </w:pPr>
    <w:rPr>
      <w:rFonts w:ascii="Calibri" w:hAnsi="Calibri" w:cs="Calibri"/>
      <w:color w:val="000000"/>
      <w:lang w:eastAsia="es-MX"/>
    </w:rPr>
  </w:style>
  <w:style w:type="paragraph" w:customStyle="1" w:styleId="pdq2pgselectionanchorcontainer">
    <w:name w:val="pdq2pg_selectionanchorcontainer"/>
    <w:basedOn w:val="Normal"/>
    <w:rsid w:val="00360F5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9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04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4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0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2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3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67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9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0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2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6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4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15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7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4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1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4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4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3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23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6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4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8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13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98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5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1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66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78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5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2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6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9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67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7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7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2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9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8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8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7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92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0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2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7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4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1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5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FpWPCfcsQFbrBypFpD4BWtRFLg==">CgMxLjA4AHIhMWpKWC1ZV1ZyUWxfelVTd2oxcUhWdVVqaW9sTHRWRGpD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CA59C35-DE6A-9449-92F0-226F3F8A0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451</Words>
  <Characters>2482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Ximena Escobedo Juárez</dc:creator>
  <cp:lastModifiedBy>Luis Enrique Buendía</cp:lastModifiedBy>
  <cp:revision>28</cp:revision>
  <cp:lastPrinted>2026-06-17T17:31:00Z</cp:lastPrinted>
  <dcterms:created xsi:type="dcterms:W3CDTF">2026-07-24T04:18:00Z</dcterms:created>
  <dcterms:modified xsi:type="dcterms:W3CDTF">2026-08-04T14:42:00Z</dcterms:modified>
</cp:coreProperties>
</file>