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cambia la cantidad de datos usados para el conjunto de entrenamiento y test dejando 80% y 20% respectivamente. Adicional, se agrega ruido a los datos de 10 para tener datos más realistas. Se dejan los demás hiper parámetros por default.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 xml:space="preserve">De acuerdo con los resultados obtenidos se puede ver un entrenamiento correcto en 281 épocas, donde es capaz de clasificar la mayoría de los datos correctamente.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este ejemplo se cambió la distribución de los datos a la forma spiral, se aumentó el ruido y el batch size. Adicional, se le agrega regularización de 0.001. 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Se evidencia que después de 787 épocas el modelo no logra ajustarse bien a los datos, para poder clasificar de forma correcta. Incluso agregando una neurona adicional en la capa oculta.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continua con el ejemplo anterior, se cambia la función de activación a Sigmoid y se aumenta el learning rate.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El modelo después de 693 épocas no logra ajustarse y en cambio se muestra con un resultado peor que el obtenido con los hiper parámetros del punto anterior.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cambia el learning rate, la función de activación y la regularización. Y se agrega una neurona en la capa profunda.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Se obtuvieron resultados similares al punto 2 después de 792 épocas.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mantienen los hiper parámetros del punto 4, pero se cambia la distribución de los datos a Gaussian. 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Se evidencia un comportamiento bueno, alcanzando métricas de clasificación deseadas.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realiza un ejemplo para regresión aumentando las neuronas de la capa profunda a 8, cambiando la función de activación a Tanh, los demás parámetros se conservaron igual al punto 4. La distribución de datos usada fue MultiGaussian.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Los resultados arrojados son buenos.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