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aseguramiento de la calidad</w:t>
      </w:r>
    </w:p>
    <w:p>
      <w:r>
        <w:t>Criterios de aceptación, evidencias y decisiones para el avance 2 y los entregables del proyecto.</w:t>
      </w:r>
    </w:p>
    <w:p>
      <w:r>
        <w:t>BMAD-Governance Layer · PdG-1 · Corte de evidencia: 14 de octubre de 2026</w:t>
      </w:r>
    </w:p>
    <w:p>
      <w:pPr>
        <w:pStyle w:val="Heading1"/>
      </w:pPr>
      <w:r>
        <w:t>1. Alcance y responsabilidades</w:t>
      </w:r>
    </w:p>
    <w:p>
      <w:r>
        <w:t>El plan cubre la calidad del proceso, los documentos, el corpus E1, los perfiles E2, el skill E3 y los protocolos E4/E5. Luis coordina los entregables y la primera clasificación; Santiago verifica reproducibilidad y participa como segundo evaluador. El tutor valida la delimitación de la contribución y los hitos académicos. Una asignación en Jira no sustituye esa validación.</w:t>
      </w:r>
    </w:p>
    <w:p>
      <w:pPr>
        <w:pStyle w:val="Heading1"/>
      </w:pPr>
      <w:r>
        <w:t>2. Criterios por entregable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03E60"/>
          </w:tcPr>
          <w:p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556"/>
            <w:shd w:fill="203E60"/>
          </w:tcPr>
          <w:p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2556"/>
            <w:shd w:fill="203E60"/>
          </w:tcPr>
          <w:p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2556"/>
            <w:shd w:fill="203E60"/>
          </w:tcPr>
          <w:p>
            <w:r>
              <w:rPr>
                <w:b/>
                <w:color w:val="FFFFFF"/>
                <w:sz w:val="17"/>
              </w:rPr>
              <w:t>Estado al corte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Anteproyecto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Secciones y nombres consistentes; TEA contrastado con versión fijada; propuesta identificada como objetivo; fechas 16/09, 18/10, 15/11 y presentación 22/10.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Word/PDF, matriz, Gantt, auditoría de cambios.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Revisado técnicamente; falta validación del tutor.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E1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Inventario con fuente/línea y triage; separar A/B y S14; clasificación validada; muestra independiente; acuerdo e interpretación.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CSV, XLSX, hashes, revisión de categorías y resultados de ambos evaluadores.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Inventario y auditoría completos; evaluación humana pendiente.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E2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TOML válido, tres perfiles, criterio con evidencia o marcado como hipótesis; pruebas de casos capturables y no capturables.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Perfil propuesto, matriz hallazgo–criterio y ensayos del checkpoint.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Propuesta trazable; validación de captura pendiente.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E3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Paquete instalable versionado; instrucciones reproducibles; pruebas ejecutadas y transcript e2e; bloqueos demostrados sin modificar el núcleo.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Paquete, commit/tag, salida de pruebas y evidencia e2e.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Paquete original no disponible en las fuentes inspeccionadas.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E4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Protocolo y plantilla; pruebas fallan por el motivo previsto antes de implementar; mismos tests pasan después; limitaciones documentadas.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Protocolo revisado, hashes, commit rojo y logs rojo/verde.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Ejemplo auxiliar ejecutado; no certifica el paquete original.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E5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Referencia al diseño aprobado, consulta previa y divergencias registradas; pruebas de interacción pertinentes.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Artefacto de diseño y registro de consulta por historia.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Guía original y aprobación de diseño no disponibles.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Seguimiento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Estados acordes a evidencia, fechas reales, responsables y bloqueos; actas de reuniones que realmente ocurrieron.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Jira, registro de cambios y actas validadas.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Tablero operativo; actas del tutor pendientes.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Entrega 2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Archivos revisados y consistentes, revisión de tutor/lector y comprobante institucional de envío.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Lista de entrega y comprobante real.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Paquete preparado para revisión; no enviado por esta sesión.</w:t>
            </w:r>
          </w:p>
        </w:tc>
      </w:tr>
    </w:tbl>
    <w:p>
      <w:pPr>
        <w:pStyle w:val="Heading1"/>
      </w:pPr>
      <w:r>
        <w:t>3. Verificación y compuertas</w:t>
      </w:r>
    </w:p>
    <w:p>
      <w:r>
        <w:t>Antes de desarrollar: identificar historia, perfil, criterio, entorno y versión. Antes de declarar listo: ejecutar verificaciones pertinentes y enlazar la evidencia exacta. Cuando no exista el artefacto, falte una evaluación o falle el entorno, mantener el estado pendiente o en curso con el impedimento escrito. La presencia de un archivo o un resumen de un agente no prueba que todos sus criterios estén satisfechos.</w:t>
      </w:r>
    </w:p>
    <w:p>
      <w:r>
        <w:t>Evidencia reproducida: 381 pruebas unitarias/de integración y 45 archivos pasan; build de producción pasa con claves locales de prueba y backend sin arrancar. La integración completa con Supabase no se certifica a partir de esos resultados. Ocho pruebas del cálculo de acuerdo tienen evidencia roja y verde con el mismo hash de tests.</w:t>
      </w:r>
    </w:p>
    <w:p>
      <w:pPr>
        <w:pStyle w:val="Heading1"/>
      </w:pPr>
      <w:r>
        <w:t>4. Gestión de cambios y cierre</w:t>
      </w:r>
    </w:p>
    <w:p>
      <w:r>
        <w:t>Mantener baseline-v0 y los tags S01–S14. Todo cambio de producto posterior queda fuera del muestreo E1 salvo decisión metodológica explícita. Conservar fuentes crudas, repetir la extracción determinista y revisar los totales. Registrar versión de modelo y cambios de procedimiento. El cierre académico requiere criterios y evidencias, no solo mover tarjetas a Done.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