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reproducibilidad de baseline-v0</w:t>
      </w:r>
    </w:p>
    <w:p>
      <w:r>
        <w:t>Verificación independiente asistida y condiciones exactas del entorno local.</w:t>
      </w:r>
    </w:p>
    <w:p>
      <w:r>
        <w:t>BMAD-Governance Layer · PdG-1 · Corte de evidencia: 14 de octubre de 2026</w:t>
      </w:r>
    </w:p>
    <w:p>
      <w:r>
        <w:t>Commit de control: 4c9f927685f4e0ef7a9b0093b6818d696edaa2b9. Se creó un worktree aislado, se instalaron dependencias desde package-lock.json y se ejecutaron las verificaciones. No se modificó la condición de control ni se conectó a un entorno de producción.</w:t>
      </w:r>
    </w:p>
    <w:tbl>
      <w:tblPr>
        <w:tblStyle w:val="TableGrid"/>
        <w:tblW w:type="auto" w:w="0"/>
        <w:tblLook w:firstColumn="1" w:firstRow="1" w:lastColumn="0" w:lastRow="0" w:noHBand="0" w:noVBand="1" w:val="04A0"/>
      </w:tblPr>
      <w:tblGrid>
        <w:gridCol w:w="3408"/>
        <w:gridCol w:w="3408"/>
        <w:gridCol w:w="3408"/>
      </w:tblGrid>
      <w:tr>
        <w:tc>
          <w:tcPr>
            <w:tcW w:type="dxa" w:w="3408"/>
            <w:shd w:fill="203E60"/>
          </w:tcPr>
          <w:p>
            <w:r>
              <w:rPr>
                <w:b/>
                <w:color w:val="FFFFFF"/>
                <w:sz w:val="18"/>
              </w:rPr>
              <w:t>Paso</w:t>
            </w:r>
          </w:p>
        </w:tc>
        <w:tc>
          <w:tcPr>
            <w:tcW w:type="dxa" w:w="3408"/>
            <w:shd w:fill="203E60"/>
          </w:tcPr>
          <w:p>
            <w:r>
              <w:rPr>
                <w:b/>
                <w:color w:val="FFFFFF"/>
                <w:sz w:val="18"/>
              </w:rPr>
              <w:t>Resultado</w:t>
            </w:r>
          </w:p>
        </w:tc>
        <w:tc>
          <w:tcPr>
            <w:tcW w:type="dxa" w:w="3408"/>
            <w:shd w:fill="203E60"/>
          </w:tcPr>
          <w:p>
            <w:r>
              <w:rPr>
                <w:b/>
                <w:color w:val="FFFFFF"/>
                <w:sz w:val="18"/>
              </w:rPr>
              <w:t>Límite</w:t>
            </w:r>
          </w:p>
        </w:tc>
      </w:tr>
      <w:tr>
        <w:tc>
          <w:tcPr>
            <w:tcW w:type="dxa" w:w="3408"/>
          </w:tcPr>
          <w:p>
            <w:r>
              <w:rPr>
                <w:sz w:val="18"/>
              </w:rPr>
              <w:t>npm ci</w:t>
            </w:r>
          </w:p>
        </w:tc>
        <w:tc>
          <w:tcPr>
            <w:tcW w:type="dxa" w:w="3408"/>
          </w:tcPr>
          <w:p>
            <w:r>
              <w:rPr>
                <w:sz w:val="18"/>
              </w:rPr>
              <w:t>449 paquetes instalados; lockfile conservado.</w:t>
            </w:r>
          </w:p>
        </w:tc>
        <w:tc>
          <w:tcPr>
            <w:tcW w:type="dxa" w:w="3408"/>
          </w:tcPr>
          <w:p>
            <w:r>
              <w:rPr>
                <w:sz w:val="18"/>
              </w:rPr>
              <w:t>Las advertencias de dependencias se registran; no se ejecutó una actualización que cambie la línea base.</w:t>
            </w:r>
          </w:p>
        </w:tc>
      </w:tr>
      <w:tr>
        <w:tc>
          <w:tcPr>
            <w:tcW w:type="dxa" w:w="3408"/>
          </w:tcPr>
          <w:p>
            <w:r>
              <w:rPr>
                <w:sz w:val="18"/>
              </w:rPr>
              <w:t>npm test</w:t>
            </w:r>
          </w:p>
        </w:tc>
        <w:tc>
          <w:tcPr>
            <w:tcW w:type="dxa" w:w="3408"/>
          </w:tcPr>
          <w:p>
            <w:r>
              <w:rPr>
                <w:sz w:val="18"/>
              </w:rPr>
              <w:t>45 archivos y 381 pruebas pasan.</w:t>
            </w:r>
          </w:p>
        </w:tc>
        <w:tc>
          <w:tcPr>
            <w:tcW w:type="dxa" w:w="3408"/>
          </w:tcPr>
          <w:p>
            <w:r>
              <w:rPr>
                <w:sz w:val="18"/>
              </w:rPr>
              <w:t>No acredita una base de datos real ni un recorrido e2e completo.</w:t>
            </w:r>
          </w:p>
        </w:tc>
      </w:tr>
      <w:tr>
        <w:tc>
          <w:tcPr>
            <w:tcW w:type="dxa" w:w="3408"/>
          </w:tcPr>
          <w:p>
            <w:r>
              <w:rPr>
                <w:sz w:val="18"/>
              </w:rPr>
              <w:t>npm run build</w:t>
            </w:r>
          </w:p>
        </w:tc>
        <w:tc>
          <w:tcPr>
            <w:tcW w:type="dxa" w:w="3408"/>
          </w:tcPr>
          <w:p>
            <w:r>
              <w:rPr>
                <w:sz w:val="18"/>
              </w:rPr>
              <w:t>Compilación de producción exitosa.</w:t>
            </w:r>
          </w:p>
        </w:tc>
        <w:tc>
          <w:tcPr>
            <w:tcW w:type="dxa" w:w="3408"/>
          </w:tcPr>
          <w:p>
            <w:r>
              <w:rPr>
                <w:sz w:val="18"/>
              </w:rPr>
              <w:t>Claves locales de prueba; las consultas a Supabase no tienen backend arrancado.</w:t>
            </w:r>
          </w:p>
        </w:tc>
      </w:tr>
      <w:tr>
        <w:tc>
          <w:tcPr>
            <w:tcW w:type="dxa" w:w="3408"/>
          </w:tcPr>
          <w:p>
            <w:r>
              <w:rPr>
                <w:sz w:val="18"/>
              </w:rPr>
              <w:t>npm run dev</w:t>
            </w:r>
          </w:p>
        </w:tc>
        <w:tc>
          <w:tcPr>
            <w:tcW w:type="dxa" w:w="3408"/>
          </w:tcPr>
          <w:p>
            <w:r>
              <w:rPr>
                <w:sz w:val="18"/>
              </w:rPr>
              <w:t>Frontend accesible con HTTP 200 usando la configuración del README.</w:t>
            </w:r>
          </w:p>
        </w:tc>
        <w:tc>
          <w:tcPr>
            <w:tcW w:type="dxa" w:w="3408"/>
          </w:tcPr>
          <w:p>
            <w:r>
              <w:rPr>
                <w:sz w:val="18"/>
              </w:rPr>
              <w:t>La consulta real a Supabase y las mutaciones no están certificadas; se usaron claves locales de prueba.</w:t>
            </w:r>
          </w:p>
        </w:tc>
      </w:tr>
    </w:tbl>
    <w:p>
      <w:r>
        <w:t>El primer intento añadió --hostname 127.0.0.1 y observó redirecciones y un proxy a localhost que falló con ECONNREFUSED. Al repetir sin esa opción, siguiendo el README, el navegador recibió HTTP 200 y mostró la página de la plataforma. El fallo inicial era dependiente del ajuste del host y no se registra como defecto del producto. La evidencia final está en baseline-dev-readme-http.json, baseline-dev-readme.log y baseline-home-readme.png.</w:t>
      </w:r>
    </w:p>
    <w:p>
      <w:r>
        <w:t>El puerto habitual de base de datos local de Supabase ya estaba ocupado por otra instancia del equipo. No se detuvo, reseteó ni migró esa base existente. Las pruebas de RLS, escritura y autenticación real requieren una instancia aislada y sus credenciales locales. La evidencia disponible permite reproducir unidad y build y documentar los pasos de integración pendientes.</w:t>
      </w:r>
    </w:p>
    <w:p>
      <w:r>
        <w:drawing>
          <wp:inline xmlns:a="http://schemas.openxmlformats.org/drawingml/2006/main" xmlns:pic="http://schemas.openxmlformats.org/drawingml/2006/picture">
            <wp:extent cx="6217920" cy="8394192"/>
            <wp:docPr id="1" name="Picture 1"/>
            <wp:cNvGraphicFramePr>
              <a:graphicFrameLocks noChangeAspect="1"/>
            </wp:cNvGraphicFramePr>
            <a:graphic>
              <a:graphicData uri="http://schemas.openxmlformats.org/drawingml/2006/picture">
                <pic:pic>
                  <pic:nvPicPr>
                    <pic:cNvPr id="0" name="baseline-home-readme.png"/>
                    <pic:cNvPicPr/>
                  </pic:nvPicPr>
                  <pic:blipFill>
                    <a:blip r:embed="rId10"/>
                    <a:stretch>
                      <a:fillRect/>
                    </a:stretch>
                  </pic:blipFill>
                  <pic:spPr>
                    <a:xfrm>
                      <a:off x="0" y="0"/>
                      <a:ext cx="6217920" cy="8394192"/>
                    </a:xfrm>
                    <a:prstGeom prst="rect"/>
                  </pic:spPr>
                </pic:pic>
              </a:graphicData>
            </a:graphic>
          </wp:inline>
        </w:drawing>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