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after="200"/>
      </w:pPr>
      <w:r>
        <w:rPr>
          <w:rFonts w:ascii="Calibri" w:hAnsi="Calibri"/>
          <w:b/>
          <w:i w:val="0"/>
          <w:color w:val="2E74B5"/>
          <w:sz w:val="22"/>
        </w:rPr>
        <w:t>SOFTWARE DESIGN DESCRIPTION</w:t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17365D"/>
          <w:sz w:val="56"/>
        </w:rPr>
        <w:t>Sistema RAG productivo</w:t>
        <w:br/>
        <w:t>Ley 19.628 de Chile</w:t>
      </w:r>
    </w:p>
    <w:p>
      <w:pPr>
        <w:spacing w:after="560"/>
      </w:pPr>
      <w:r>
        <w:rPr>
          <w:rFonts w:ascii="Calibri" w:hAnsi="Calibri"/>
          <w:b w:val="0"/>
          <w:i w:val="0"/>
          <w:color w:val="667085"/>
          <w:sz w:val="30"/>
        </w:rPr>
        <w:t>Descripción detallada del diseño conforme a IEEE 1016-2009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Valor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Identificador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SDD-RAG-L19628-001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Estado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Línea base de producción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Fecha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de agosto de 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Sistema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Asistente RAG · Ley 19.628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URL productiva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https://rag-ley-19628-grupo1.fly.dev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Repositorio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github.com/luiscaroca-ai/rag-ley-19628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Estándar de organización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IEEE 1016-2009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Clasificación: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Documento técnico de diseño. No contiene secretos, claves API ni datos personales. La aplicación no reemplaza asesoría jurídica.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5160"/>
        <w:gridCol w:w="160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Versión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Fecha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Descripción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Responsable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2026-08-01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Emisión inicial basada en la versión productiva desplegada.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Equipo Grupo 1</w:t>
            </w:r>
          </w:p>
        </w:tc>
      </w:tr>
    </w:tbl>
    <w:p>
      <w:pPr>
        <w:spacing w:after="20"/>
      </w:pPr>
    </w:p>
    <w:p>
      <w:pPr>
        <w:pStyle w:val="Heading2"/>
      </w:pPr>
      <w:r>
        <w:t>Aprobaciones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2500"/>
        <w:gridCol w:w="18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Rol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Nombre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Fecha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Propietario del producto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de firma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Responsable técnico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 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de firma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Revisor de seguridad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Por designar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pStyle w:val="Heading2"/>
      </w:pPr>
      <w:r>
        <w:t>Declaración de conformidad</w:t>
      </w:r>
    </w:p>
    <w:p>
      <w:r>
        <w:rPr>
          <w:rFonts w:ascii="Calibri" w:hAnsi="Calibri"/>
          <w:b w:val="0"/>
          <w:i w:val="0"/>
          <w:color w:val="000000"/>
          <w:sz w:val="22"/>
        </w:rPr>
        <w:t>Este SDD organiza la información mediante vistas regidas por puntos de vista y documenta interesados, preocupaciones, entidades, relaciones, atributos, restricciones y fundamentos de diseño. Se emplean los doce puntos de vista definidos por IEEE 1016-2009 cuando resultan aplicables. IEEE clasifica actualmente el estándar como Inactive-Reserved; la conformidad declarada se refiere a su estructura y contenido, no a una certificación de IEEE.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1. Introducción y alcance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2. Referencias y definiciones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3. Interesados, preocupaciones y trazabilidad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4. Vista de contexto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5. Vista de composición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6. Vista lógica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7. Vista de dependencias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8. Vista de información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9. Vista de uso de patrones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10. Vista de interfaces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11. Vista de estructura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12. Vista de interacción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13. Vista de dinámica de estados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14. Vista de algoritmos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15. Vista de recursos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16. Decisiones y fundamentos de diseño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17. Seguridad, privacidad y operación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18. Verificación y criterios de aceptación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19. Riesgos, deuda técnica y evolución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Anexos A–D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Navegación: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Los identificadores VP-xx corresponden a puntos de vista; DE-xx a entidades; INT-xx a interfaces; AD-xx a decisiones; y RQ-xx a requisitos de diseño.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Introducción y alcance</w:t>
      </w:r>
    </w:p>
    <w:p>
      <w:pPr>
        <w:pStyle w:val="Heading2"/>
      </w:pPr>
      <w:r>
        <w:t>1.1 Propósito</w:t>
      </w:r>
    </w:p>
    <w:p>
      <w:r>
        <w:rPr>
          <w:rFonts w:ascii="Calibri" w:hAnsi="Calibri"/>
          <w:b w:val="0"/>
          <w:i w:val="0"/>
          <w:color w:val="000000"/>
          <w:sz w:val="22"/>
        </w:rPr>
        <w:t>Registrar y comunicar el diseño de la aplicación productiva que responde consultas sobre la Ley 19.628 de protección de datos personales de Chile usando recuperación aumentada por generación (RAG), fuentes legales y re-ranking. El documento sirve a desarrollo, pruebas, operación, seguridad, mantenimiento y evaluación académica.</w:t>
      </w:r>
    </w:p>
    <w:p>
      <w:pPr>
        <w:pStyle w:val="Heading2"/>
      </w:pPr>
      <w:r>
        <w:t>1.2 Alcance del sujeto de diseño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Incluye la aplicación web Gradio, el pipeline LangChain, el chunking por artículo, la indexación, las integraciones OpenAI/Qdrant y el despliegue Docker/Fly.io.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Incluye configuración, secretos, observabilidad básica, recuperación, re-ranking, generación y presentación de citas.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Excluye la infraestructura interna administrada por OpenAI, Qdrant Cloud y Fly.io; se documentan solo sus contratos externos.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Excluye asesoría jurídica, control de identidad, facturación, administración multiusuario y edición del corpus desde la interfaz.</w:t>
      </w:r>
    </w:p>
    <w:p>
      <w:pPr>
        <w:pStyle w:val="Heading2"/>
      </w:pPr>
      <w:r>
        <w:t>1.3 Objetivos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80"/>
        <w:gridCol w:w="448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39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Objetivo</w:t>
            </w:r>
          </w:p>
        </w:tc>
        <w:tc>
          <w:tcPr>
            <w:tcW w:type="dxa" w:w="4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Indicador de diseño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RQ-01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Responder solo con evidencia recuperada.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Prompt restrictivo y respuesta negativa explícita.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RQ-02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Citar el artículo fuente.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Metadata `articulo` incorporada al contexto.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RQ-03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Mejorar relevancia en preguntas complejas.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Top-20, juez LLM y umbral 0,55.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RQ-04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Desplegar de forma reproducible.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Dockerfile, fly.toml y configuración por entorno.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RQ-05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Evitar exposición de secretos.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`.env` ignorado y secretos cifrados en Fly.io.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RQ-06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Mantener continuidad operativa simple.</w:t>
            </w:r>
          </w:p>
        </w:tc>
        <w:tc>
          <w:tcPr>
            <w:tcW w:type="dxa" w:w="4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Health check, auto-start y una máquina siempre activa.</w:t>
            </w:r>
          </w:p>
        </w:tc>
      </w:tr>
    </w:tbl>
    <w:p>
      <w:pPr>
        <w:spacing w:after="20"/>
      </w:pPr>
    </w:p>
    <w:p>
      <w:pPr>
        <w:pStyle w:val="Heading2"/>
      </w:pPr>
      <w:r>
        <w:t>1.4 Restricciones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Corpus consolidado `Ley_19628_refundida_21719.txt`; cambios legales requieren reindexación.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Embeddings de 256 dimensiones y distancia coseno; la colección debe tener exactamente esa configuración.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Dependencia de conectividad externa y cuotas de OpenAI/Qdrant.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Una sola máquina productiva mientras Gradio mantenga estado SSE en memoria y no exista afinidad de sesión.</w:t>
      </w:r>
    </w:p>
    <w:p>
      <w:r>
        <w:br w:type="page"/>
      </w:r>
    </w:p>
    <w:p>
      <w:pPr>
        <w:pStyle w:val="Heading1"/>
      </w:pPr>
      <w:r>
        <w:t>2. Referencias y definiciones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Referencia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Uso en este SDD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IEEE Std 1016-2009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Organización del SDD mediante vistas, puntos de vista, preocupaciones y fundamentos.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Ley 19.628, texto consolidado con Ley 21.719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Corpus jurídico del sistema.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Repositorio `luiscaroca-ai/rag-ley-19628`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Fuente de verdad del diseño implementado.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Documentación OpenAI API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Contratos de embeddings, chat y salida estructurada.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Documentación Qdrant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Colecciones vectoriales, similitud coseno y búsqueda.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Documentación Fly.io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Máquinas, secretos, health checks, HTTPS y despliegue.</w:t>
            </w:r>
          </w:p>
        </w:tc>
      </w:tr>
    </w:tbl>
    <w:p>
      <w:pPr>
        <w:spacing w:after="20"/>
      </w:pPr>
    </w:p>
    <w:p>
      <w:pPr>
        <w:pStyle w:val="Heading2"/>
      </w:pPr>
      <w:r>
        <w:t>2.1 Términos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Término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Definición operativa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SDD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Software Design Description: representación del diseño para registrar y comunicar información.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RAG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Generación aumentada por recuperación; el LLM responde usando pasajes recuperados.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Chunk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Unidad indexable de texto legal con metadata de fuente, artículo y parte.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Embedding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Vector numérico que representa semánticamente una consulta o un chunk.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Re-ranking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Segunda evaluación de relevancia aplicada a candidatos recuperados.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Umbral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Score mínimo 0,55 para que un candidato pase al contexto final.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Vista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Representación del diseño que atiende preocupaciones específicas.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Punto de vista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Convenciones y elementos usados para construir una vista.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Interesados, preocupaciones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40"/>
        <w:gridCol w:w="262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Interesado</w:t>
            </w:r>
          </w:p>
        </w:tc>
        <w:tc>
          <w:tcPr>
            <w:tcW w:type="dxa" w:w="4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Preocupaciones principales</w:t>
            </w:r>
          </w:p>
        </w:tc>
        <w:tc>
          <w:tcPr>
            <w:tcW w:type="dxa" w:w="26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Vistas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Usuario final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Exactitud, claridad, citas, disponibilidad, privacidad.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VP-01, VP-07, VP-09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Docente/evaluador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Justificación técnica, trazabilidad, evidencia de RAG.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VP-02, VP-06, VP-10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Desarrollador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Modularidad, contratos, algoritmos, manejo de errores.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VP-03, VP-08, VP-11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Operaciones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Despliegue, salud, recursos, rollback, costos.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VP-04, VP-12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Secretos, exposición pública, proveedores, abuso.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VP-04, VP-07, VP-12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Mantenedor legal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Versión del corpus, citas, reindexación y vigencia.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VP-05, VP-10</w:t>
            </w:r>
          </w:p>
        </w:tc>
      </w:tr>
    </w:tbl>
    <w:p>
      <w:pPr>
        <w:spacing w:after="20"/>
      </w:pPr>
    </w:p>
    <w:p>
      <w:pPr>
        <w:pStyle w:val="Heading2"/>
      </w:pPr>
      <w:r>
        <w:t>3.1 Matriz de cobertura IEEE 1016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4960"/>
        <w:gridCol w:w="160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Punto de vista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Preocupación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Ubicación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Contexto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Servicios, actores y límites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Composición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Subsistemas y ensamblaje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Lógico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Responsabilidades y abstracciones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Dependencias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Acceso, ejecución e impacto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§7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Información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Datos persistentes y distribución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§8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Patrones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Soluciones reutilizadas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Interfaces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Contratos internos y externos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§10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Estructura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Clases, módulos y relaciones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Interacción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Mensajes y secuencias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Estados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Estados y transiciones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Algoritmos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Procedimientos y reglas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Recursos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Cómputo, red, almacenamiento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§15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Vista de contexto — VP-01</w:t>
      </w:r>
    </w:p>
    <w:p>
      <w:r>
        <w:rPr>
          <w:rFonts w:ascii="Calibri" w:hAnsi="Calibri"/>
          <w:b w:val="0"/>
          <w:i w:val="0"/>
          <w:color w:val="000000"/>
          <w:sz w:val="22"/>
        </w:rPr>
        <w:t>Perspectiva de caja negra que identifica servicios, actores y sistemas externos. El sujeto de diseño presta un único servicio público: responder preguntas legales con evidencia del corpus indexado.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939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Contexto y fronteras de confianza de la aplicación productiva.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Actor/sistema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Responsabilidad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Flujo intercambiado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Usuario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Formula preguntas y consume respuestas.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Pregunta UTF-8; respuesta Markdown.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Fly.io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Ejecuta el contenedor y termina HTTPS.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HTTP/S, health checks y secretos.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OpenAI API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 embeddings, scores y respuesta.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Consultas, pasajes y contexto; resultados de modelo.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Qdrant Cloud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Persiste vectores y recupera candidatos.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Vector de consulta; documentos y metadata.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GitHub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Versiona código y configuración.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Fuentes sin secretos ni corpus local.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Frontera de confianza: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pregunta y los pasajes recuperados salen del contenedor hacia OpenAI. Las claves se inyectan como secretos; nunca se presentan al usuario ni se registran deliberadamente.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Vista de composición — VP-02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3820"/>
        <w:gridCol w:w="294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Entidad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Tipo</w:t>
            </w:r>
          </w:p>
        </w:tc>
        <w:tc>
          <w:tcPr>
            <w:tcW w:type="dxa" w:w="38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Responsabilidad</w:t>
            </w:r>
          </w:p>
        </w:tc>
        <w:tc>
          <w:tcPr>
            <w:tcW w:type="dxa" w:w="29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Implementación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DE-01 UI web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Captura pregunta y presenta Markdown.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`app.py` / Gradio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DE-02 LegalRAG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Orquesta recuperación, re-ranking y generación.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`pipeline.py`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DE-03 Configuración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Resuelve variables y valida credenciales.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`config.py`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DE-04 Chunking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Segmenta por artículo y crea metadata.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`chunking.py`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DE-05 Indexador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Proceso batch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 la colección y carga documentos.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`index_law.py`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DE-06 Vector store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Adaptador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Conecta LangChain con Qdrant.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QdrantVectorStore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DE-07 Modelos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Servicios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Embeddings, evaluación y generación.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OpenAIEmbeddings/ChatOpenAI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DE-08 Plataforma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Despliegue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Ejecuta y expone el servicio.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 + Fly.io</w:t>
            </w:r>
          </w:p>
        </w:tc>
      </w:tr>
    </w:tbl>
    <w:p>
      <w:pPr>
        <w:spacing w:after="20"/>
      </w:pPr>
    </w:p>
    <w:p>
      <w:pPr>
        <w:pStyle w:val="Heading2"/>
      </w:pPr>
      <w:r>
        <w:t>5.1 Ensamblaje en tiempo de ejecución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Fly inicia el contenedor y ejecuta `python app.py` como usuario no privilegiado `app`.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 importación crea `LegalRAG`, valida credenciales y construye clientes OpenAI/Qdrant.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Gradio publica el endpoint en `0.0.0.0:7860`; Fly Proxy expone 80/443 y fuerza HTTPS.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Cada solicitud invoca `LegalRAG.answer`; no se persiste estado de conversación.</w:t>
      </w:r>
    </w:p>
    <w:p>
      <w:r>
        <w:br w:type="page"/>
      </w:r>
    </w:p>
    <w:p>
      <w:pPr>
        <w:pStyle w:val="Heading1"/>
      </w:pPr>
      <w:r>
        <w:t>6. Vista lógica — VP-03</w:t>
      </w:r>
    </w:p>
    <w:p>
      <w:r>
        <w:rPr>
          <w:rFonts w:ascii="Calibri" w:hAnsi="Calibri"/>
          <w:b w:val="0"/>
          <w:i w:val="0"/>
          <w:color w:val="000000"/>
          <w:sz w:val="22"/>
        </w:rPr>
        <w:t>La descomposición lógica separa presentación, aplicación, dominio documental e infraestructura. La separación es parcial: `LegalRAG` concentra orquestación y adaptadores de proveedores, una decisión aceptable para el alcance actual pero relevante para evolución.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Capa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Elementos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Reglas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Presentación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Gradio Interface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contiene lógica de recuperación; valida pregunta vacía indirectamente.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Aplicación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Coordina casos de uso; retorna texto listo para presentar.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Dominio documental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Document, chunk_law, metadata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Artículo y fuente deben preservarse en todos los chunks.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Infraestructura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OpenAI, Qdrant, dotenv, Fly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Acceso por adaptadores/configuración; secretos fuera del código.</w:t>
            </w:r>
          </w:p>
        </w:tc>
      </w:tr>
    </w:tbl>
    <w:p>
      <w:pPr>
        <w:spacing w:after="20"/>
      </w:pPr>
    </w:p>
    <w:p>
      <w:pPr>
        <w:pStyle w:val="Heading2"/>
      </w:pPr>
      <w:r>
        <w:t>6.1 Invariantes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Todo documento recuperable posee `source`, `articulo` y `parte`.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 dimensión del embedding coincide con la colección: 256.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 generación usa únicamente documentos que sobreviven al umbral cuando re-ranking está activo.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Si no hay sobrevivientes, la salida exacta es «No se encuentra en el documento.».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 aplicación no almacena sesión, historial ni identidad del usuario.</w:t>
      </w:r>
    </w:p>
    <w:p>
      <w:r>
        <w:br w:type="page"/>
      </w:r>
    </w:p>
    <w:p>
      <w:pPr>
        <w:pStyle w:val="Heading1"/>
      </w:pPr>
      <w:r>
        <w:t>7. Vista de dependencias — VP-04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700"/>
        <w:gridCol w:w="1550"/>
        <w:gridCol w:w="2360"/>
        <w:gridCol w:w="240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Origen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Dependencia</w:t>
            </w:r>
          </w:p>
        </w:tc>
        <w:tc>
          <w:tcPr>
            <w:tcW w:type="dxa" w:w="1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Tipo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Efecto de falla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Mitigación actual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UI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LegalRAG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Invocación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se responde.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Mensaje de error de plataforma; pendiente manejo amigable.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LegalRAG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HTTPS síncrono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Embedding, score o respuesta fallan.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Timeout del SDK; health no cubre proveedor.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LegalRAG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Qdrant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HTTPS síncrono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hay recuperación.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Colección productiva separada.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Aplicación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Fly.io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Runtime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Servicio no disponible.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Auto-start y health check.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Build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PyPI/Docker Hub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Construcción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se genera imagen.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Imagen base versionada por tag; caché remota.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Indexador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Corpus legal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Archivo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Índice incompleto o desactualizado.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Nombre fijo y error si falta.</w:t>
            </w:r>
          </w:p>
        </w:tc>
      </w:tr>
    </w:tbl>
    <w:p>
      <w:pPr>
        <w:spacing w:after="20"/>
      </w:pPr>
    </w:p>
    <w:p>
      <w:pPr>
        <w:pStyle w:val="Heading2"/>
      </w:pPr>
      <w:r>
        <w:t>7.1 Orden de ejecución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Configurar secretos.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Preparar corpus.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Ejecutar indexación productiva.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Desplegar aplicación.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Escalar a una máquina.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Verificar health y consulta sintética.</w:t>
      </w:r>
    </w:p>
    <w:p>
      <w:r>
        <w:br w:type="page"/>
      </w:r>
    </w:p>
    <w:p>
      <w:pPr>
        <w:pStyle w:val="Heading1"/>
      </w:pPr>
      <w:r>
        <w:t>8. Vista de información — VP-05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960"/>
        <w:gridCol w:w="210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Entidad de datos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Esquema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Persistencia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Sensibilidad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Corpus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Texto UTF-8 consolidado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Archivo local solo para indexación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Público/legal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Chunk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page_content + metadata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Payload Qdrant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Público/legal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Vector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float[256]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Qdrant `ley_21719_rag_prod`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Derivado del corpus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Pregunta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persistida por la app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Puede contener datos ingresados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 0..1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Memoria de solicitud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sensible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Respuesta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Markdown 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persistida por la app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Derivada de pregunta/contexto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Secretos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claves/URL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Fly Secrets y `.env` local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Confidencial</w:t>
            </w:r>
          </w:p>
        </w:tc>
      </w:tr>
    </w:tbl>
    <w:p>
      <w:pPr>
        <w:spacing w:after="20"/>
      </w:pPr>
    </w:p>
    <w:p>
      <w:pPr>
        <w:pStyle w:val="Heading2"/>
      </w:pPr>
      <w:r>
        <w:t>8.1 Esquema de payload vectorial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2960"/>
        <w:gridCol w:w="31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Campo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Tipo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Ejemplo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Regla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page_content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Artículo 12...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Texto indexado y recuperado.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metadata.source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Ley 19.628 (ref. 21.719)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de procedencia estable.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metadata.articulo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Artículo 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para cita visible.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metadata.parte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2/4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Orden relativo dentro del artículo.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vector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float[256]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[0.012, …]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Distancia COSINE.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Retención: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aplicación no implementa una base de datos de usuarios ni historial. Los proveedores externos pueden aplicar sus propias políticas de registro y retención; deben revisarse contractualmente antes de tratar información sensible.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Vista de uso de patrones — VP-06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50"/>
        <w:gridCol w:w="2500"/>
        <w:gridCol w:w="191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Patrón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Aplicación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Beneficio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Trade-off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RAG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Recuperar evidencia antes de generar.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Reduce alucinación y aporta citas.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Depende de calidad del retrieval.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Pipeline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Pregunta → embedding → retrieval → rerank → respuesta.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Secuencia explícita y testeable.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Latencia acumulada.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Adapter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LangChain encapsula OpenAI/Qdrant.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Menor acoplamiento a APIs crudas.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Acoplamiento a versiones LangChain.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Configuration by environment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Variables `.env`/Fly.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Misma imagen entre entornos.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Errores aparecen en arranque.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Contextual chunking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Encabezado se antepone a fragmentos.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Preserva sentido legal.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Duplica texto y tokens.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Threshold gate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Score mínimo 0,55.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Evita contexto irrelevante.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Puede producir falsos negativos.</w:t>
            </w:r>
          </w:p>
        </w:tc>
      </w:tr>
    </w:tbl>
    <w:p>
      <w:pPr>
        <w:spacing w:after="20"/>
      </w:pPr>
    </w:p>
    <w:p>
      <w:pPr>
        <w:pStyle w:val="Heading2"/>
      </w:pPr>
      <w:r>
        <w:t>9.1 Patrones descartados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Conversación con memoria: descartada para reducir exposición de datos y complejidad de sesión.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Múltiples máquinas activas: descartadas porque Gradio mantiene eventos SSE en memoria sin afinidad externa.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Vector store local persistente: descartado para separar cómputo efímero de datos vectoriales.</w:t>
      </w:r>
    </w:p>
    <w:p>
      <w:r>
        <w:br w:type="page"/>
      </w:r>
    </w:p>
    <w:p>
      <w:pPr>
        <w:pStyle w:val="Heading1"/>
      </w:pPr>
      <w:r>
        <w:t>10. Vista de interfaces — VP-07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1750"/>
        <w:gridCol w:w="2700"/>
        <w:gridCol w:w="231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Interfaz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Entrada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Salida/contrato</w:t>
            </w:r>
          </w:p>
        </w:tc>
        <w:tc>
          <w:tcPr>
            <w:tcW w:type="dxa" w:w="2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Errores relevantes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Gradio `/answer`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question:string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Markdown:string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Pregunta vacía; excepción upstream.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LegalRAG.answer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question, rerank=True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Respuesta o negativa exacta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Credenciales/colección/modelo.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Qdrant search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Vector/consulta, 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Document[] con metadata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Colección ausente; red; auth.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OpenAI embeddings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Texto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float[256]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Cuota; auth; timeout.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OpenAI scorer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Pregunta + pasaje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Relevance.score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Salida estructurada inválida.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OpenAI generator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Pregunta + contexto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Texto con cita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Modelo no disponible; cuota.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INT-07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Fly health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GET `/`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 200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Arranque lento o proceso caído.</w:t>
            </w:r>
          </w:p>
        </w:tc>
      </w:tr>
    </w:tbl>
    <w:p>
      <w:pPr>
        <w:spacing w:after="20"/>
      </w:pPr>
    </w:p>
    <w:p>
      <w:pPr>
        <w:pStyle w:val="Heading2"/>
      </w:pPr>
      <w:r>
        <w:t>10.1 Interfaz de usuario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Campo de texto con ejemplos orientativos; salida Markdown etiquetada «Respuesta con fuente».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No se solicita autenticación ni se almacenan datos del usuario.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 respuesta debe citar el artículo entre corchetes; la UI no valida automáticamente la cita.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URL pública HTTPS: `https://rag-ley-19628-grupo1.fly.dev`.</w:t>
      </w:r>
    </w:p>
    <w:p>
      <w:r>
        <w:br w:type="page"/>
      </w:r>
    </w:p>
    <w:p>
      <w:pPr>
        <w:pStyle w:val="Heading1"/>
      </w:pPr>
      <w:r>
        <w:t>11. Vista de estructura — VP-08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60"/>
        <w:gridCol w:w="360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Módulo/clase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Miembros clave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Relaciones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Settings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source_file, collection, models, k, threshold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Instancia singleton `settings`; consumida por indexador y LegalRAG.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embeddings, client, store, answer_chain, scorer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Compone proveedores y Settings.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Relevance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score: float [0,1]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Modelo Pydantic de salida del scorer.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chunk_law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text, chunk_size, overlap, limit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Produce `list[Document]`.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format_context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Transforma Documents a bloque con citas.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Gradio Interface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fn=rag.answer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Adaptador UI sobre LegalRAG.</w:t>
            </w:r>
          </w:p>
        </w:tc>
      </w:tr>
    </w:tbl>
    <w:p>
      <w:pPr>
        <w:spacing w:after="20"/>
      </w:pPr>
    </w:p>
    <w:p>
      <w:pPr>
        <w:pStyle w:val="Heading2"/>
      </w:pPr>
      <w:r>
        <w:t>11.1 Estructura del repositorio</w:t>
      </w:r>
    </w:p>
    <w:p>
      <w:r>
        <w:rPr>
          <w:rFonts w:ascii="Calibri" w:hAnsi="Calibri"/>
          <w:b w:val="0"/>
          <w:i w:val="0"/>
          <w:color w:val="000000"/>
          <w:sz w:val="22"/>
        </w:rPr>
        <w:t>`app.py` contiene presentación; `src/rag_ley/` contiene configuración, chunking y pipeline; `scripts/` contiene el proceso batch; `tests/` contiene pruebas; Dockerfile/compose/fly.toml describen ejecución; `notebooks/` conserva el origen exploratorio.</w:t>
      </w:r>
    </w:p>
    <w:p>
      <w:pPr>
        <w:pStyle w:val="Heading2"/>
      </w:pPr>
      <w:r>
        <w:t>11.2 Cohesión y acoplamiento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Alta cohesión en chunking y configuración.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LegalRAG tiene responsabilidad amplia: construcción, retrieval, scoring y generación.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Los proveedores están acoplados a clases LangChain concretas; una futura inversión de dependencias facilitaría pruebas unitarias.</w:t>
      </w:r>
    </w:p>
    <w:p>
      <w:r>
        <w:br w:type="page"/>
      </w:r>
    </w:p>
    <w:p>
      <w:pPr>
        <w:pStyle w:val="Heading1"/>
      </w:pPr>
      <w:r>
        <w:t>12. Vista de interacción — VP-09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nsu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Secuencia lógica de una consulta con re-ranking.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3300"/>
        <w:gridCol w:w="27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Paso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Emisor → receptor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Mensaje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Resultado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Usuario → Gradio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Pregunta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Evento de consulta.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 → OpenAI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Embedding de pregunta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Vector 256D.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 → Qdrant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similarity_search(k=20)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Candidatos.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 → OpenAI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pregunta/pasaje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Scores de relevancia.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Ordenar y filtrar ≥0,55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Sobrevivientes.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LegalRAG → OpenAI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Contexto + pregunta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Respuesta citada.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Gradio → Usuario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Markdown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Visualización final.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Latencia: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Una consulta re-ranked realiza una búsqueda vectorial, un batch de puntuación y una generación. La latencia depende principalmente de OpenAI y del número de candidatos.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Vista de dinámica de estados — VP-10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3100"/>
        <w:gridCol w:w="23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Estado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Evento de entrada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Acción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Siguiente estado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Detenida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Solicitud pública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 auto-start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Iniciando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Iniciando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Contenedor ejecuta app.py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Validar credenciales y conectar proveedores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 o Fallida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Pregunta vacía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Retornar instrucción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Pregunta válida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Ejecutar pipeline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Procesando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Procesando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Sin sobrevivientes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Retornar negativa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Procesando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Respuesta generada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Entregar Markdown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Procesando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Excepción no controlada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HTTP/error de evento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 o Fallida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Inactividad/exceso de capacidad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Auto-stop según Fly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Detenida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Cualquier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Proceso termina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Health falla/reinicio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Iniciando o Fallida</w:t>
            </w:r>
          </w:p>
        </w:tc>
      </w:tr>
    </w:tbl>
    <w:p>
      <w:pPr>
        <w:spacing w:after="20"/>
      </w:pPr>
    </w:p>
    <w:p>
      <w:pPr>
        <w:pStyle w:val="Heading2"/>
      </w:pPr>
      <w:r>
        <w:t>13.1 Estado de la consulta</w:t>
      </w:r>
    </w:p>
    <w:p>
      <w:r>
        <w:rPr>
          <w:rFonts w:ascii="Calibri" w:hAnsi="Calibri"/>
          <w:b w:val="0"/>
          <w:i w:val="0"/>
          <w:color w:val="000000"/>
          <w:sz w:val="22"/>
        </w:rPr>
        <w:t>La consulta es efímera y no se comparte entre solicitudes. Gradio conserva temporalmente el evento SSE en memoria; por ello el despliegue se fija en una máquina. No existe recuperación de una consulta en curso ante reinicio.</w:t>
      </w:r>
    </w:p>
    <w:p>
      <w:r>
        <w:br w:type="page"/>
      </w:r>
    </w:p>
    <w:p>
      <w:pPr>
        <w:pStyle w:val="Heading1"/>
      </w:pPr>
      <w:r>
        <w:t>14. Vista de algoritmos — VP-11</w:t>
      </w:r>
    </w:p>
    <w:p>
      <w:pPr>
        <w:pStyle w:val="Heading2"/>
      </w:pPr>
      <w:r>
        <w:t>14.1 Chunking estructural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Dividir el corpus mediante expresión regular con look-ahead en encabezados «Artículo». Complejidad O(n) aproximada sobre el texto.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Para cada bloque, extraer etiqueta y encabezado.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Conservar artículos de hasta 1.500 caracteres; dividir los mayores en piezas de 1.200 con solape 150.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Anteponer el encabezado a las piezas que no comienzan por «Artículo».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Emitir Document con source, articulo y parte. Resultado actual: 192 chunks.</w:t>
      </w:r>
    </w:p>
    <w:p>
      <w:pPr>
        <w:pStyle w:val="Heading2"/>
      </w:pPr>
      <w:r>
        <w:t>14.2 Indexación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Validar credenciales y existencia del corpus.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Generar chunks.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Crear cliente Qdrant y embeddings.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Si la colección existe, eliminarla.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Crear colección COSINE de 256 dimensiones.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Calcular y cargar embeddings.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Advertencia: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indexación es destructiva para la colección objetivo. Producción usa `ley_21719_rag_prod` para aislarla de desarrollo.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14.3 Recuperación y re-ranking</w:t>
      </w:r>
    </w:p>
    <w:p>
      <w:r>
        <w:rPr>
          <w:rFonts w:ascii="Calibri" w:hAnsi="Calibri"/>
          <w:b w:val="0"/>
          <w:i w:val="0"/>
          <w:color w:val="000000"/>
          <w:sz w:val="22"/>
        </w:rPr>
        <w:t>Recuperar k=20 documentos por similitud; puntuar cada uno con un LLM de salida estructurada; ordenar de mayor a menor; conservar score ≥0,55. Si el conjunto queda vacío, terminar sin generación. En caso contrario, concatenar contexto y solicitar respuesta al modelo generador.</w:t>
      </w:r>
    </w:p>
    <w:p>
      <w:pPr>
        <w:pStyle w:val="Heading2"/>
      </w:pPr>
      <w:r>
        <w:t>14.4 Reglas del prompt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Usar exclusivamente el contexto.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No inventar información.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Ser conciso.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Citar el artículo entre corchetes.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Usar negativa exacta cuando no haya evidencia.</w:t>
      </w:r>
    </w:p>
    <w:p>
      <w:r>
        <w:br w:type="page"/>
      </w:r>
    </w:p>
    <w:p>
      <w:pPr>
        <w:pStyle w:val="Heading1"/>
      </w:pPr>
      <w:r>
        <w:t>15. Vista de recursos — VP-12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Topología de despliegue productivo.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2700"/>
        <w:gridCol w:w="27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Recurso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Asignación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Uso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Límite/observación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 Machine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shared-cpu-1x, 1 GB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Gradio + pipeline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instancia por afinidad SSE.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HTTPS público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UI y APIs externas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 fuerza HTTPS.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Puerto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7860 interno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Servidor Gradio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Expuesto por Fly Proxy.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Qdrant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Colección 256D COSINE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192 vectores + payload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Servicio externo.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 modelos configurables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Embedding, score, generación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Costo/cuotas variables.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Secretos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 Secrets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Tres credenciales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incluidos en imagen.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Health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GET / cada 30 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Disponibilidad del proceso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prueba OpenAI/Qdrant.</w:t>
            </w:r>
          </w:p>
        </w:tc>
      </w:tr>
    </w:tbl>
    <w:p>
      <w:pPr>
        <w:spacing w:after="20"/>
      </w:pPr>
    </w:p>
    <w:p>
      <w:pPr>
        <w:pStyle w:val="Heading2"/>
      </w:pPr>
      <w:r>
        <w:t>15.1 Parámetros productivos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Parámetro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Valor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rag-ley-19628-grupo1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Región primaria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 (São Paulo)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forzado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Auto-start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habilitado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Auto-stop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stop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Mínimo activo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Concurrencia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soft 20 / hard 30 solicitudes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Estrategia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rolling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Decisiones y fundamentos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3460"/>
        <w:gridCol w:w="290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Decisión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Justificación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Alternativas/impacto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Chunking por artículo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Alinea unidad semántica con estructura legal y citas.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Fixed-size: mezcla o fragmenta normas.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Embeddings 256D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Reduce almacenamiento/costo manteniendo modelo grande.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Dimensión completa: mayor costo.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Qdrant Cloud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Persistencia y búsqueda separadas del cómputo efímero.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Local: requiere volumen y operación.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Re-ranking LLM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Mejora preguntas específicas o multi-salto.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Cross-encoder: menor dependencia LLM, no implementado.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Umbral 0,55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Filtra evidencia débil y habilita negativa.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Valor requiere calibración continua.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Una Fly Machine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Evita pérdida de eventos SSE entre instancias.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 requiere sticky sessions/cola externa.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Colección prod separada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Evita que experimentos destruyan producción.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Colección compartida: menor costo, mayor riesgo.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AD-08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 memoria conversacional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Minimiza privacidad y complejidad.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Memoria: mejor UX, más retención y estado.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Seguridad, privacidad y operación</w:t>
      </w:r>
    </w:p>
    <w:p>
      <w:pPr>
        <w:pStyle w:val="Heading2"/>
      </w:pPr>
      <w:r>
        <w:t>17.1 Controles implementados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Contenedor ejecutado como usuario del sistema no privilegiado.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`.env` excluido del repositorio y del contexto Docker.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Secretos cargados en Fly.io y no codificados en `fly.toml`.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HTTPS obligatorio en el borde Fly.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Sin persistencia de usuarios, sesiones o historial en la aplicación.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Colección productiva aislada por nombre.</w:t>
      </w:r>
    </w:p>
    <w:p>
      <w:pPr>
        <w:pStyle w:val="Heading2"/>
      </w:pPr>
      <w:r>
        <w:t>17.2 Amenazas y mitigaciones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600"/>
        <w:gridCol w:w="29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Amenaza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Impacto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Control actual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Recomendación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Abuso público/costos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Consumo de tokens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Límite de concurrencia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Añadir rate limiting y presupuesto.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Prompt injection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Respuesta fuera de alcance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Prompt restrictivo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Filtrar entradas y evaluar ataques.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Exfiltración de secretos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Compromiso de proveedores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Fly Secrets/no root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Rotación y scopes mínimos.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Corpus alterado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Respuestas incorrectas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Fuente local controlada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Hash, firma y revisión de cambios.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Dependencia de terceros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Indisponibilidad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Health de proceso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Circuit breaker y estado degradado.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Datos personales en preguntas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Privacidad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persistencia local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Aviso de privacidad y revisión de retención externa.</w:t>
            </w:r>
          </w:p>
        </w:tc>
      </w:tr>
    </w:tbl>
    <w:p>
      <w:pPr>
        <w:spacing w:after="20"/>
      </w:pPr>
    </w:p>
    <w:p>
      <w:pPr>
        <w:pStyle w:val="Heading2"/>
      </w:pPr>
      <w:r>
        <w:t>17.3 Operación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Despliegue: `flyctl deploy`; mantener `flyctl scale count 1 --yes`.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Observación: `flyctl status`, `flyctl checks list`, `flyctl logs` y consulta sintética.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Rollback: seleccionar release/imagen anterior en Fly.io; verificar compatibilidad con la colección.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Reindexación: ejecutar el perfil `index` contra `ley_21719_rag_prod` durante ventana controlada.</w:t>
      </w:r>
    </w:p>
    <w:p>
      <w:r>
        <w:br w:type="page"/>
      </w:r>
    </w:p>
    <w:p>
      <w:pPr>
        <w:pStyle w:val="Heading1"/>
      </w:pPr>
      <w:r>
        <w:t>18. Verificación y criterios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50"/>
        <w:gridCol w:w="2600"/>
        <w:gridCol w:w="221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Criterio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Método</w:t>
            </w:r>
          </w:p>
        </w:tc>
        <w:tc>
          <w:tcPr>
            <w:tcW w:type="dxa" w:w="2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Resultado base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AC-01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imagen Docker se construye.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`docker compose build`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AC-02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Chunking preserva artículo.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pytest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prueba aprobada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AC-03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Fly config es válida.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`flyctl config validate`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AC-04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máquina está saludable.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Fly status/check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1/1 passing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AC-05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URL responde por HTTPS.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 GET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AC-06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RAG responde con cita.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Consulta sintética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Artículos 2, 12 y 30 bis/51 verificados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AC-07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se publican secretos.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gitignore/dockerignore/revisión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AC-08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Producción usa colección separada.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fly.toml/Qdrant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ley_21719_rag_prod</w:t>
            </w:r>
          </w:p>
        </w:tc>
      </w:tr>
    </w:tbl>
    <w:p>
      <w:pPr>
        <w:spacing w:after="20"/>
      </w:pPr>
    </w:p>
    <w:p>
      <w:pPr>
        <w:pStyle w:val="Heading2"/>
      </w:pPr>
      <w:r>
        <w:t>18.1 Estrategia de pruebas recomendada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Unitarias: regex, límites, metadata, formato de contexto y umbral.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Integración: colección temporal Qdrant y adaptadores OpenAI simulados.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Contrato: esquema Pydantic Relevance y dimensiones de embedding.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End-to-end: preguntas de oro, pregunta trampa, citas y latencia.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Seguridad: prompt injection, entradas extensas, abuso concurrente y escaneo de secretos.</w:t>
      </w:r>
    </w:p>
    <w:p>
      <w:r>
        <w:br w:type="page"/>
      </w:r>
    </w:p>
    <w:p>
      <w:pPr>
        <w:pStyle w:val="Heading1"/>
      </w:pPr>
      <w:r>
        <w:t>19. Riesgos, deuda técnica y evolución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1300"/>
        <w:gridCol w:w="28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Riesgo/deuda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Prioridad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Tratamiento recomendado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Excepciones upstream no se transforman en mensajes amigables.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Manejo tipado, retry limitado y logging estructurado.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Health check solo valida la UI.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Readiness separada para Qdrant/OpenAI con cache.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 máquina limita alta disponibilidad.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 stateless o backend de eventos/afinidad.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Dependencias con rangos amplios.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Lockfile y actualización automatizada.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Solo una prueba unitaria.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Cobertura de pipeline y pruebas contractuales.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El índice se reemplaza destructivamente.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Colecciones versionadas y alias atómico.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Sin autenticación ni rate limit.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Control de acceso o WAF/rate limiter.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Vigencia legal manual.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Proceso formal de actualización y hash de corpus.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RT-09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 y umbral sin telemetría.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Media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Evaluación continua y registro anonimizado de métricas.</w:t>
            </w:r>
          </w:p>
        </w:tc>
      </w:tr>
    </w:tbl>
    <w:p>
      <w:pPr>
        <w:spacing w:after="20"/>
      </w:pPr>
    </w:p>
    <w:p>
      <w:pPr>
        <w:pStyle w:val="Heading2"/>
      </w:pPr>
      <w:r>
        <w:t>19.1 Hoja de ruta sugerida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Corto plazo: manejo de errores, rate limit, pruebas y lockfile.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Mediano plazo: índice versionado, observabilidad, evaluación automática y actualización legal controlada.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Largo plazo: API stateless, alta disponibilidad, autenticación y gobernanza de datos.</w:t>
      </w:r>
    </w:p>
    <w:p>
      <w:r>
        <w:br w:type="page"/>
      </w:r>
    </w:p>
    <w:p>
      <w:pPr>
        <w:pStyle w:val="Heading1"/>
      </w:pPr>
      <w:r>
        <w:t>Anexo A — Matriz de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1900"/>
        <w:gridCol w:w="2200"/>
        <w:gridCol w:w="1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Requisito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Entidad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Vista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Decisión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Aceptación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VP-09/11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AD-01/04/05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DE-04/02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VP-05/07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DE-02/07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VP-09/11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AD-04/05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VP-02/12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AC-01/03/04/05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DE-03/08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VP-04/12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AD-08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AC-07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RQ-06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DE-08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VP-10/12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AD-06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AC-04/05</w:t>
            </w:r>
          </w:p>
        </w:tc>
      </w:tr>
    </w:tbl>
    <w:p>
      <w:pPr>
        <w:spacing w:after="20"/>
      </w:pPr>
    </w:p>
    <w:p>
      <w:pPr>
        <w:pStyle w:val="Heading1"/>
      </w:pPr>
      <w:r>
        <w:t>Anexo B — Variables de configuración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2600"/>
        <w:gridCol w:w="2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Variable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Obligatoria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Valor no secreto/base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Función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OPENAI_API_KEY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Sí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Autenticación OpenAI.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QDRANT_URL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Sí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Secreto/configuración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Endpoint del clúster.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QDRANT_API_KEY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Sí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Secreto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Autenticación Qdrant.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QDRANT_COLLECTION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ley_21719_rag_prod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Colección de producción.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OPENAI_EMBED_MODEL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text-embedding-3-large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Modelo de embedding.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OPENAI_EMBED_DIMS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256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Dimensión vectorial.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OPENAI_GEN_MODEL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gpt-5.4-mini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Generación.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OPENAI_RERANK_MODEL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gpt-5.4-nano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Puntuación.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RAG_THRESHOLD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0.55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Filtro de relevancia.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Anexo C — Lista de comprobación operativa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Confirmar versión y hash del corpus legal.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Confirmar colección objetivo productiva.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Respaldar o versionar colección anterior.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Ejecutar indexación y validar conteo de chunks.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Validar secretos Fly sin imprimir valores.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Ejecutar `flyctl config validate`.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Desplegar, reducir a una máquina y esperar health passing.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Ejecutar preguntas de oro y pregunta trampa.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Revisar logs por excepciones y latencia.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Actualizar SDD, README y registro de cambios.</w:t>
      </w:r>
    </w:p>
    <w:p>
      <w:pPr>
        <w:pStyle w:val="Heading1"/>
      </w:pPr>
      <w:r>
        <w:t>Anexo D — Bibliografía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IEEE Standards Association. IEEE Std 1016-2009, IEEE Standard for Information Technology—Systems Design—Software Design Descriptions. Publicado el 20 de julio de 2009; estado actual Inactive-Reserved.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Biblioteca del Congreso Nacional de Chile. Ley 19.628 sobre protección de la vida privada, texto consolidado con modificaciones de la Ley 21.719.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OpenAI. Documentación oficial de API y modelos.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Qdrant. Documentación oficial de Qdrant Client y colecciones vectoriales.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Fly.io. Documentación oficial de Dockerfile deployment, Machines, secrets y app configuration.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  <w:b w:val="0"/>
          <w:i w:val="0"/>
          <w:color w:val="000000"/>
          <w:sz w:val="21"/>
        </w:rPr>
        <w:t>LangChain. Documentación de LangChain Core, OpenAI y Qdrant integrations.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Fin del documento: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Este SDD describe la línea base productiva observada al 1 de agosto de 2026. Toda modificación arquitectónica relevante debe actualizar la versión, la matriz de trazabilidad y las decisiones de diseño.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Versión 1.0  ·  Página </w:t>
    </w:r>
    <w:r>
      <w:rPr>
        <w:rFonts w:ascii="Calibri" w:hAnsi="Calibri"/>
        <w:b w:val="0"/>
        <w:i w:val="0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SDD · RAG Ley 19.628  |  IEEE 1016-2009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4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Description — RAG Ley 19.628</dc:title>
  <dc:subject>IEEE 1016-2009</dc:subject>
  <dc:creator>Grupo 1</dc:creator>
  <cp:keywords>IEEE 1016, SDD, RAG, Ley 19.628, Fly.io, Qdrant, OpenAI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