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y Viabilidad de un SaaS Autónomo Basado en Agentes de IA: Caso de Estudio Costo360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al Paradigma de la Empresa Autónoma en el Sector de la Construcción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evolución de la inteligencia artificial ha trascendido la mera asistencia conversacional para adentrarse en la orquestación de sistemas corporativos completamente autónomos. El modelo tradicional de Software as a Service (SaaS), que históricamente ha dependido de la interacción humana para la parametrización, la gestión del soporte y la ejecución de los flujos de trabajo, está siendo progresivamente reemplazado por arquitecturas multi-agente donde entidades algorítmicas especializadas colaboran para operar un negocio de extremo a extremo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contexto, la estructuración de "Costo360", una Sociedad por Acciones Simplificada (S.A.S.) con sede en Barranquilla, Colombia, se erige como un caso de estudio avanzado sobre la viabilidad técnica, tributaria y operativa de un ecosistema corporativo sin intervención humana.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Costo360 se proyecta como una plataforma web de cotización en tiempo real orientada al sector de la construcción y la marmolería, un nicho industrial que abarca el procesamiento, corte e instalación de mármol, granito, cuarzo y piedras sinterizadas. En la industria actual, las plataformas de software líderes en diseño y estimación de encimeras, tales como CounterGo (desarrollado por Moraware), SlabWare o QuickQuote, requieren inexorablemente que los operarios humanos realicen el diseño geométrico asistido por computadora (CAD)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Estos operarios deben configurar manualmente los perfiles de los bordes, posicionar las piezas sobre las imágenes de las placas de piedra (slab layouts) para calcular el rendimiento del material, y gestionar los márgenes de desperdicio y costuras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 bien estas herramientas son eficientes —permitiendo a un vendedor humano generar cotizaciones precisas y listas de materiales (BOM) en aproximadamente tres minutos bajo un uso experto—, siguen siendo fundamentalmente herramientas de asistencia que sufren cuellos de botella derivados de la disponibilidad y el costo de la mano de obra humana especializada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objetivo fundamental de Costo360 es eliminar esta fricción operativa mediante la implementación de una red de agentes de IA capaces de automatizar no solo las áreas corporativas tradicionales (marketing, prospección de ventas y contabilidad), sino también el diseño estandarizado del producto, la extracción algorítmica de la identidad visual del cliente para propósitos de marca (branding) y la generación de documentos portátiles (PDF) de alta fidelidad. El presente análisis profundiza exhaustivamente en la arquitectura requerida para sostener dicha operación, examinando los marcos de trabajo de orquestación multi-agente, las integraciones de mensajería autónoma, el marco tributario colombiano, las bases matemáticas para la manipulación dinámica de identidades visuales bajo estrictos estándares de accesibilidad, los motores de renderizado y el modelo financiero subyacente.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Orquestación Multi-Agente: Del Monolito a la Especialización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un sistema autónomo capaz de gestionar una S.A.S. requiere abandonar el antipatrón arquitectónico conocido como el "Agente Dios" (God Agent)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2025, la tendencia dominante consistía en desplegar un único modelo de lenguaje extenso (LLM) equipado con un prompt genérico y una vasta colección de herramientas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agente monolítico intentaba, simultáneamente, clasificar las intenciones del usuario, buscar en bases de conocimiento, consultar estados de cuentas, generar respuestas y decidir cuándo escalar a un humano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escala de producción, esta arquitectura monolítica presenta tasas inaceptables de alucinación, fallas catastróficas en la gestión del estado, sobrecarga del contexto y una incapacidad inherente para manejar árboles lógicos complejos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solución estructural es la implementación de sistemas multi-agente. En este paradigma, el trabajo se divide entre agentes especializados que comparten un entorno, poseen instrucciones estrechamente delimitadas y operan mediante ejecución paralela, asegurando que el fallo de un agente individual no colapse el sistema entero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el ecosistema tecnológico proyectado para 2026, la proliferación de marcos de trabajo exige una selección rigurosa basada en el determinismo, la gestión del estado y la auditabilidad transaccional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Comparativo de Frameworks: LangGraph, CrewAI y AutoGen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operar la plataforma Costo360, es imperativo evaluar los tres frameworks dominantes en la industria, dado que cada uno obedece a una filosofía de diseño diametralmente opuesta y presenta compromisos específicos en términos de control, velocidad de desarrollo y eficiencia de inferencia.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Característica /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CrewAI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AutoGen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Paradigma Principal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Grafo dirigido con estado (State Machine)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Colaboración basada en Roles (Crews)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Flujos Conversacionales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 de Ejecución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Determinista, enrutamiento estricto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Secuencial o Jerárquico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Dinámico, basado en diálogo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Persistencia y Estado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Nativa (PostgreSQL, Redis, SQLite)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Memoria a corto/largo plazo incorporada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Limitada, enfocada en la sesión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Tasa de Recuperación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 en tareas complejas de múltiples pasos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Moderada (abstracciones opacas)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en tareas complejas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Eficiencia de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(~4.2 llamadas LLM por tarea)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 (&gt;20 llamadas LLM por tarea)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Uso Ideal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Flujos transaccionales de producción crítica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Departamentos corporativos (Marketing/Ventas)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Desarrollo de software, canalizaciones ETL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Curva de Aprendizaje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Pronunciada (requiere modelado inicial)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Suave (desarrollo rápido en horas)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Moderada a Pronunciada</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extraídos de evaluaciones de rendimiento arquitectónico de sistemas multi-agente en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LangGraph:</w:t>
      </w:r>
      <w:r w:rsidDel="00000000" w:rsidR="00000000" w:rsidRPr="00000000">
        <w:rPr>
          <w:rFonts w:ascii="Google Sans" w:cs="Google Sans" w:eastAsia="Google Sans" w:hAnsi="Google Sans"/>
          <w:color w:val="1f1f1f"/>
          <w:rtl w:val="0"/>
        </w:rPr>
        <w:t xml:space="preserve"> Desarrollado por el equipo detrás del ecosistema LangChain, LangGraph se ha consolidado como el estándar de facto para sistemas multi-agente de grado de producción (adoptado por Anthropic, Uber, LinkedIn y Replit)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Su innovación principal radica en modelar las aplicaciones de IA no como bucles de chat, sino como grafos dirigidos con estado (stateful directed graphs)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esta arquitectura, los nodos representan funciones puras, agentes o herramientas, mientras que las aristas definen el flujo de control condicional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 principal ventaja competitiva es la durabilidad y la auditabilidad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Soporta checkpointers duraderos, lo que permite la interrupción con humanos en el circuito (human-in-the-loop), la depuración con viajes en el tiempo (time-travel debugging) y asegura que un flujo de trabajo sobreviva a los reinicios del proceso del servidor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métricas de evaluación de 2026 indican que LangGraph logra una tasa de recuperación de errores del 96% en tareas complejas de múltiples pasos, en comparación con el 70% de los marcos conversacionales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Adicionalmente, su enrutamiento determinista reduce los bucles conversacionales innecesarios, requiriendo un promedio de 4.2 llamadas al LLM frente a más de 20 en otros sistemas, lo que optimiza radicalmente la viabilidad financiera del SaaS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Sin embargo, la escritura de una máquina de estado en LangGraph puede requerir hasta 200 líneas de código para flujos que en otros frameworks tomarían 30, incrementando el esfuerzo inicial de ingeniería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CrewAI:</w:t>
      </w:r>
      <w:r w:rsidDel="00000000" w:rsidR="00000000" w:rsidRPr="00000000">
        <w:rPr>
          <w:rFonts w:ascii="Google Sans" w:cs="Google Sans" w:eastAsia="Google Sans" w:hAnsi="Google Sans"/>
          <w:color w:val="1f1f1f"/>
          <w:rtl w:val="0"/>
        </w:rPr>
        <w:t xml:space="preserve"> Este marco opera bajo un paradigma organizativo basado en equipos, donde el desarrollador define especialistas con roles, objetivos y contextos biográficos (backstories)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CrewAI estructura sus flujos mediante cinco primitivas fundamentales: agentes, herramientas, tareas, procesos y equipos (crews)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Destaca por su extrema simplicidad y su capacidad para mapear limpiamente cómo los profesionales no técnicos piensan sobre la delegación del trabajo; se define un Investigador, un Analista y un Redactor, y el marco maneja los traspasos de contexto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Ofrece integración directa con herramientas preconstruidas (Serper, RAG, conectores de bases de datos) y memoria integrada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la rigidez relativa de sus procesos (secuenciales o jerárquicos) sacrifica el control granular de ejecución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arquitecturas a escala, el modo jerárquico puede volverse opaco y difícil de depurar, careciendo de la reproducibilidad paso a paso exigida por las normativas de cumplimiento y auditoría financiera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AutoGen:</w:t>
      </w:r>
      <w:r w:rsidDel="00000000" w:rsidR="00000000" w:rsidRPr="00000000">
        <w:rPr>
          <w:rFonts w:ascii="Google Sans" w:cs="Google Sans" w:eastAsia="Google Sans" w:hAnsi="Google Sans"/>
          <w:color w:val="1f1f1f"/>
          <w:rtl w:val="0"/>
        </w:rPr>
        <w:t xml:space="preserve"> Creado por Microsoft, AutoGen se fundamenta en flujos de trabajo donde los agentes colaboran intercambiando mensajes de manera autónoma o con participación humana hasta cumplir una condición de terminación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 característica más distintiva y poderosa es la ejecución nativa de código generado por el LLM en entornos aislados, lo que lo hace ideal para la automatización del desarrollo y la ciencia de datos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obstante, AutoGen carece de conectores preconstruidos robustos para capas semánticas de Inteligencia de Negocios (BI) sin el desarrollo exhaustivo de herramientas en Python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Su naturaleza conversacional propicia altos costos de tokens debido a iteraciones y refutaciones repetitivas, y su imprevisibilidad lo descalifica para flujos deterministas donde la auditabilidad de cada paso es innegociable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Está dirigido fundamentalmente a organizaciones con profundos recursos de ingeniería que requieren canalizaciones complejas de transformación de datos (ETL) a la medida, no a productos SaaS comerciales llave en mano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Topología Híbrida Recomendada para Costo360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operar una empresa S.A.S. de cotización sin intervención humana, la literatura de ingeniería sugiere que no existe un marco universalmente perfecto; la selección debe dictaminarse por el nivel de riesgo de la tarea, los requisitos de estado y la necesidad de supervisión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Por lo tanto, la arquitectura óptima para Costo360 es una topología de orquestación híbrida:</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Capa Central de Transacción y Enrutamiento (LangGraph):</w:t>
      </w:r>
      <w:r w:rsidDel="00000000" w:rsidR="00000000" w:rsidRPr="00000000">
        <w:rPr>
          <w:rFonts w:ascii="Google Sans" w:cs="Google Sans" w:eastAsia="Google Sans" w:hAnsi="Google Sans"/>
          <w:color w:val="1f1f1f"/>
          <w:rtl w:val="0"/>
        </w:rPr>
        <w:t xml:space="preserve"> El sistema nervioso central de Costo360 (recepción de la solicitud del cliente, validación de parámetros arquitectónicos, generación matemática de la cotización, integración con pasarelas de pago y facturación) debe residir en LangGraph. Esto garantiza que el flujo de capital y la entrega del servicio estén sujetos a un enrutamiento determinista, persistencia de estado en PostgreSQL y auditabilidad inquebrantable para el cumplimiento normativo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Capa de Operaciones Especializadas (CrewAI):</w:t>
      </w:r>
      <w:r w:rsidDel="00000000" w:rsidR="00000000" w:rsidRPr="00000000">
        <w:rPr>
          <w:rFonts w:ascii="Google Sans" w:cs="Google Sans" w:eastAsia="Google Sans" w:hAnsi="Google Sans"/>
          <w:color w:val="1f1f1f"/>
          <w:rtl w:val="0"/>
        </w:rPr>
        <w:t xml:space="preserve"> Los departamentos corporativos simulados, como el equipo de prospección comercial saliente (outbound sales), la redacción de campañas de marketing y la investigación de la competencia, se benefician masivamente del modelo de colaboración basada en roles de CrewAI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Al envolver sub-equipos de CrewAI (crews) como nodos funcionales dentro del grafo maestro de LangGraph, Costo360 obtiene la velocidad de iteración y la creatividad de los agentes de CrewAI sin perder la durabilidad y el manejo de errores del plano de control de LangGraph.</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Automatización Corporativa I: Marketing, Ventas e Infraestructura de Mensajería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contexto comercial latinoamericano y específicamente en Colombia, WhatsApp no es simplemente un canal de comunicación, sino la infraestructura transaccional y de ventas predominante B2B y B2C. Para que Costo360 opere comercialmente casi al 100% sin humanos, los agentes de ventas generados por CrewAI deben interactuar con los prospectos (arquitectos, diseñadores de interiores y contratistas) directamente en esta red, negociando, enviando catálogos y resolviendo objeciones.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Existen dos arquitecturas técnicas viables para integrar agentes de IA con WhatsApp: la API oficial basada en la nube y las soluciones autoalojadas no oficiales basadas en ingeniería inversa del protocolo web</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La elección entre ambas dicta los costos operativos, la flexibilidad conversacional y el riesgo tecnológico.</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WhatsApp Cloud API (Meta) vs. Evolution API</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 Técnico /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WhatsApp Cloud API (Meta)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Evolution API (Autoalojado)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Naturaleza del Cliente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Oficial, API Graph alojada por Meta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oficial, código abierto basado en Baileys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Mantenimiento de Servidores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Cero. Meta gestiona la infraestructura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Requiere VPS, Docker, Redis, PostgreSQL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Modelo de Costos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Pago por conversación (basado en plantillas)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Gratis (solo se asumen costos del servidor VPS)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Restricciones de Mensajería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Regla de 24 horas y aprobación de plantillas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Libertad total de formatos y tiempos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Rendimiento a Alta Escala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 de mensajes/segundo sin desconexiones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Susceptible a caídas de sesión WebSocket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Riesgo Operativo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Nulo (cuenta verificada y soportada)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riesgo de baneo de número (sin soporte)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Soporte de Funciones Nativas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Limitado (sin gestión de grupos)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Soporte total (incluye grupos y visualización de estados)</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arquitectónica de infraestructura de mensajería para SaaS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 API Cloud de WhatsApp (Meta):</w:t>
      </w:r>
      <w:r w:rsidDel="00000000" w:rsidR="00000000" w:rsidRPr="00000000">
        <w:rPr>
          <w:rFonts w:ascii="Google Sans" w:cs="Google Sans" w:eastAsia="Google Sans" w:hAnsi="Google Sans"/>
          <w:color w:val="1f1f1f"/>
          <w:rtl w:val="0"/>
        </w:rPr>
        <w:t xml:space="preserve"> Constituye el canal oficial de Meta. Su ventaja primordial es la confiabilidad de nivel empresarial: no requiere gestionar conexiones WebSocket frágiles ni colas de mensajería, asegurando alta disponibilidad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Sin embargo, impone restricciones asfixiantes para agentes de IA autónomos que buscan simular un comportamiento humano orgánico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Meta impone la "Regla de las 24 horas", restringiendo los mensajes de forma libre exclusivamente a la ventana de 24 horas posteriores al último mensaje del usuario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Fuera de esa ventana, el agente de ventas de Costo360 tendría que utilizar plantillas de mensajes (marketing, utilidad, autenticación) preaprobadas por Meta, incurriendo en tarifas por conversación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Aunque existen asignaciones de gratuidad (como las primeras 1,000 conversaciones de servicio mensuales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alta escala, las tarifas de Meta pueden erosionar drásticamente los márgenes de beneficio de un SaaS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Evolution API:</w:t>
      </w:r>
      <w:r w:rsidDel="00000000" w:rsidR="00000000" w:rsidRPr="00000000">
        <w:rPr>
          <w:rFonts w:ascii="Google Sans" w:cs="Google Sans" w:eastAsia="Google Sans" w:hAnsi="Google Sans"/>
          <w:color w:val="1f1f1f"/>
          <w:rtl w:val="0"/>
        </w:rPr>
        <w:t xml:space="preserve"> Es una interfaz REST de código abierto, desplegada típicamente vía Docker, que actúa como una capa de middleware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Funciona emulando el protocolo de WhatsApp Web a través de la biblioteca de Node.js Baileys, exponiendo puntos finales HTTP que permiten gestionar múltiples instancias (números de teléfono) desde un único servidor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Dado que simula ser un dispositivo de usuario final estándar, Evolution API elude completamente los procesos de aprobación comercial de Meta, los costos por conversación y las limitaciones de las plantillas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 la infraestructura predilecta para herramientas "no-code" (como n8n) permitiendo el despliegue de chatbots con GPT-4o por menos de 20 USD mensuales en infraestructura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No obstante, conlleva un requerimiento significativo de conocimientos DevOps para mantener el servidor (VPS) operativo indefinidamente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riesgo cardinal es que operar clientes no autorizados viola flagrantemente los términos de servicio de Meta; un escalamiento rápido o patrones de envío que parezcan mecánicos actuarán como señales para los algoritmos anti-spam de Meta, resultando en el baneo irrevocable del número telefónico sin posibilidad de apelación o soporte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Además, los usuarios reportan que la API oficial presenta problemas de lógica de negocio ocultos, donde mensajes enviados sin plantilla retornan un código de éxito 200 pero nunca llegan al destinatario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Estrategia Desacoplada de Costo360:</w:t>
      </w:r>
      <w:r w:rsidDel="00000000" w:rsidR="00000000" w:rsidRPr="00000000">
        <w:rPr>
          <w:rFonts w:ascii="Google Sans" w:cs="Google Sans" w:eastAsia="Google Sans" w:hAnsi="Google Sans"/>
          <w:color w:val="1f1f1f"/>
          <w:rtl w:val="0"/>
        </w:rPr>
        <w:t xml:space="preserve"> Las directrices arquitectónicas para 2026 estipulan que el agente de inteligencia artificial (el modelo, las herramientas y el prompt) debe ser conceptual y lógicamente agnóstico a la capa de transporte que entrega el mensaje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Por consiguiente, Costo360 debe encapsular la lógica del agente de ventas en LangGraph y utilizar variables de entorno para conmutar la capa de mensajería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Durante las fases de prototipado, descubrimiento de clientes (Customer Discovery) e inicio de operaciones, Costo360 utilizará Evolution API alojada en un VPS económico, esquivando las barreras burocráticas y maximizando la flexibilidad de las campañas de alcance en frío (outreach)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Una vez que el SaaS valide el modelo de negocio, genere ingresos recurrentes y el número de teléfono acumule un volumen donde un baneo representaría una crisis de relaciones públicas inaceptable, el sistema rotará sus variables de entorno hacia la WhatsApp Cloud API, absorbiendo los costos operativos transaccionales como un gasto legítimo de aseguramiento de la continuidad del negocio y cumplimiento normativo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Automatización Corporativa II: Contabilidad, Tributación y Legalidad en Colombia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un negocio opere sin humanos, la conciliación financiera, la facturación y el cumplimiento normativo deben integrarse profundamente en la lógica de los agentes. En Colombia, el entorno regulatorio fiscal es estricto, administrado a nivel nacional por la Dirección de Impuestos y Aduanas Nacionales (DIAN) y a nivel local por entidades como la Alcaldía de Barranquilla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Programática de Facturación Electrónica (API de Alegra)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flujo de caja de Costo360 dependerá de la emisión inmediata de facturas electrónicas tras la aceptación de una cotización y la confirmación del pago a través de pasarelas. Para abstraer la inmensa complejidad de los formatos XML exigidos por la DIAN (estándar UBL 2.1), el agente contable utilizará la API de Alegra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Alegra es un proveedor tecnológico habilitado por la DIAN y un ecosistema contable que expone endpoints RESTful para facturar, gestionar clientes, controlar gastos y sincronizar bancos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el agente de ventas cierra un trato en WhatsApp, envía una señal asíncrona al agente de contabilidad en LangGraph. Este agente invoca una solicitud HTTP POST a la API de Alegra con una carga útil (payload) JSON que contiene la información tributaria del cliente, las líneas de detalle de la cotización y los impuestos calculados. Alegra procesa la firma digital, transmite el documento a los servidores de validación previa de la DIAN y, al recibir la confirmación (CUFE validado), despacha el documento PDF y el XML al correo del cliente de manera automática, sin intervención de un contador humano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Tributaria Distrital y Nacional: RST y consolidación del ICA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estructuración corporativa de Costo360 como S.A.S. en la ciudad de Barranquilla ofrece ventajas fiscales estratégicas determinantes si la entidad se inscribe en el Régimen Simple de Tributación (RST) simultáneamente con la obtención de su Registro Único Tributario (RUT) ante la Cámara de Comercio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RST fue legislado en Colombia para mitigar la asfixiante carga tributaria y administrativa de las pequeñas y medianas empresas, consolidando obligaciones como el Impuesto sobre la Renta, el Impuesto Nacional al Consumo y el Impuesto de Industria y Comercio (ICA) en una única declaración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Las tarifas del RST son significativamente más bajas, oscilando entre el 1.2% y el 14.5%, y se liquidan basándose exclusivamente en el nivel de ingresos brutos y la actividad económica, siempre que la corporación no exceda el tope de 100,000 Unidades de Valor Tributario (UVT) en el año gravable anterior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operar en Barranquilla (un nodo logístico y comercial crítico en el Caribe) implica la sujeción a normativas distritales estrictas administradas por la Gerencia de Ingresos, tales como el ICA, retención de ICA, predial y otras sobretasas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En el régimen ordinario, la empresa debería liquidar el ICA independientemente en cada municipio donde preste servicios o tenga clientes. Bajo el RST, el impuesto de industria y comercio consolidado se recauda y liquida mediante el recibo electrónico nacional de anticipos bimestrales ante la DIAN, quien se encarga de transferir los recursos a la jurisdicción correspondiente (en este caso, Barranquilla)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Desde la perspectiva de la ingeniería de software, la adopción del RST simplifica exponencialmente la lógica paramétrica del agente contable. En lugar de mantener una matriz dinámica de tarifas y calendarios tributarios para los 1,102 municipios de Colombia, el agente únicamente necesita calcular la tarifa plana de la DIAN y generar los anticipos bimestrales mediante la integración con la API contable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Como incentivo adicional a la formalización, el RST permite descontar del impuesto a pagar el 0.5% de los pagos que la empresa reciba a través de mecanismos electrónicos (tarjetas de crédito, débito o pasarelas de pago), lo cual fomenta un ecosistema financiero 100% digital e idóneo para un SaaS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Ventaja Competitiva Fundamental: Exclusión del IVA para el SaaS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Colombia, la tarifa general del Impuesto sobre las Ventas (IVA) es del 19%, gravando la transferencia de dominio y la prestación de servicios en el territorio nacional, con su recaudo aplicando en cada etapa de la cadena económica y afectando el precio final al consumidor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La venta o licenciamiento de software tradicional (instalado on-premise) o la comercialización de programas contables, de nómina o inventarios estándar, están inexorablemente gravados con este impuesto, encareciendo el producto en un 19%</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Costo360 cuenta con un blindaje legal crítico establecido en el numeral 21 del artículo 476 del Estatuto Tributario (E.T.), el cual consagra que los servicios de computación en la nube (Cloud Computing) se encuentran expresamente excluidos del IVA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La jurisprudencia de la DIAN, consolidada en el Concepto No. 017056 de 2017 y ratificada por los Oficios 900930 de 2022 y 100208192-190 de 2024, estipula que el proveedor directo del servicio es quien ejerce el derecho a facturar sin IVA, indistintamente del modelo de despliegue (Software as a Service - SaaS, Platform as a Service - PaaS, o Infrastructure as a Service - IaaS)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el agente contable autónomo emita facturas excluidas de IVA y pueda soportar una fiscalización gubernamental, la arquitectura algorítmica de Costo360 debe garantizar y documentar rigurosamente el cumplimiento de las cinco características esenciales del "Cloud Computing" dictaminadas por el Ministerio de Tecnologías de la Información y las Comunicaciones (MinTIC), derivadas de los estándares del NIST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Autoservicio bajo demanda:</w:t>
      </w:r>
      <w:r w:rsidDel="00000000" w:rsidR="00000000" w:rsidRPr="00000000">
        <w:rPr>
          <w:rFonts w:ascii="Google Sans" w:cs="Google Sans" w:eastAsia="Google Sans" w:hAnsi="Google Sans"/>
          <w:color w:val="1f1f1f"/>
          <w:rtl w:val="0"/>
        </w:rPr>
        <w:t xml:space="preserve"> Las empresas marmoleras y constructoras deben poder registrarse, acceder a la plataforma web y generar cotizaciones paramétricas de manera unilateral, sin requerir interacción o validación humana por parte del personal de Costo360</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Acceso amplio a la red:</w:t>
      </w:r>
      <w:r w:rsidDel="00000000" w:rsidR="00000000" w:rsidRPr="00000000">
        <w:rPr>
          <w:rFonts w:ascii="Google Sans" w:cs="Google Sans" w:eastAsia="Google Sans" w:hAnsi="Google Sans"/>
          <w:color w:val="1f1f1f"/>
          <w:rtl w:val="0"/>
        </w:rPr>
        <w:t xml:space="preserve"> Las capacidades del sistema deben estar disponibles a través de redes estándar de internet, accesibles desde múltiples plataformas (navegadores de escritorio, tabletas y teléfonos móviles)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Asignación común de recursos (Resource Pooling):</w:t>
      </w:r>
      <w:r w:rsidDel="00000000" w:rsidR="00000000" w:rsidRPr="00000000">
        <w:rPr>
          <w:rFonts w:ascii="Google Sans" w:cs="Google Sans" w:eastAsia="Google Sans" w:hAnsi="Google Sans"/>
          <w:color w:val="1f1f1f"/>
          <w:rtl w:val="0"/>
        </w:rPr>
        <w:t xml:space="preserve"> Los recursos de computación subyacentes del SaaS deben estar agrupados para servir a múltiples consumidores utilizando un modelo multi-inquilino (multi-tenant), aislando lógicamente los datos de cada cliente, pero compartiendo la infraestructura física o virtual subyacente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Rápida elasticidad:</w:t>
      </w:r>
      <w:r w:rsidDel="00000000" w:rsidR="00000000" w:rsidRPr="00000000">
        <w:rPr>
          <w:rFonts w:ascii="Google Sans" w:cs="Google Sans" w:eastAsia="Google Sans" w:hAnsi="Google Sans"/>
          <w:color w:val="1f1f1f"/>
          <w:rtl w:val="0"/>
        </w:rPr>
        <w:t xml:space="preserve"> Las capacidades de procesamiento de los agentes de IA y los motores de renderizado deben escalar vertical u horizontalmente de forma rápida —y en algunos casos automáticamente— para absorber los picos de demanda (por ejemplo, escalar contenedores Docker de WeasyPrint)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Servicio medible:</w:t>
      </w:r>
      <w:r w:rsidDel="00000000" w:rsidR="00000000" w:rsidRPr="00000000">
        <w:rPr>
          <w:rFonts w:ascii="Google Sans" w:cs="Google Sans" w:eastAsia="Google Sans" w:hAnsi="Google Sans"/>
          <w:color w:val="1f1f1f"/>
          <w:rtl w:val="0"/>
        </w:rPr>
        <w:t xml:space="preserve"> El ecosistema de Costo360 debe controlar y optimizar automáticamente el uso de recursos mediante capacidades de medición apropiadas (almacenamiento, procesamiento, ancho de banda o consumo de tokens del LLM)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configurar el sistema contable (Alegra) para aplicar la exclusión del artículo 476, Costo360 obtiene una ventaja de precio del 19% frente a competidores internacionales o de software tradicional, optimizando la adquisición de clientes y democratizando el acceso a tecnología de punta en el sector de la construcción colombiano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Agente de Producto Específico: Procesamiento Visual y Generación Dinámica de Cotizaciones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valor central del producto (Core Product Value) de Costo360 reside en su capacidad para reemplazar el trabajo de escritorio manual en el ecosistema de estimación de materiales. Sistemas actuales como CounterGo o SlabWare exigen que un humano dibuje la encimera virtual, aplique radios de curvatura, inserte recortes para fregaderos y superponga los planos vectoriales sobre fotografías de alta resolución de las losas de piedra (slab layouts) para visualizar las vetas, estimar la cantidad de material (slabs requeridos) y determinar el impacto de los cortes y costuras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agente de producto de Costo360 asume la totalidad de estas responsabilidades de geometría computacional basándose en la parametrización inicial del usuario. Sin embargo, para que el resultado sea un documento corporativo que el contratista pueda entregar a su cliente final, la cotización en PDF debe estar estandarizada y, de forma simultánea, profundamente personalizada con la identidad visual (branding) del contratista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Extracción Algorítmica de la Paleta de Colores (Clustering K-Means)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lograr una personalización autónoma de la interfaz de la cotización, el agente debe analizar el archivo de imagen del logotipo cargado por el cliente y extraer la paleta de colores corporativa. El enfoque computacional más robusto y científicamente preciso para esta tarea es la utilización de técnicas de agrupamiento (clustering) del aprendizaje automático no supervisado, específicamente el algoritmo K-Means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lugar de utilizar algoritmos primitivos de extracción de los "píxeles más frecuentes" (los cuales tienden a saturarse con colores de fondo irrelevantes como el blanco puro o el negro de contorno), K-Means encuentra los colores verdaderamente representativos calculando centros de masa en el espacio tridimensional RGB. El procedimiento en Python, utilizando bibliotecas como scipy o scikit-learn, se estructura matemáticamente en las siguientes fases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Lectura y Aplanamiento:</w:t>
      </w:r>
      <w:r w:rsidDel="00000000" w:rsidR="00000000" w:rsidRPr="00000000">
        <w:rPr>
          <w:rFonts w:ascii="Google Sans" w:cs="Google Sans" w:eastAsia="Google Sans" w:hAnsi="Google Sans"/>
          <w:color w:val="1f1f1f"/>
          <w:rtl w:val="0"/>
        </w:rPr>
        <w:t xml:space="preserve"> La imagen matricial de dimensiones </w:t>
      </w:r>
      <w:r w:rsidDel="00000000" w:rsidR="00000000" w:rsidRPr="00000000">
        <w:rPr>
          <w:rFonts w:ascii="Google Sans" w:cs="Google Sans" w:eastAsia="Google Sans" w:hAnsi="Google Sans"/>
          <w:color w:val="1f1f1f"/>
        </w:rPr>
        <w:drawing>
          <wp:inline distB="19050" distT="19050" distL="19050" distR="19050">
            <wp:extent cx="967026" cy="243660"/>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967026" cy="243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(representando los tres canales de color: Rojo, Verde, Azul) se decodifica y se aplana en un DataFrame estructurado como una matriz bidimensional de </w:t>
      </w:r>
      <w:r w:rsidDel="00000000" w:rsidR="00000000" w:rsidRPr="00000000">
        <w:rPr>
          <w:rFonts w:ascii="Google Sans" w:cs="Google Sans" w:eastAsia="Google Sans" w:hAnsi="Google Sans"/>
          <w:color w:val="1f1f1f"/>
        </w:rPr>
        <w:drawing>
          <wp:inline distB="19050" distT="19050" distL="19050" distR="19050">
            <wp:extent cx="1119664" cy="243736"/>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119664" cy="2437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transformando cada píxel en un vector de coordenadas en un espacio euclidiano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Blanqueamiento de Datos (Data Whitening):</w:t>
      </w:r>
      <w:r w:rsidDel="00000000" w:rsidR="00000000" w:rsidRPr="00000000">
        <w:rPr>
          <w:rFonts w:ascii="Google Sans" w:cs="Google Sans" w:eastAsia="Google Sans" w:hAnsi="Google Sans"/>
          <w:color w:val="1f1f1f"/>
          <w:rtl w:val="0"/>
        </w:rPr>
        <w:t xml:space="preserve"> Este paso de preprocesamiento estadístico es crítico. Los valores RGB originales (que varían de 0 a 255) se escalan dividiéndolos por la desviación estándar de cada canal respectivo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Matemáticamente, esto transforma la nube de puntos de píxeles en una distribución esférica de varianza unitaria. El blanqueamiento asegura que el algoritmo K-Means no favorezca erróneamente variaciones de intensidad en un solo canal (por ejemplo, un logotipo con alta saturación en rojo), permitiendo agrupar tonos por su proximidad real en cromaticidad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Ejecución de la Iteración K-Means:</w:t>
      </w:r>
      <w:r w:rsidDel="00000000" w:rsidR="00000000" w:rsidRPr="00000000">
        <w:rPr>
          <w:rFonts w:ascii="Google Sans" w:cs="Google Sans" w:eastAsia="Google Sans" w:hAnsi="Google Sans"/>
          <w:color w:val="1f1f1f"/>
          <w:rtl w:val="0"/>
        </w:rPr>
        <w:t xml:space="preserve"> Se inicializa el modelo definiendo el hiperparámetro de clústeres deseados, típicamente </w:t>
      </w:r>
      <w:r w:rsidDel="00000000" w:rsidR="00000000" w:rsidRPr="00000000">
        <w:rPr>
          <w:rFonts w:ascii="Google Sans" w:cs="Google Sans" w:eastAsia="Google Sans" w:hAnsi="Google Sans"/>
          <w:color w:val="1f1f1f"/>
        </w:rPr>
        <w:drawing>
          <wp:inline distB="19050" distT="19050" distL="19050" distR="19050">
            <wp:extent cx="539591" cy="243196"/>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591" cy="243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obtener colores primarios, secundarios, de énfasis y neutros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El algoritmo selecciona aleatoriamente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centroides iniciales, asigna cada píxel al centroide más cercano calculando la distancia euclidiana mínima, y recalcula iterativamente la posición de los centroides como la media de todos los puntos de su grupo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Esto se repite hasta alcanzar convergencia computacional (cuando el movimiento de los centroides es insignificante)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Restauración Inversa RGB:</w:t>
      </w:r>
      <w:r w:rsidDel="00000000" w:rsidR="00000000" w:rsidRPr="00000000">
        <w:rPr>
          <w:rFonts w:ascii="Google Sans" w:cs="Google Sans" w:eastAsia="Google Sans" w:hAnsi="Google Sans"/>
          <w:color w:val="1f1f1f"/>
          <w:rtl w:val="0"/>
        </w:rPr>
        <w:t xml:space="preserve"> Los centroides resultantes (cluster_centers), que se encontraban en un espacio estadístico blanqueado, son multiplicados inversamente por sus desviaciones estándar originales para devolverlos al espectro de color estándar RGB (0-255), obteniendo finalmente las variables de color hexadecimales que serán inyectadas en la hoja de estilos CSS de la cotización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Validación Matemática de Accesibilidad Visual (Ratio de Contraste WCAG 2.1/2.2)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Extraer los colores del logotipo de una constructora resuelve solo el problema de la identidad de marca, pero introduce un fallo de diseño crítico. Si el agente de producto decide usar el color primario extraído (por ejemplo, un amarillo brillante #facc15) como fondo para el texto blanco de las listas de materiales, el resultado será estadísticamente ilegible (ratio de ~1.6:1), lo que arruinará la legibilidad de la cotización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En el diseño web tradicional, un humano detectaría este error; en un SaaS completamente autónomo, el agente de IA debe aplicar una evaluación matemática para validar las combinaciones de colores.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metodología estándar industrial es el cálculo del Ratio de Contraste definido por las Pautas de Accesibilidad para el Contenido Web (WCAG 2.1 y 2.2), mantenidas por el W3C</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El algoritmo de la WCAG no evalúa el brillo percibido o la viveza de un color (que puede ser engañoso), sino su "Luminancia Relativa", una medida lineal del brillo de un color normalizada entre 0 (negro más oscuro) y 1 (blanco más claro)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agente en Python ejecutará el siguiente bloque matemático de transformación fotométrica para cada par de colores propuesto (fondo y texto):</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Transformación de sRGB a RGB Lineal:</w:t>
      </w:r>
      <w:r w:rsidDel="00000000" w:rsidR="00000000" w:rsidRPr="00000000">
        <w:rPr>
          <w:rFonts w:ascii="Google Sans" w:cs="Google Sans" w:eastAsia="Google Sans" w:hAnsi="Google Sans"/>
          <w:color w:val="1f1f1f"/>
          <w:rtl w:val="0"/>
        </w:rPr>
        <w:t xml:space="preserve"> Las representaciones numéricas sRGB de las pantallas están comprimidas mediante corrección gamma. Para calcular la luz física real emitida, el algoritmo primero divide cada canal (</w:t>
      </w:r>
      <w:r w:rsidDel="00000000" w:rsidR="00000000" w:rsidRPr="00000000">
        <w:rPr>
          <w:rFonts w:ascii="Google Sans" w:cs="Google Sans" w:eastAsia="Google Sans" w:hAnsi="Google Sans"/>
          <w:color w:val="1f1f1f"/>
        </w:rPr>
        <w:drawing>
          <wp:inline distB="19050" distT="19050" distL="19050" distR="19050">
            <wp:extent cx="382786" cy="244983"/>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2786" cy="2449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88144" cy="243541"/>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88144" cy="243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82786" cy="244983"/>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82786" cy="2449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255. Luego, aplica una función por partes (piecewise function) no lineal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995309"/>
            <wp:effectExtent b="0" l="0" r="0" t="0"/>
            <wp:docPr id="2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05500" cy="99530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1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las componentes roja, verde y azul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Cálculo de la Luminancia Relativa (</w:t>
      </w:r>
      <w:r w:rsidDel="00000000" w:rsidR="00000000" w:rsidRPr="00000000">
        <w:rPr>
          <w:rFonts w:ascii="Google Sans" w:cs="Google Sans" w:eastAsia="Google Sans" w:hAnsi="Google Sans"/>
          <w:b w:val="1"/>
          <w:bCs w:val="1"/>
          <w:color w:val="1f1f1f"/>
        </w:rPr>
        <w:drawing>
          <wp:inline distB="19050" distT="19050" distL="19050" distR="19050">
            <wp:extent cx="133469" cy="251236"/>
            <wp:effectExtent b="0" l="0" r="0" t="0"/>
            <wp:docPr id="2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33469" cy="25123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Dado que la anatomía del ojo humano tiene picos de sensibilidad espectral dramáticamente diferentes (altamente sensible al verde, moderadamente al rojo, y con sensibilidad reducida al azul), el espacio de color lineal debe ponderarse fotométricamente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3633"/>
            <wp:effectExtent b="0" l="0" r="0" t="0"/>
            <wp:docPr id="2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05500" cy="6436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Algoritmo de Ratio de Contraste (</w:t>
      </w:r>
      <w:r w:rsidDel="00000000" w:rsidR="00000000" w:rsidRPr="00000000">
        <w:rPr>
          <w:rFonts w:ascii="Google Sans" w:cs="Google Sans" w:eastAsia="Google Sans" w:hAnsi="Google Sans"/>
          <w:b w:val="1"/>
          <w:bCs w:val="1"/>
          <w:color w:val="1f1f1f"/>
        </w:rPr>
        <w:drawing>
          <wp:inline distB="19050" distT="19050" distL="19050" distR="19050">
            <wp:extent cx="290274" cy="251048"/>
            <wp:effectExtent b="0" l="0" r="0" t="0"/>
            <wp:docPr id="2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90274" cy="2510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Se compara la luminancia del color más claro (</w:t>
      </w:r>
      <w:r w:rsidDel="00000000" w:rsidR="00000000" w:rsidRPr="00000000">
        <w:rPr>
          <w:rFonts w:ascii="Google Sans" w:cs="Google Sans" w:eastAsia="Google Sans" w:hAnsi="Google Sans"/>
          <w:color w:val="1f1f1f"/>
        </w:rPr>
        <w:drawing>
          <wp:inline distB="19050" distT="19050" distL="19050" distR="19050">
            <wp:extent cx="211812" cy="251037"/>
            <wp:effectExtent b="0" l="0" r="0" t="0"/>
            <wp:docPr id="2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11812" cy="251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valor más cercano a 1) contra la luminancia del color más oscuro (</w:t>
      </w:r>
      <w:r w:rsidDel="00000000" w:rsidR="00000000" w:rsidRPr="00000000">
        <w:rPr>
          <w:rFonts w:ascii="Google Sans" w:cs="Google Sans" w:eastAsia="Google Sans" w:hAnsi="Google Sans"/>
          <w:color w:val="1f1f1f"/>
        </w:rPr>
        <w:drawing>
          <wp:inline distB="19050" distT="19050" distL="19050" distR="19050">
            <wp:extent cx="211812" cy="251037"/>
            <wp:effectExtent b="0" l="0" r="0" t="0"/>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11812" cy="251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valor más cercano a 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Se añade un factor de 0.05 en el numerador y denominador. Matemáticamente, este 0.05 representa una compensación teórica para el resplandor de pantalla o reflejo ambiental (screen flare) presente en visualizaciones de uso diario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3606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05500" cy="8360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rango del </w:t>
      </w:r>
      <w:r w:rsidDel="00000000" w:rsidR="00000000" w:rsidRPr="00000000">
        <w:rPr>
          <w:rFonts w:ascii="Google Sans" w:cs="Google Sans" w:eastAsia="Google Sans" w:hAnsi="Google Sans"/>
          <w:color w:val="1f1f1f"/>
        </w:rPr>
        <w:drawing>
          <wp:inline distB="19050" distT="19050" distL="19050" distR="19050">
            <wp:extent cx="290274" cy="251048"/>
            <wp:effectExtent b="0" l="0" r="0" t="0"/>
            <wp:docPr id="2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90274" cy="251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extenderá desde </w:t>
      </w:r>
      <w:r w:rsidDel="00000000" w:rsidR="00000000" w:rsidRPr="00000000">
        <w:rPr>
          <w:rFonts w:ascii="Google Sans" w:cs="Google Sans" w:eastAsia="Google Sans" w:hAnsi="Google Sans"/>
          <w:color w:val="1f1f1f"/>
        </w:rPr>
        <w:drawing>
          <wp:inline distB="19050" distT="19050" distL="19050" distR="19050">
            <wp:extent cx="359331" cy="237005"/>
            <wp:effectExtent b="0" l="0" r="0" t="0"/>
            <wp:docPr id="29"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59331" cy="237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(colores idénticos, nulo contraste) hasta </w:t>
      </w:r>
      <w:r w:rsidDel="00000000" w:rsidR="00000000" w:rsidRPr="00000000">
        <w:rPr>
          <w:rFonts w:ascii="Google Sans" w:cs="Google Sans" w:eastAsia="Google Sans" w:hAnsi="Google Sans"/>
          <w:color w:val="1f1f1f"/>
        </w:rPr>
        <w:drawing>
          <wp:inline distB="19050" distT="19050" distL="19050" distR="19050">
            <wp:extent cx="457319" cy="236282"/>
            <wp:effectExtent b="0" l="0" r="0" t="0"/>
            <wp:docPr id="30"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57319" cy="236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(negro puro sobre blanco puro)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agente de Costo360 evaluará los resultados contra la Matriz de Accesibilidad WCAG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Tamaño / Tipo de Componente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WCAG AA (Mínimo Estándar)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WCAG AAA (Estricto)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Texto Pequeño / Normal (&lt; 18pt)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8661" cy="239554"/>
                  <wp:effectExtent b="0" l="0" r="0" t="0"/>
                  <wp:docPr id="3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718661" cy="2395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8661" cy="239554"/>
                  <wp:effectExtent b="0" l="0" r="0" t="0"/>
                  <wp:docPr id="32"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718661" cy="239554"/>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Texto Grande / Negrita (</w:t>
            </w:r>
            <w:r w:rsidDel="00000000" w:rsidR="00000000" w:rsidRPr="00000000">
              <w:rPr>
                <w:rFonts w:ascii="Google Sans" w:cs="Google Sans" w:eastAsia="Google Sans" w:hAnsi="Google Sans"/>
                <w:b w:val="1"/>
                <w:bCs w:val="1"/>
                <w:color w:val="1f1f1f"/>
              </w:rPr>
              <w:drawing>
                <wp:inline distB="19050" distT="19050" distL="19050" distR="19050">
                  <wp:extent cx="572214" cy="244145"/>
                  <wp:effectExtent b="0" l="0" r="0" t="0"/>
                  <wp:docPr id="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2214" cy="2441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8661" cy="239554"/>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718661" cy="2395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8661" cy="239554"/>
                  <wp:effectExtent b="0" l="0" r="0" t="0"/>
                  <wp:docPr id="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718661" cy="239554"/>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Bordes e Interfaces de Usuario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8661" cy="239554"/>
                  <wp:effectExtent b="0" l="0" r="0" t="0"/>
                  <wp:docPr id="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718661" cy="2395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Logotipos / Gráficos Puros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Exentos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Exentos</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Estándares de Contraste WCAG 2.1</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 combinación inicial falla la prueba (por ejemplo, produciendo un ratio de 2.6:1)</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agente modificará programáticamente el espacio de color. Transformará la representación HEX/RGB a formatos perceptuales (como HSL o CIELAB L</w:t>
      </w:r>
      <w:r w:rsidDel="00000000" w:rsidR="00000000" w:rsidRPr="00000000">
        <w:rPr>
          <w:rFonts w:ascii="Google Sans" w:cs="Google Sans" w:eastAsia="Google Sans" w:hAnsi="Google Sans"/>
          <w:i w:val="1"/>
          <w:iCs w:val="1"/>
          <w:color w:val="1f1f1f"/>
          <w:rtl w:val="0"/>
        </w:rPr>
        <w:t xml:space="preserve">a</w:t>
      </w:r>
      <w:r w:rsidDel="00000000" w:rsidR="00000000" w:rsidRPr="00000000">
        <w:rPr>
          <w:rFonts w:ascii="Google Sans" w:cs="Google Sans" w:eastAsia="Google Sans" w:hAnsi="Google Sans"/>
          <w:color w:val="1f1f1f"/>
          <w:rtl w:val="0"/>
        </w:rPr>
        <w:t xml:space="preserve">b*) para preservar el tono cromático (Hue) y la saturación de la marca del cliente, pero alterará iterativamente la componente de luminosidad o "Lightness" (</w:t>
      </w:r>
      <w:r w:rsidDel="00000000" w:rsidR="00000000" w:rsidRPr="00000000">
        <w:rPr>
          <w:rFonts w:ascii="Google Sans" w:cs="Google Sans" w:eastAsia="Google Sans" w:hAnsi="Google Sans"/>
          <w:color w:val="1f1f1f"/>
        </w:rPr>
        <w:drawing>
          <wp:inline distB="19050" distT="19050" distL="19050" distR="19050">
            <wp:extent cx="211812" cy="251037"/>
            <wp:effectExtent b="0" l="0" r="0" t="0"/>
            <wp:docPr id="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11812" cy="251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 primer plano o fondo hasta alcanzar y rebasar el umbral estricto de legibilidad de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manera garantizada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Renderizado de Documentos (Motor PDF)</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las paletas de colores matemáticas generadas y aplicadas a los cálculos estructurales de la cotización (que incluyen el modelo del rendimiento de material y diagramación de losas), el sistema debe consolidar un archivo físico en formato Documento Portátil (PDF). El ecosistema web sufre históricamente deficiencias notorias en el renderizado automatizado; el simple uso de funciones del navegador para exportar páginas HTML (o herramientas anticuadas como Wkhtmltopdf) a menudo produce roturas de diseño de página, tablas cortadas y anomalías de renderizado CSS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 arquitectura SaaS de Costo360, se evaluaron tres tecnologías de composición y tipografía programática: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Tecnología de Renderizado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Subyacente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Ventajas Arquitectónicas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Inconvenientes / Limitaciones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y lenguaje de marcado escrito en Rust, desde cero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Máxima velocidad de compilación, sintaxis impecable, resultados tipo LaTeX sin su complejidad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Ecosistema incipiente de abstracción de datos para inyectar JSON anidados complejos directamente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React-PDF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Primitivas del DOM virtual mapeadas al lienzo de PDF vía Node.js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al 100% (lo que diseñas es lo que obtienes), integración con Tailwind y componentes modernos de React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Exige dependencia paralela de un entorno Node/JavaScript, fragmentando la base de código centralizada en Python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WeasyPrint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gráfico autónomo en Python basado en la especificación CSS Paged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Biblioteca nativa de Python. Altísimo control sobre la paginación de revistas, facturas y reportes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Dificultades históricas de conversión CMYK, optimizado estrictamente para web-to-print B2B</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Motores de Generación PDF Automatizados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Implementación Arquitectónica con WeasyPrint:</w:t>
      </w:r>
      <w:r w:rsidDel="00000000" w:rsidR="00000000" w:rsidRPr="00000000">
        <w:rPr>
          <w:rFonts w:ascii="Google Sans" w:cs="Google Sans" w:eastAsia="Google Sans" w:hAnsi="Google Sans"/>
          <w:color w:val="1f1f1f"/>
          <w:rtl w:val="0"/>
        </w:rPr>
        <w:t xml:space="preserve"> Dado que el sistema maestro orquestador (LangGraph) y las tuberías matemáticas (K-Means/WCAG en SciPy) operan nativamente en Python, fragmentar el backend para acomodar React-PDF inyecta latencia e innecesaria complejidad de red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su lugar, el uso de </w:t>
      </w:r>
      <w:r w:rsidDel="00000000" w:rsidR="00000000" w:rsidRPr="00000000">
        <w:rPr>
          <w:rFonts w:ascii="Google Sans" w:cs="Google Sans" w:eastAsia="Google Sans" w:hAnsi="Google Sans"/>
          <w:b w:val="1"/>
          <w:bCs w:val="1"/>
          <w:color w:val="1f1f1f"/>
          <w:rtl w:val="0"/>
        </w:rPr>
        <w:t xml:space="preserve">WeasyPrint</w:t>
      </w:r>
      <w:r w:rsidDel="00000000" w:rsidR="00000000" w:rsidRPr="00000000">
        <w:rPr>
          <w:rFonts w:ascii="Google Sans" w:cs="Google Sans" w:eastAsia="Google Sans" w:hAnsi="Google Sans"/>
          <w:color w:val="1f1f1f"/>
          <w:rtl w:val="0"/>
        </w:rPr>
        <w:t xml:space="preserve"> representa el pináculo de la sinergia arquitectónica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diferencia de los motores basados en navegadores (Chromium headless/Webkit), los navegadores no respetan adecuadamente los estándares "CSS Paged Media", los cuales dictan cómo un documento se divide en hojas físicas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WeasyPrint, al ser un motor construido desde cero para propósitos específicos de impresión, respeta cabalmente los modelos de partición de cuadrículas (CSS Grid/Flexbox), numeración condicional y escalamiento geométrico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Agente de Producto toma las listas de materiales estructuradas, la geometría del despiece de losas, la paleta de colores y el logotipo, y los inyecta en una plantilla de sintaxis Jinja2 (HTML). La salida resultante se transmite directamente al objeto de Python de WeasyPrint, el cual compila instantáneamente un documento PDF corporativo con una apariencia que excede sistemáticamente en pulcritud y claridad visual a la competencia (como CounterGo o Quote Countertops)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preparado para adjuntarse y entregarse vía WhatsApp.</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Desglose Exhaustivo de Infraestructura y Viabilidad Financiera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financiero del SaaS autónomo contrasta fuertemente con la contabilidad de una empresa tradicional. La S.A.S. Costo360 desplaza sus Gastos Operativos (OPEX) asociados a la nómina humana, la seguridad social y el arrendamiento de instalaciones corporativas físicas, reemplazándolos con costos hiper-escalables de computación en la nube (Cloud CAPEX/OPEX), llamadas de Interfaz de Programación de Aplicaciones (API) y consumos estocásticos de modelos LLM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siguiente es un modelado exhaustivo de costos fijos y variables para el sostenimiento del ecosistema en su fase de tracción temprana (estimando un flujo transaccional de 1,000 cotizaciones B2B procesadas, depuradas y facturadas mensualmente):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Tecnológica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Herramienta / Estrategia Recomendada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de Arquitectura y Costo Relativo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Presupuesto Mensual Estimado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Modelos Fundacionales (LLMs)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Anthropic (Claude 3.5 Sonnet) / OpenAI (GPT-4o)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costos se basan en el conteo iterativo de "tokens" procesados. Para sistemas deterministas de LangGraph, donde el volumen de iteración conversacional es bajo (~4.2 llamadas por flujo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Claude 3.5 Sonnet proporciona una inferencia ultra-rápida (aprox. $0.003 por mensaje procesado)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GPT-4o actúa como reserva cognitiva de alto nivel para problemas matemáticos no estructurados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60.00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Servidores de Aplicaciones (VPS)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Railway / DigitalOcean / Donweb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hardware requerido para alojar contenedores Docker de la lógica Python (WeasyPrint, LangGraph) y el servidor WhatsApp. Un Servidor Privado Virtual (VPS) de rendimiento equilibrado provee resiliencia; se recomienda iniciar con nodos que cuestan entre 5 y 10 USD antes del hiper-escalamiento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8"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Observabilidad y Rastreo de Agentes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Langfuse (Autoalojado vía Docker)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imperativo monitorear los fallos en LangGraph y CrewAI. Alternativas licenciadas como LangSmith (desde $39/usuario) resultan costosas. Langfuse ofrece rastreo de código abierto avanzado mediante contenedores, consumiendo únicamente el costo base del servidor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$ 0.00 (Licencia de Software Abierta)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Persistencia Transaccional (Bases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PostgreSQL Gestionada (DBaaS)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fundamental que las máquinas de estado de LangGraph posean un "checkpointer" relacional robusto como Postgres. Asegura que los agentes puedan retomar el contexto en caso de una falla del sistema sin pérdida de memoria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9"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25.00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Canales de Mensajería (WhatsApp)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 API (Transición a Cloud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costo de mantener el contenedor de emulación Baileys en el VPS. Si se utilizan las 1,000 conversaciones de servicio gratuitas de la API de Meta, el costo inicial es cero; exceder ese límite incurre en tarifas por conversación impuestas por la matriz Meta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41841" cy="209293"/>
                  <wp:effectExtent b="0" l="0" r="0" t="0"/>
                  <wp:docPr id="10"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41841" cy="209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25.00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Suite Contable y Facturación DIAN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Alegra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Suscripción a la plataforma contable con derechos de acceso a endpoints API REST para automatizar el alta de clientes, la sincronización de facturación electrónica con el estándar UBL 2.1 y la generación de recibos XML y PDF para el adquirente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18"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80.00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Obligaciones Tributarias y Retenciones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Régimen Simple (RST) y Alcaldía de Barranquilla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Costo Estructural Variable.</w:t>
            </w:r>
            <w:r w:rsidDel="00000000" w:rsidR="00000000" w:rsidRPr="00000000">
              <w:rPr>
                <w:rFonts w:ascii="Google Sans" w:cs="Google Sans" w:eastAsia="Google Sans" w:hAnsi="Google Sans"/>
                <w:color w:val="1f1f1f"/>
                <w:rtl w:val="0"/>
              </w:rPr>
              <w:t xml:space="preserve"> Consolidación del impuesto unificado de renta, y los tributos de industria y comercio territorial (ICA). Tarifas aplicables del 1.2% al 14.5% de ingresos brutos anuales, sin carga transaccional de IVA del 19% por exención gubernamental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Porcentaje proporcional sobre los ingresos generados.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Costo Total Operativo Estimado (TCO)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Infraestructura Core Mensual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desembolso permite sostener un ecosistema de agentes que equivaldría al trabajo simultáneo de un diseñador CAD, un analista de ventas y un auxiliar contable humano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20"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230.00</w:t>
            </w:r>
          </w:p>
        </w:tc>
      </w:tr>
    </w:tbl>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sobre la Operatividad Autónoma de Costo360</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concepción teórica y técnica de Costo360 no solo se alinea con la vanguardia de la ingeniería de software aplicada, sino que reconfigura drásticamente los modelos económicos de penetración de mercado en el sector latinoamericano de la construcción y marmolería. La viabilidad de una corporación operada al cien por ciento por inteligencia artificial depende de tres pilares arquitectónicos que deben interactuar sin fricción: el control estricto de los flujos del sistema subyacente, la optimización intensiva de los canales de comunicación y el cumplimiento incuestionable del ecosistema jurídico del país de operación.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Desde la vertiente arquitectónica, la amalgama de un diseño multi-agente híbrido ofrece la resiliencia obligatoria para software de misión crítica corporativa. La elección de delegar el enrutamiento transaccional, el estado global y las recuperaciones de fallo al determinismo algorítmico de LangGraph mitiga las deficiencias impredecibles inherentes a los modelos conversacionales que caracterizan al "Agente Dios" monolítico, asegurando altas tasas de recuperación y eficiencia computacional. Al mismo tiempo, la inserción de las jerarquías de trabajo especializadas (marketing, prospección activa y ventas en frío a arquitectos) diseñadas bajo CrewAI provee a la compañía de capacidades generativas con baja latencia en diseño y despliegue rápido, modelando de manera fidedigna los esquemas de transferencia de contexto corporativo humano.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del núcleo funcional del producto (el Agente de Producto Específico), la plataforma sustituye herramientas tradicionales engorrosas dependientes del trabajo manual. Al integrar matemática estadística pura en forma de modelos de aprendizaje no supervisado (K-Means Clustering y su subsecuente paso de blanqueamiento de datos espaciales), la empresa automatiza la extracción forense de colores corporativos. La combinación sinérgica con algoritmos perceptuales obligatorios definidos en el estándar WCAG 2.1 —mediante la conversión sRGB a RGB Lineal para la estipulación del ratio de luminancia— asegura que los reportes autogenerados sean infaliblemente legibles y accesibles. Estos reportes, construidos a través del motor de impresión fotográfica de alta escalabilidad WeasyPrint de Python, erradican la necesidad de intermediación de un diseñador de interfaces humano y de editores engorrosos.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la integración ininterrumpida de estas tuberías tecnológicas en el marco normativo de la ciudad de Barranquilla (integración transparente con la Dirección de Impuestos y Aduanas Nacionales y la Secretaría de Hacienda distrital a través de la API de Alegra y el marco legal unificado del Régimen Simple de Tributación) otorga una infraestructura de facturación automatizada que, debido a la catalogación rigurosa de Costo360 como proveedor de computación en la nube (Cloud Computing), elude el recargo oneroso del 19% del IVA. Esto confiere una estructura de costos operativa altamente disruptiva, anclada en consumos de nube variables con desembolsos mínimos por parte de la empresa (inferiores a los 230 USD mensuales para 1,000 interacciones comerciales). Las reducciones sistemáticas en la barrera de tiempo para la generación de diseño estructural y la escalabilidad teóricamente infinita de la capacidad concurrente de las APIs posicionan a la empresa autónoma como un paradigma factible, disruptivo y profundamente resiliente frente a los modelos clásicos en la industria colombiana de insumos constructivos y pétreos.</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vs CrewAI vs AutoGen: The Complete Multi-Agent AI Orchestration Guide for 2026 - DEV Community, </w:t>
      </w:r>
      <w:hyperlink r:id="rId34">
        <w:r w:rsidDel="00000000" w:rsidR="00000000" w:rsidRPr="00000000">
          <w:rPr>
            <w:rFonts w:ascii="Google Sans" w:cs="Google Sans" w:eastAsia="Google Sans" w:hAnsi="Google Sans"/>
            <w:color w:val="0000ee"/>
            <w:sz w:val="24"/>
            <w:szCs w:val="24"/>
            <w:u w:val="single"/>
            <w:rtl w:val="0"/>
          </w:rPr>
          <w:t xml:space="preserve">https://dev.to/pockit_tools/langgraph-vs-crewai-vs-autogen-the-complete-multi-agent-ai-orchestration-guide-for-2026-2d63</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Countertop Fabrication Software in 2026 - Slashdot, </w:t>
      </w:r>
      <w:hyperlink r:id="rId35">
        <w:r w:rsidDel="00000000" w:rsidR="00000000" w:rsidRPr="00000000">
          <w:rPr>
            <w:rFonts w:ascii="Google Sans" w:cs="Google Sans" w:eastAsia="Google Sans" w:hAnsi="Google Sans"/>
            <w:color w:val="0000ee"/>
            <w:sz w:val="24"/>
            <w:szCs w:val="24"/>
            <w:u w:val="single"/>
            <w:rtl w:val="0"/>
          </w:rPr>
          <w:t xml:space="preserve">https://slashdot.org/software/countertop-fabrication/</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CounterGo Reviews - 2026 - Slashdot, </w:t>
      </w:r>
      <w:hyperlink r:id="rId36">
        <w:r w:rsidDel="00000000" w:rsidR="00000000" w:rsidRPr="00000000">
          <w:rPr>
            <w:rFonts w:ascii="Google Sans" w:cs="Google Sans" w:eastAsia="Google Sans" w:hAnsi="Google Sans"/>
            <w:color w:val="0000ee"/>
            <w:sz w:val="24"/>
            <w:szCs w:val="24"/>
            <w:u w:val="single"/>
            <w:rtl w:val="0"/>
          </w:rPr>
          <w:t xml:space="preserve">https://slashdot.org/software/p/CounterGo/</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CounterGo - Countertop Drawing and Estimating Software - Moraware, </w:t>
      </w:r>
      <w:hyperlink r:id="rId37">
        <w:r w:rsidDel="00000000" w:rsidR="00000000" w:rsidRPr="00000000">
          <w:rPr>
            <w:rFonts w:ascii="Google Sans" w:cs="Google Sans" w:eastAsia="Google Sans" w:hAnsi="Google Sans"/>
            <w:color w:val="0000ee"/>
            <w:sz w:val="24"/>
            <w:szCs w:val="24"/>
            <w:u w:val="single"/>
            <w:rtl w:val="0"/>
          </w:rPr>
          <w:t xml:space="preserve">https://www.moraware.com/countertop-software/countergo-draw-quote/</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Countertop Fabrication Software of 2026 - SourceForge, </w:t>
      </w:r>
      <w:hyperlink r:id="rId38">
        <w:r w:rsidDel="00000000" w:rsidR="00000000" w:rsidRPr="00000000">
          <w:rPr>
            <w:rFonts w:ascii="Google Sans" w:cs="Google Sans" w:eastAsia="Google Sans" w:hAnsi="Google Sans"/>
            <w:color w:val="0000ee"/>
            <w:sz w:val="24"/>
            <w:szCs w:val="24"/>
            <w:u w:val="single"/>
            <w:rtl w:val="0"/>
          </w:rPr>
          <w:t xml:space="preserve">https://sourceforge.net/software/countertop-fabrication/</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Moraware Countertop Software - Moraware, </w:t>
      </w:r>
      <w:hyperlink r:id="rId39">
        <w:r w:rsidDel="00000000" w:rsidR="00000000" w:rsidRPr="00000000">
          <w:rPr>
            <w:rFonts w:ascii="Google Sans" w:cs="Google Sans" w:eastAsia="Google Sans" w:hAnsi="Google Sans"/>
            <w:color w:val="0000ee"/>
            <w:sz w:val="24"/>
            <w:szCs w:val="24"/>
            <w:u w:val="single"/>
            <w:rtl w:val="0"/>
          </w:rPr>
          <w:t xml:space="preserve">https://www.moraware.com/</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 Up Your Countertop Quoting with Slab Layouts - Moraware, </w:t>
      </w:r>
      <w:hyperlink r:id="rId40">
        <w:r w:rsidDel="00000000" w:rsidR="00000000" w:rsidRPr="00000000">
          <w:rPr>
            <w:rFonts w:ascii="Google Sans" w:cs="Google Sans" w:eastAsia="Google Sans" w:hAnsi="Google Sans"/>
            <w:color w:val="0000ee"/>
            <w:sz w:val="24"/>
            <w:szCs w:val="24"/>
            <w:u w:val="single"/>
            <w:rtl w:val="0"/>
          </w:rPr>
          <w:t xml:space="preserve">https://www.moraware.com/2021/02/level-up-your-countertop-quoting-with-slab-layouts/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Multi-Agent Framework: Architecture and Use - Mastra, </w:t>
      </w:r>
      <w:hyperlink r:id="rId41">
        <w:r w:rsidDel="00000000" w:rsidR="00000000" w:rsidRPr="00000000">
          <w:rPr>
            <w:rFonts w:ascii="Google Sans" w:cs="Google Sans" w:eastAsia="Google Sans" w:hAnsi="Google Sans"/>
            <w:color w:val="0000ee"/>
            <w:sz w:val="24"/>
            <w:szCs w:val="24"/>
            <w:u w:val="single"/>
            <w:rtl w:val="0"/>
          </w:rPr>
          <w:t xml:space="preserve">https://mastra.ai/articles/crewai</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Multi-Agent Frameworks for Production in 2026 - AY Automate, </w:t>
      </w:r>
      <w:hyperlink r:id="rId42">
        <w:r w:rsidDel="00000000" w:rsidR="00000000" w:rsidRPr="00000000">
          <w:rPr>
            <w:rFonts w:ascii="Google Sans" w:cs="Google Sans" w:eastAsia="Google Sans" w:hAnsi="Google Sans"/>
            <w:color w:val="0000ee"/>
            <w:sz w:val="24"/>
            <w:szCs w:val="24"/>
            <w:u w:val="single"/>
            <w:rtl w:val="0"/>
          </w:rPr>
          <w:t xml:space="preserve">https://www.ayautomate.com/blog/best-multi-agent-frameworks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vs CrewAI vs OpenAI Agents SDK: 2026 Guide - Codebridge, </w:t>
      </w:r>
      <w:hyperlink r:id="rId43">
        <w:r w:rsidDel="00000000" w:rsidR="00000000" w:rsidRPr="00000000">
          <w:rPr>
            <w:rFonts w:ascii="Google Sans" w:cs="Google Sans" w:eastAsia="Google Sans" w:hAnsi="Google Sans"/>
            <w:color w:val="0000ee"/>
            <w:sz w:val="24"/>
            <w:szCs w:val="24"/>
            <w:u w:val="single"/>
            <w:rtl w:val="0"/>
          </w:rPr>
          <w:t xml:space="preserve">https://www.codebridge.tech/articles/choosing-a-multi-agent-framework-langgraph-crewai-microsoft-agent-framework-or-openai-agents-sdk</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Compare CrewAI, AutoGen, Vertex AI, and LangGraph Multi-Agent Frameworks | Infinite Lambda Blog, </w:t>
      </w:r>
      <w:hyperlink r:id="rId44">
        <w:r w:rsidDel="00000000" w:rsidR="00000000" w:rsidRPr="00000000">
          <w:rPr>
            <w:rFonts w:ascii="Google Sans" w:cs="Google Sans" w:eastAsia="Google Sans" w:hAnsi="Google Sans"/>
            <w:color w:val="0000ee"/>
            <w:sz w:val="24"/>
            <w:szCs w:val="24"/>
            <w:u w:val="single"/>
            <w:rtl w:val="0"/>
          </w:rPr>
          <w:t xml:space="preserve">https://infinitelambda.com/compare-crewai-autogen-vertexai-langgraph/</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API vs WhatsApp Cloud API: 2026 Architecture Guide - WASenderApi, </w:t>
      </w:r>
      <w:hyperlink r:id="rId45">
        <w:r w:rsidDel="00000000" w:rsidR="00000000" w:rsidRPr="00000000">
          <w:rPr>
            <w:rFonts w:ascii="Google Sans" w:cs="Google Sans" w:eastAsia="Google Sans" w:hAnsi="Google Sans"/>
            <w:color w:val="0000ee"/>
            <w:sz w:val="24"/>
            <w:szCs w:val="24"/>
            <w:u w:val="single"/>
            <w:rtl w:val="0"/>
          </w:rPr>
          <w:t xml:space="preserve">https://wasenderapi.com/blog/evolution-api-vs-whatsapp-cloud-api-the-ultimate-infrastructure-decision-guide</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API WhatsApp: Open Source Alternative to Integrate - GuruSup, </w:t>
      </w:r>
      <w:hyperlink r:id="rId46">
        <w:r w:rsidDel="00000000" w:rsidR="00000000" w:rsidRPr="00000000">
          <w:rPr>
            <w:rFonts w:ascii="Google Sans" w:cs="Google Sans" w:eastAsia="Google Sans" w:hAnsi="Google Sans"/>
            <w:color w:val="0000ee"/>
            <w:sz w:val="24"/>
            <w:szCs w:val="24"/>
            <w:u w:val="single"/>
            <w:rtl w:val="0"/>
          </w:rPr>
          <w:t xml:space="preserve">https://gurusup.com/blog/evolution-api-whatsapp</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vs Meta vs WAHA: Which one to use to automate WhatsApp in 2026? - YouTube, </w:t>
      </w:r>
      <w:hyperlink r:id="rId47">
        <w:r w:rsidDel="00000000" w:rsidR="00000000" w:rsidRPr="00000000">
          <w:rPr>
            <w:rFonts w:ascii="Google Sans" w:cs="Google Sans" w:eastAsia="Google Sans" w:hAnsi="Google Sans"/>
            <w:color w:val="0000ee"/>
            <w:sz w:val="24"/>
            <w:szCs w:val="24"/>
            <w:u w:val="single"/>
            <w:rtl w:val="0"/>
          </w:rPr>
          <w:t xml:space="preserve">https://www.youtube.com/watch?v=H-oQui5UNd0</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API vs the Official WhatsApp API: When Each One Makes Sense - Zavu, </w:t>
      </w:r>
      <w:hyperlink r:id="rId48">
        <w:r w:rsidDel="00000000" w:rsidR="00000000" w:rsidRPr="00000000">
          <w:rPr>
            <w:rFonts w:ascii="Google Sans" w:cs="Google Sans" w:eastAsia="Google Sans" w:hAnsi="Google Sans"/>
            <w:color w:val="0000ee"/>
            <w:sz w:val="24"/>
            <w:szCs w:val="24"/>
            <w:u w:val="single"/>
            <w:rtl w:val="0"/>
          </w:rPr>
          <w:t xml:space="preserve">https://www.zavu.dev/en/blog/evolution-api-whatsapp</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Chatbot WhatsApp con n8n gratis en 2026: guía paso a paso - Blog Donweb -, </w:t>
      </w:r>
      <w:hyperlink r:id="rId49">
        <w:r w:rsidDel="00000000" w:rsidR="00000000" w:rsidRPr="00000000">
          <w:rPr>
            <w:rFonts w:ascii="Google Sans" w:cs="Google Sans" w:eastAsia="Google Sans" w:hAnsi="Google Sans"/>
            <w:color w:val="0000ee"/>
            <w:sz w:val="24"/>
            <w:szCs w:val="24"/>
            <w:u w:val="single"/>
            <w:rtl w:val="0"/>
          </w:rPr>
          <w:t xml:space="preserve">https://blog.donweb.com/chatbot-whatsapp-n8n-gratis-guia-2026/</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QR vs Cloud API for WhatsApp Automation: Which One Fits Your, </w:t>
      </w:r>
      <w:hyperlink r:id="rId50">
        <w:r w:rsidDel="00000000" w:rsidR="00000000" w:rsidRPr="00000000">
          <w:rPr>
            <w:rFonts w:ascii="Google Sans" w:cs="Google Sans" w:eastAsia="Google Sans" w:hAnsi="Google Sans"/>
            <w:color w:val="0000ee"/>
            <w:sz w:val="24"/>
            <w:szCs w:val="24"/>
            <w:u w:val="single"/>
            <w:rtl w:val="0"/>
          </w:rPr>
          <w:t xml:space="preserve">https://quick.bot/blog/whatsapp-qr-vs-cloud-api</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waste your time with the official WhatsApp API. : r/brdev - Reddit, </w:t>
      </w:r>
      <w:hyperlink r:id="rId51">
        <w:r w:rsidDel="00000000" w:rsidR="00000000" w:rsidRPr="00000000">
          <w:rPr>
            <w:rFonts w:ascii="Google Sans" w:cs="Google Sans" w:eastAsia="Google Sans" w:hAnsi="Google Sans"/>
            <w:color w:val="0000ee"/>
            <w:sz w:val="24"/>
            <w:szCs w:val="24"/>
            <w:u w:val="single"/>
            <w:rtl w:val="0"/>
          </w:rPr>
          <w:t xml:space="preserve">https://www.reddit.com/r/brdev/comments/1nptzd1/n%C3%A3o_perdam_tempo_com_a_api_oficial_do_whatsapp/?tl=en</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Servicios Contables - Cr Consultores, </w:t>
      </w:r>
      <w:hyperlink r:id="rId52">
        <w:r w:rsidDel="00000000" w:rsidR="00000000" w:rsidRPr="00000000">
          <w:rPr>
            <w:rFonts w:ascii="Google Sans" w:cs="Google Sans" w:eastAsia="Google Sans" w:hAnsi="Google Sans"/>
            <w:color w:val="0000ee"/>
            <w:sz w:val="24"/>
            <w:szCs w:val="24"/>
            <w:u w:val="single"/>
            <w:rtl w:val="0"/>
          </w:rPr>
          <w:t xml:space="preserve">https://crconsultorescolombia.com/servicios/contables-tributarios/servicios-contables</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DIARIO OFICIAL Dirección de Impuestos y Aduanas Nacionales, </w:t>
      </w:r>
      <w:hyperlink r:id="rId53">
        <w:r w:rsidDel="00000000" w:rsidR="00000000" w:rsidRPr="00000000">
          <w:rPr>
            <w:rFonts w:ascii="Google Sans" w:cs="Google Sans" w:eastAsia="Google Sans" w:hAnsi="Google Sans"/>
            <w:color w:val="0000ee"/>
            <w:sz w:val="24"/>
            <w:szCs w:val="24"/>
            <w:u w:val="single"/>
            <w:rtl w:val="0"/>
          </w:rPr>
          <w:t xml:space="preserve">https://globbal.co/wp-content/uploads/2020/05/58-Res-DIAN-000035-2020-Recibo-anticipo-SIMPLE-2020.pdf</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Alegra API Documentation, </w:t>
      </w:r>
      <w:hyperlink r:id="rId54">
        <w:r w:rsidDel="00000000" w:rsidR="00000000" w:rsidRPr="00000000">
          <w:rPr>
            <w:rFonts w:ascii="Google Sans" w:cs="Google Sans" w:eastAsia="Google Sans" w:hAnsi="Google Sans"/>
            <w:color w:val="0000ee"/>
            <w:sz w:val="24"/>
            <w:szCs w:val="24"/>
            <w:u w:val="single"/>
            <w:rtl w:val="0"/>
          </w:rPr>
          <w:t xml:space="preserve">https://developer.alegra.com/</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RST - RÉGIMEN SIMPLE DE TRIBUTACIÓN - DIAN, </w:t>
      </w:r>
      <w:hyperlink r:id="rId55">
        <w:r w:rsidDel="00000000" w:rsidR="00000000" w:rsidRPr="00000000">
          <w:rPr>
            <w:rFonts w:ascii="Google Sans" w:cs="Google Sans" w:eastAsia="Google Sans" w:hAnsi="Google Sans"/>
            <w:color w:val="0000ee"/>
            <w:sz w:val="24"/>
            <w:szCs w:val="24"/>
            <w:u w:val="single"/>
            <w:rtl w:val="0"/>
          </w:rPr>
          <w:t xml:space="preserve">https://www.dian.gov.co/impuestos/Regimen-Simple-de-Tributacion-RST/Documents/RST-2024.pdf</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sobre Régimen Simple de Tributación | PDF | Impuestos | Colombia - Scribd, </w:t>
      </w:r>
      <w:hyperlink r:id="rId56">
        <w:r w:rsidDel="00000000" w:rsidR="00000000" w:rsidRPr="00000000">
          <w:rPr>
            <w:rFonts w:ascii="Google Sans" w:cs="Google Sans" w:eastAsia="Google Sans" w:hAnsi="Google Sans"/>
            <w:color w:val="0000ee"/>
            <w:sz w:val="24"/>
            <w:szCs w:val="24"/>
            <w:u w:val="single"/>
            <w:rtl w:val="0"/>
          </w:rPr>
          <w:t xml:space="preserve">https://es.scribd.com/document/869187562/regimen-simple-de-tributacion</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IVA en Colombia: tasas, cálculo y su impacto en nuestro bolsillo. - BBVA, </w:t>
      </w:r>
      <w:hyperlink r:id="rId57">
        <w:r w:rsidDel="00000000" w:rsidR="00000000" w:rsidRPr="00000000">
          <w:rPr>
            <w:rFonts w:ascii="Google Sans" w:cs="Google Sans" w:eastAsia="Google Sans" w:hAnsi="Google Sans"/>
            <w:color w:val="0000ee"/>
            <w:sz w:val="24"/>
            <w:szCs w:val="24"/>
            <w:u w:val="single"/>
            <w:rtl w:val="0"/>
          </w:rPr>
          <w:t xml:space="preserve">https://www.bbva.com/es/salud-financiera/iva-en-colombia-cuales-son-las-tasas-como-se-calcula-y-que-impacto-tiene-el-impuesto-en-el-bolsillo/</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Iva en las licencias de software - Gerencie.com, </w:t>
      </w:r>
      <w:hyperlink r:id="rId58">
        <w:r w:rsidDel="00000000" w:rsidR="00000000" w:rsidRPr="00000000">
          <w:rPr>
            <w:rFonts w:ascii="Google Sans" w:cs="Google Sans" w:eastAsia="Google Sans" w:hAnsi="Google Sans"/>
            <w:color w:val="0000ee"/>
            <w:sz w:val="24"/>
            <w:szCs w:val="24"/>
            <w:u w:val="single"/>
            <w:rtl w:val="0"/>
          </w:rPr>
          <w:t xml:space="preserve">https://www.gerencie.com/iva-en-las-licencias-de-software.html</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DIAN reafirmó que los proveedores de servicios en la nube están excluidos del IVA, </w:t>
      </w:r>
      <w:hyperlink r:id="rId59">
        <w:r w:rsidDel="00000000" w:rsidR="00000000" w:rsidRPr="00000000">
          <w:rPr>
            <w:rFonts w:ascii="Google Sans" w:cs="Google Sans" w:eastAsia="Google Sans" w:hAnsi="Google Sans"/>
            <w:color w:val="0000ee"/>
            <w:sz w:val="24"/>
            <w:szCs w:val="24"/>
            <w:u w:val="single"/>
            <w:rtl w:val="0"/>
          </w:rPr>
          <w:t xml:space="preserve">https://incp.org.co/publicaciones/infoincp-publicaciones/impuestos/2024/04/dian-reafirmo-que-los-proveedores-de-servicios-en-la-nube-estan-excluidos-del-iva/</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IVA para SaaS en Colombia: lo que nadie te explica - Phylo Legal, </w:t>
      </w:r>
      <w:hyperlink r:id="rId60">
        <w:r w:rsidDel="00000000" w:rsidR="00000000" w:rsidRPr="00000000">
          <w:rPr>
            <w:rFonts w:ascii="Google Sans" w:cs="Google Sans" w:eastAsia="Google Sans" w:hAnsi="Google Sans"/>
            <w:color w:val="0000ee"/>
            <w:sz w:val="24"/>
            <w:szCs w:val="24"/>
            <w:u w:val="single"/>
            <w:rtl w:val="0"/>
          </w:rPr>
          <w:t xml:space="preserve">https://phylo.co/blog/iva-para-saas-en-colombia-lo-que-nadie-te-explica/</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Stone Fabrication Software Guide 2026 | DDL Stone Software, </w:t>
      </w:r>
      <w:hyperlink r:id="rId61">
        <w:r w:rsidDel="00000000" w:rsidR="00000000" w:rsidRPr="00000000">
          <w:rPr>
            <w:rFonts w:ascii="Google Sans" w:cs="Google Sans" w:eastAsia="Google Sans" w:hAnsi="Google Sans"/>
            <w:color w:val="0000ee"/>
            <w:sz w:val="24"/>
            <w:szCs w:val="24"/>
            <w:u w:val="single"/>
            <w:rtl w:val="0"/>
          </w:rPr>
          <w:t xml:space="preserve">https://drylayout.com/en/blog/software-natural-stone-industry/</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step-by-step tutorial using K-means to extract image color themes | Towards Data Science, </w:t>
      </w:r>
      <w:hyperlink r:id="rId62">
        <w:r w:rsidDel="00000000" w:rsidR="00000000" w:rsidRPr="00000000">
          <w:rPr>
            <w:rFonts w:ascii="Google Sans" w:cs="Google Sans" w:eastAsia="Google Sans" w:hAnsi="Google Sans"/>
            <w:color w:val="0000ee"/>
            <w:sz w:val="24"/>
            <w:szCs w:val="24"/>
            <w:u w:val="single"/>
            <w:rtl w:val="0"/>
          </w:rPr>
          <w:t xml:space="preserve">https://towardsdatascience.com/a-step-by-step-tutorial-using-k-means-to-extract-image-color-themes-43e04808b2be/</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Color Contrast Checker - AA &amp; AAA - Coddy.tech, </w:t>
      </w:r>
      <w:hyperlink r:id="rId63">
        <w:r w:rsidDel="00000000" w:rsidR="00000000" w:rsidRPr="00000000">
          <w:rPr>
            <w:rFonts w:ascii="Google Sans" w:cs="Google Sans" w:eastAsia="Google Sans" w:hAnsi="Google Sans"/>
            <w:color w:val="0000ee"/>
            <w:sz w:val="24"/>
            <w:szCs w:val="24"/>
            <w:u w:val="single"/>
            <w:rtl w:val="0"/>
          </w:rPr>
          <w:t xml:space="preserve">https://coddy.tech/tools/contrast-checker</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the WCAG contrast formula use the luminance and not the perceived lightness?, </w:t>
      </w:r>
      <w:hyperlink r:id="rId64">
        <w:r w:rsidDel="00000000" w:rsidR="00000000" w:rsidRPr="00000000">
          <w:rPr>
            <w:rFonts w:ascii="Google Sans" w:cs="Google Sans" w:eastAsia="Google Sans" w:hAnsi="Google Sans"/>
            <w:color w:val="0000ee"/>
            <w:sz w:val="24"/>
            <w:szCs w:val="24"/>
            <w:u w:val="single"/>
            <w:rtl w:val="0"/>
          </w:rPr>
          <w:t xml:space="preserve">https://stackoverflow.com/questions/76103459/why-does-the-wcag-contrast-formula-use-the-luminance-and-not-the-perceived-light</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your own color contrast checker - DEV Community, </w:t>
      </w:r>
      <w:hyperlink r:id="rId65">
        <w:r w:rsidDel="00000000" w:rsidR="00000000" w:rsidRPr="00000000">
          <w:rPr>
            <w:rFonts w:ascii="Google Sans" w:cs="Google Sans" w:eastAsia="Google Sans" w:hAnsi="Google Sans"/>
            <w:color w:val="0000ee"/>
            <w:sz w:val="24"/>
            <w:szCs w:val="24"/>
            <w:u w:val="single"/>
            <w:rtl w:val="0"/>
          </w:rPr>
          <w:t xml:space="preserve">https://dev.to/alvaromontoro/building-your-own-color-contrast-checker-4j7o</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 Checker – WCAG Color Contrast Ratio Calculator | UnixlyTools, </w:t>
      </w:r>
      <w:hyperlink r:id="rId66">
        <w:r w:rsidDel="00000000" w:rsidR="00000000" w:rsidRPr="00000000">
          <w:rPr>
            <w:rFonts w:ascii="Google Sans" w:cs="Google Sans" w:eastAsia="Google Sans" w:hAnsi="Google Sans"/>
            <w:color w:val="0000ee"/>
            <w:sz w:val="24"/>
            <w:szCs w:val="24"/>
            <w:u w:val="single"/>
            <w:rtl w:val="0"/>
          </w:rPr>
          <w:t xml:space="preserve">https://www.unixlytools.com/color-tools/contrast-checker/</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Eyes Peeled is a Claude skill that validates WCAG color accessibility compliance and generates compliant alternatives while preserving design intent. - GitHub, </w:t>
      </w:r>
      <w:hyperlink r:id="rId67">
        <w:r w:rsidDel="00000000" w:rsidR="00000000" w:rsidRPr="00000000">
          <w:rPr>
            <w:rFonts w:ascii="Google Sans" w:cs="Google Sans" w:eastAsia="Google Sans" w:hAnsi="Google Sans"/>
            <w:color w:val="0000ee"/>
            <w:sz w:val="24"/>
            <w:szCs w:val="24"/>
            <w:u w:val="single"/>
            <w:rtl w:val="0"/>
          </w:rPr>
          <w:t xml:space="preserve">https://github.com/LoserLab/eyes-peeled</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colors-accessibility - PyPI, </w:t>
      </w:r>
      <w:hyperlink r:id="rId68">
        <w:r w:rsidDel="00000000" w:rsidR="00000000" w:rsidRPr="00000000">
          <w:rPr>
            <w:rFonts w:ascii="Google Sans" w:cs="Google Sans" w:eastAsia="Google Sans" w:hAnsi="Google Sans"/>
            <w:color w:val="0000ee"/>
            <w:sz w:val="24"/>
            <w:szCs w:val="24"/>
            <w:u w:val="single"/>
            <w:rtl w:val="0"/>
          </w:rPr>
          <w:t xml:space="preserve">https://pypi.org/project/colors-accessibility/</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Htmldocs – Typeset and generate pdfs with HTML/CSS | Hacker News, </w:t>
      </w:r>
      <w:hyperlink r:id="rId69">
        <w:r w:rsidDel="00000000" w:rsidR="00000000" w:rsidRPr="00000000">
          <w:rPr>
            <w:rFonts w:ascii="Google Sans" w:cs="Google Sans" w:eastAsia="Google Sans" w:hAnsi="Google Sans"/>
            <w:color w:val="0000ee"/>
            <w:sz w:val="24"/>
            <w:szCs w:val="24"/>
            <w:u w:val="single"/>
            <w:rtl w:val="0"/>
          </w:rPr>
          <w:t xml:space="preserve">https://news.ycombinator.com/item?id=39027543</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Launch HN: Onedoc (YC W24) – A better way to create PDFs | Hacker News, </w:t>
      </w:r>
      <w:hyperlink r:id="rId70">
        <w:r w:rsidDel="00000000" w:rsidR="00000000" w:rsidRPr="00000000">
          <w:rPr>
            <w:rFonts w:ascii="Google Sans" w:cs="Google Sans" w:eastAsia="Google Sans" w:hAnsi="Google Sans"/>
            <w:color w:val="0000ee"/>
            <w:sz w:val="24"/>
            <w:szCs w:val="24"/>
            <w:u w:val="single"/>
            <w:rtl w:val="0"/>
          </w:rPr>
          <w:t xml:space="preserve">https://news.ycombinator.com/item?id=39668962</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kissgyorgy/my-stars: My GitHub starred repositories, auto-generated every week, </w:t>
      </w:r>
      <w:hyperlink r:id="rId71">
        <w:r w:rsidDel="00000000" w:rsidR="00000000" w:rsidRPr="00000000">
          <w:rPr>
            <w:rFonts w:ascii="Google Sans" w:cs="Google Sans" w:eastAsia="Google Sans" w:hAnsi="Google Sans"/>
            <w:color w:val="0000ee"/>
            <w:sz w:val="24"/>
            <w:szCs w:val="24"/>
            <w:u w:val="single"/>
            <w:rtl w:val="0"/>
          </w:rPr>
          <w:t xml:space="preserve">https://github.com/kissgyorgy/my-stars</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ddanninger/awesome-stars: A curated list of my GitHub stars by stargazed, </w:t>
      </w:r>
      <w:hyperlink r:id="rId72">
        <w:r w:rsidDel="00000000" w:rsidR="00000000" w:rsidRPr="00000000">
          <w:rPr>
            <w:rFonts w:ascii="Google Sans" w:cs="Google Sans" w:eastAsia="Google Sans" w:hAnsi="Google Sans"/>
            <w:color w:val="0000ee"/>
            <w:sz w:val="24"/>
            <w:szCs w:val="24"/>
            <w:u w:val="single"/>
            <w:rtl w:val="0"/>
          </w:rPr>
          <w:t xml:space="preserve">https://github.com/ddanninger/awesome-stars</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htmldocs | Yarn, </w:t>
      </w:r>
      <w:hyperlink r:id="rId73">
        <w:r w:rsidDel="00000000" w:rsidR="00000000" w:rsidRPr="00000000">
          <w:rPr>
            <w:rFonts w:ascii="Google Sans" w:cs="Google Sans" w:eastAsia="Google Sans" w:hAnsi="Google Sans"/>
            <w:color w:val="0000ee"/>
            <w:sz w:val="24"/>
            <w:szCs w:val="24"/>
            <w:u w:val="single"/>
            <w:rtl w:val="0"/>
          </w:rPr>
          <w:t xml:space="preserve">https://classic.yarnpkg.com/en/package/htmldocs</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PDF with HTML. Crazy? : r/webdev - Reddit, </w:t>
      </w:r>
      <w:hyperlink r:id="rId74">
        <w:r w:rsidDel="00000000" w:rsidR="00000000" w:rsidRPr="00000000">
          <w:rPr>
            <w:rFonts w:ascii="Google Sans" w:cs="Google Sans" w:eastAsia="Google Sans" w:hAnsi="Google Sans"/>
            <w:color w:val="0000ee"/>
            <w:sz w:val="24"/>
            <w:szCs w:val="24"/>
            <w:u w:val="single"/>
            <w:rtl w:val="0"/>
          </w:rPr>
          <w:t xml:space="preserve">https://www.reddit.com/r/webdev/comments/1gztdzm/building_a_pdf_with_html_crazy/</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HTML se PDF banana. Crazy? : r/webdev - Reddit, </w:t>
      </w:r>
      <w:hyperlink r:id="rId75">
        <w:r w:rsidDel="00000000" w:rsidR="00000000" w:rsidRPr="00000000">
          <w:rPr>
            <w:rFonts w:ascii="Google Sans" w:cs="Google Sans" w:eastAsia="Google Sans" w:hAnsi="Google Sans"/>
            <w:color w:val="0000ee"/>
            <w:sz w:val="24"/>
            <w:szCs w:val="24"/>
            <w:u w:val="single"/>
            <w:rtl w:val="0"/>
          </w:rPr>
          <w:t xml:space="preserve">https://www.reddit.com/r/webdev/comments/1gztdzm/building_a_pdf_with_html_crazy/?tl=hi-latn</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CounterGo vs. Quote Countertops Comparison - SourceForge, </w:t>
      </w:r>
      <w:hyperlink r:id="rId76">
        <w:r w:rsidDel="00000000" w:rsidR="00000000" w:rsidRPr="00000000">
          <w:rPr>
            <w:rFonts w:ascii="Google Sans" w:cs="Google Sans" w:eastAsia="Google Sans" w:hAnsi="Google Sans"/>
            <w:color w:val="0000ee"/>
            <w:sz w:val="24"/>
            <w:szCs w:val="24"/>
            <w:u w:val="single"/>
            <w:rtl w:val="0"/>
          </w:rPr>
          <w:t xml:space="preserve">https://sourceforge.net/software/compare/CounterGo-vs-Quote-Countertops/</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Compose Deployment (Self-Hosted) - Langfuse, </w:t>
      </w:r>
      <w:hyperlink r:id="rId77">
        <w:r w:rsidDel="00000000" w:rsidR="00000000" w:rsidRPr="00000000">
          <w:rPr>
            <w:rFonts w:ascii="Google Sans" w:cs="Google Sans" w:eastAsia="Google Sans" w:hAnsi="Google Sans"/>
            <w:color w:val="0000ee"/>
            <w:sz w:val="24"/>
            <w:szCs w:val="24"/>
            <w:u w:val="single"/>
            <w:rtl w:val="0"/>
          </w:rPr>
          <w:t xml:space="preserve">https://langfuse.com/self-hosting/deployment/docker-compose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raware.com/2021/02/level-up-your-countertop-quoting-with-slab-layouts/" TargetMode="External"/><Relationship Id="rId42" Type="http://schemas.openxmlformats.org/officeDocument/2006/relationships/hyperlink" Target="https://www.ayautomate.com/blog/best-multi-agent-frameworks" TargetMode="External"/><Relationship Id="rId41" Type="http://schemas.openxmlformats.org/officeDocument/2006/relationships/hyperlink" Target="https://mastra.ai/articles/crewai" TargetMode="External"/><Relationship Id="rId44" Type="http://schemas.openxmlformats.org/officeDocument/2006/relationships/hyperlink" Target="https://infinitelambda.com/compare-crewai-autogen-vertexai-langgraph/" TargetMode="External"/><Relationship Id="rId43" Type="http://schemas.openxmlformats.org/officeDocument/2006/relationships/hyperlink" Target="https://www.codebridge.tech/articles/choosing-a-multi-agent-framework-langgraph-crewai-microsoft-agent-framework-or-openai-agents-sdk" TargetMode="External"/><Relationship Id="rId46" Type="http://schemas.openxmlformats.org/officeDocument/2006/relationships/hyperlink" Target="https://gurusup.com/blog/evolution-api-whatsapp" TargetMode="External"/><Relationship Id="rId45" Type="http://schemas.openxmlformats.org/officeDocument/2006/relationships/hyperlink" Target="https://wasenderapi.com/blog/evolution-api-vs-whatsapp-cloud-api-the-ultimate-infrastructure-decision-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zavu.dev/en/blog/evolution-api-whatsapp" TargetMode="External"/><Relationship Id="rId47" Type="http://schemas.openxmlformats.org/officeDocument/2006/relationships/hyperlink" Target="https://www.youtube.com/watch?v=H-oQui5UNd0" TargetMode="External"/><Relationship Id="rId49" Type="http://schemas.openxmlformats.org/officeDocument/2006/relationships/hyperlink" Target="https://blog.donweb.com/chatbot-whatsapp-n8n-gratis-guia-2026/"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4.png"/><Relationship Id="rId73" Type="http://schemas.openxmlformats.org/officeDocument/2006/relationships/hyperlink" Target="https://classic.yarnpkg.com/en/package/htmldocs" TargetMode="External"/><Relationship Id="rId72" Type="http://schemas.openxmlformats.org/officeDocument/2006/relationships/hyperlink" Target="https://github.com/ddanninger/awesome-stars" TargetMode="External"/><Relationship Id="rId31" Type="http://schemas.openxmlformats.org/officeDocument/2006/relationships/image" Target="media/image2.png"/><Relationship Id="rId75" Type="http://schemas.openxmlformats.org/officeDocument/2006/relationships/hyperlink" Target="https://www.reddit.com/r/webdev/comments/1gztdzm/building_a_pdf_with_html_crazy/?tl=hi-latn" TargetMode="External"/><Relationship Id="rId30" Type="http://schemas.openxmlformats.org/officeDocument/2006/relationships/image" Target="media/image22.png"/><Relationship Id="rId74" Type="http://schemas.openxmlformats.org/officeDocument/2006/relationships/hyperlink" Target="https://www.reddit.com/r/webdev/comments/1gztdzm/building_a_pdf_with_html_crazy/" TargetMode="External"/><Relationship Id="rId33" Type="http://schemas.openxmlformats.org/officeDocument/2006/relationships/image" Target="media/image25.png"/><Relationship Id="rId77" Type="http://schemas.openxmlformats.org/officeDocument/2006/relationships/hyperlink" Target="https://langfuse.com/self-hosting/deployment/docker-compose" TargetMode="External"/><Relationship Id="rId32" Type="http://schemas.openxmlformats.org/officeDocument/2006/relationships/image" Target="media/image28.png"/><Relationship Id="rId76" Type="http://schemas.openxmlformats.org/officeDocument/2006/relationships/hyperlink" Target="https://sourceforge.net/software/compare/CounterGo-vs-Quote-Countertops/" TargetMode="External"/><Relationship Id="rId35" Type="http://schemas.openxmlformats.org/officeDocument/2006/relationships/hyperlink" Target="https://slashdot.org/software/countertop-fabrication/" TargetMode="External"/><Relationship Id="rId34" Type="http://schemas.openxmlformats.org/officeDocument/2006/relationships/hyperlink" Target="https://dev.to/pockit_tools/langgraph-vs-crewai-vs-autogen-the-complete-multi-agent-ai-orchestration-guide-for-2026-2d63" TargetMode="External"/><Relationship Id="rId71" Type="http://schemas.openxmlformats.org/officeDocument/2006/relationships/hyperlink" Target="https://github.com/kissgyorgy/my-stars" TargetMode="External"/><Relationship Id="rId70" Type="http://schemas.openxmlformats.org/officeDocument/2006/relationships/hyperlink" Target="https://news.ycombinator.com/item?id=39668962" TargetMode="External"/><Relationship Id="rId37" Type="http://schemas.openxmlformats.org/officeDocument/2006/relationships/hyperlink" Target="https://www.moraware.com/countertop-software/countergo-draw-quote/" TargetMode="External"/><Relationship Id="rId36" Type="http://schemas.openxmlformats.org/officeDocument/2006/relationships/hyperlink" Target="https://slashdot.org/software/p/CounterGo/" TargetMode="External"/><Relationship Id="rId39" Type="http://schemas.openxmlformats.org/officeDocument/2006/relationships/hyperlink" Target="https://www.moraware.com/" TargetMode="External"/><Relationship Id="rId38" Type="http://schemas.openxmlformats.org/officeDocument/2006/relationships/hyperlink" Target="https://sourceforge.net/software/countertop-fabrication/" TargetMode="External"/><Relationship Id="rId62" Type="http://schemas.openxmlformats.org/officeDocument/2006/relationships/hyperlink" Target="https://towardsdatascience.com/a-step-by-step-tutorial-using-k-means-to-extract-image-color-themes-43e04808b2be/" TargetMode="External"/><Relationship Id="rId61" Type="http://schemas.openxmlformats.org/officeDocument/2006/relationships/hyperlink" Target="https://drylayout.com/en/blog/software-natural-stone-industry/" TargetMode="External"/><Relationship Id="rId20" Type="http://schemas.openxmlformats.org/officeDocument/2006/relationships/image" Target="media/image27.png"/><Relationship Id="rId64" Type="http://schemas.openxmlformats.org/officeDocument/2006/relationships/hyperlink" Target="https://stackoverflow.com/questions/76103459/why-does-the-wcag-contrast-formula-use-the-luminance-and-not-the-perceived-light" TargetMode="External"/><Relationship Id="rId63" Type="http://schemas.openxmlformats.org/officeDocument/2006/relationships/hyperlink" Target="https://coddy.tech/tools/contrast-checker" TargetMode="External"/><Relationship Id="rId22" Type="http://schemas.openxmlformats.org/officeDocument/2006/relationships/image" Target="media/image23.png"/><Relationship Id="rId66" Type="http://schemas.openxmlformats.org/officeDocument/2006/relationships/hyperlink" Target="https://www.unixlytools.com/color-tools/contrast-checker/" TargetMode="External"/><Relationship Id="rId21" Type="http://schemas.openxmlformats.org/officeDocument/2006/relationships/image" Target="media/image24.png"/><Relationship Id="rId65" Type="http://schemas.openxmlformats.org/officeDocument/2006/relationships/hyperlink" Target="https://dev.to/alvaromontoro/building-your-own-color-contrast-checker-4j7o" TargetMode="External"/><Relationship Id="rId24" Type="http://schemas.openxmlformats.org/officeDocument/2006/relationships/image" Target="media/image26.png"/><Relationship Id="rId68" Type="http://schemas.openxmlformats.org/officeDocument/2006/relationships/hyperlink" Target="https://pypi.org/project/colors-accessibility/" TargetMode="External"/><Relationship Id="rId23" Type="http://schemas.openxmlformats.org/officeDocument/2006/relationships/image" Target="media/image7.png"/><Relationship Id="rId67" Type="http://schemas.openxmlformats.org/officeDocument/2006/relationships/hyperlink" Target="https://github.com/LoserLab/eyes-peeled" TargetMode="External"/><Relationship Id="rId60" Type="http://schemas.openxmlformats.org/officeDocument/2006/relationships/hyperlink" Target="https://phylo.co/blog/iva-para-saas-en-colombia-lo-que-nadie-te-explica/" TargetMode="External"/><Relationship Id="rId26" Type="http://schemas.openxmlformats.org/officeDocument/2006/relationships/image" Target="media/image1.png"/><Relationship Id="rId25" Type="http://schemas.openxmlformats.org/officeDocument/2006/relationships/image" Target="media/image11.png"/><Relationship Id="rId69" Type="http://schemas.openxmlformats.org/officeDocument/2006/relationships/hyperlink" Target="https://news.ycombinator.com/item?id=39027543" TargetMode="External"/><Relationship Id="rId28" Type="http://schemas.openxmlformats.org/officeDocument/2006/relationships/image" Target="media/image5.png"/><Relationship Id="rId27" Type="http://schemas.openxmlformats.org/officeDocument/2006/relationships/image" Target="media/image20.png"/><Relationship Id="rId29" Type="http://schemas.openxmlformats.org/officeDocument/2006/relationships/image" Target="media/image3.png"/><Relationship Id="rId51" Type="http://schemas.openxmlformats.org/officeDocument/2006/relationships/hyperlink" Target="https://www.reddit.com/r/brdev/comments/1nptzd1/n%C3%A3o_perdam_tempo_com_a_api_oficial_do_whatsapp/?tl=en" TargetMode="External"/><Relationship Id="rId50" Type="http://schemas.openxmlformats.org/officeDocument/2006/relationships/hyperlink" Target="https://quick.bot/blog/whatsapp-qr-vs-cloud-api" TargetMode="External"/><Relationship Id="rId53" Type="http://schemas.openxmlformats.org/officeDocument/2006/relationships/hyperlink" Target="https://globbal.co/wp-content/uploads/2020/05/58-Res-DIAN-000035-2020-Recibo-anticipo-SIMPLE-2020.pdf" TargetMode="External"/><Relationship Id="rId52" Type="http://schemas.openxmlformats.org/officeDocument/2006/relationships/hyperlink" Target="https://crconsultorescolombia.com/servicios/contables-tributarios/servicios-contables" TargetMode="External"/><Relationship Id="rId11" Type="http://schemas.openxmlformats.org/officeDocument/2006/relationships/image" Target="media/image13.png"/><Relationship Id="rId55" Type="http://schemas.openxmlformats.org/officeDocument/2006/relationships/hyperlink" Target="https://www.dian.gov.co/impuestos/Regimen-Simple-de-Tributacion-RST/Documents/RST-2024.pdf" TargetMode="External"/><Relationship Id="rId10" Type="http://schemas.openxmlformats.org/officeDocument/2006/relationships/image" Target="media/image6.png"/><Relationship Id="rId54" Type="http://schemas.openxmlformats.org/officeDocument/2006/relationships/hyperlink" Target="https://developer.alegra.com/" TargetMode="External"/><Relationship Id="rId13" Type="http://schemas.openxmlformats.org/officeDocument/2006/relationships/image" Target="media/image14.png"/><Relationship Id="rId57" Type="http://schemas.openxmlformats.org/officeDocument/2006/relationships/hyperlink" Target="https://www.bbva.com/es/salud-financiera/iva-en-colombia-cuales-son-las-tasas-como-se-calcula-y-que-impacto-tiene-el-impuesto-en-el-bolsillo/" TargetMode="External"/><Relationship Id="rId12" Type="http://schemas.openxmlformats.org/officeDocument/2006/relationships/image" Target="media/image10.png"/><Relationship Id="rId56" Type="http://schemas.openxmlformats.org/officeDocument/2006/relationships/hyperlink" Target="https://es.scribd.com/document/869187562/regimen-simple-de-tributacion" TargetMode="External"/><Relationship Id="rId15" Type="http://schemas.openxmlformats.org/officeDocument/2006/relationships/image" Target="media/image19.png"/><Relationship Id="rId59" Type="http://schemas.openxmlformats.org/officeDocument/2006/relationships/hyperlink" Target="https://incp.org.co/publicaciones/infoincp-publicaciones/impuestos/2024/04/dian-reafirmo-que-los-proveedores-de-servicios-en-la-nube-estan-excluidos-del-iva/" TargetMode="External"/><Relationship Id="rId14" Type="http://schemas.openxmlformats.org/officeDocument/2006/relationships/image" Target="media/image17.png"/><Relationship Id="rId58" Type="http://schemas.openxmlformats.org/officeDocument/2006/relationships/hyperlink" Target="https://www.gerencie.com/iva-en-las-licencias-de-software.html" TargetMode="External"/><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21.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