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538A" w14:textId="77777777" w:rsidR="00F816F7" w:rsidRDefault="00000000">
      <w:pPr>
        <w:spacing w:after="120"/>
        <w:jc w:val="center"/>
      </w:pPr>
      <w:r>
        <w:rPr>
          <w:rFonts w:ascii="Calibri" w:eastAsia="Calibri" w:hAnsi="Calibri" w:cs="Calibri"/>
          <w:b/>
          <w:bCs/>
          <w:color w:val="06B6D4"/>
        </w:rPr>
        <w:t>INVESTIGACIÓN TÉCNICA Y ESTRATÉGICA</w:t>
      </w:r>
    </w:p>
    <w:p w14:paraId="0FC09F64" w14:textId="77777777" w:rsidR="00F816F7" w:rsidRDefault="00000000">
      <w:pPr>
        <w:spacing w:after="240"/>
        <w:jc w:val="center"/>
      </w:pPr>
      <w:r>
        <w:rPr>
          <w:rFonts w:ascii="Calibri" w:eastAsia="Calibri" w:hAnsi="Calibri" w:cs="Calibri"/>
          <w:b/>
          <w:bCs/>
          <w:color w:val="0F172A"/>
          <w:sz w:val="36"/>
          <w:szCs w:val="36"/>
        </w:rPr>
        <w:t>Arquitectura, Entrenamiento y Viabilidad Financiera de un SaaS Autónomo Basado en Agentes de Inteligencia Artificial</w:t>
      </w:r>
    </w:p>
    <w:p w14:paraId="6BAF7307" w14:textId="77777777" w:rsidR="00F816F7" w:rsidRDefault="00000000">
      <w:pPr>
        <w:spacing w:after="360"/>
        <w:jc w:val="center"/>
      </w:pPr>
      <w:r>
        <w:rPr>
          <w:rFonts w:ascii="Calibri" w:eastAsia="Calibri" w:hAnsi="Calibri" w:cs="Calibri"/>
          <w:color w:val="475569"/>
          <w:sz w:val="22"/>
          <w:szCs w:val="22"/>
        </w:rPr>
        <w:t>Caso de Estudio: Costo360 S.A.S. (Barranquilla, Colombia)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8991"/>
      </w:tblGrid>
      <w:tr w:rsidR="00F816F7" w14:paraId="53FD3A1A" w14:textId="77777777">
        <w:tc>
          <w:tcPr>
            <w:tcW w:w="0" w:type="auto"/>
            <w:tcBorders>
              <w:left w:val="single" w:sz="24" w:space="0" w:color="06B6D4"/>
            </w:tcBorders>
            <w:shd w:val="clear" w:color="auto" w:fill="F1F5F9"/>
          </w:tcPr>
          <w:p w14:paraId="44DCBA1F" w14:textId="77777777" w:rsidR="00F816F7" w:rsidRDefault="00000000">
            <w:pPr>
              <w:spacing w:after="60"/>
            </w:pPr>
            <w:r>
              <w:rPr>
                <w:rFonts w:ascii="Calibri" w:eastAsia="Calibri" w:hAnsi="Calibri" w:cs="Calibri"/>
                <w:b/>
                <w:bCs/>
                <w:color w:val="0F172A"/>
              </w:rPr>
              <w:t>RESUMEN EJECUTIVO DE COSTO360 S.A.S.</w:t>
            </w:r>
          </w:p>
          <w:p w14:paraId="62DD045C" w14:textId="77777777" w:rsidR="00F816F7" w:rsidRDefault="00000000">
            <w:r>
              <w:rPr>
                <w:rFonts w:ascii="Calibri" w:eastAsia="Calibri" w:hAnsi="Calibri" w:cs="Calibri"/>
                <w:color w:val="334155"/>
                <w:sz w:val="19"/>
                <w:szCs w:val="19"/>
              </w:rPr>
              <w:t>Costo360 S.A.S. nace como una plataforma SaaS pionera orientada al sector de la construcción y la marmolería en Barranquilla, Colombia. Su objetivo es automatizar al 100% el cálculo de costos de proyectos pétreos (mármol, granito, cuarzo, sinterizado) y la generación de cotizaciones personalizadas en PDF con extracción cromática de logotipos (K-Means) y normas de accesibilidad (WCAG 2.1). Esta investigación detalla la creación de sus agentes corporativos, el encuadre legal colombiano y su viabilidad financiera.</w:t>
            </w:r>
          </w:p>
        </w:tc>
      </w:tr>
    </w:tbl>
    <w:p w14:paraId="34AADAE0" w14:textId="77777777" w:rsidR="00F816F7" w:rsidRDefault="00000000">
      <w:pPr>
        <w:pStyle w:val="Ttulo1"/>
      </w:pPr>
      <w:r>
        <w:t>1. Fundamentos de los Agentes de Inteligencia Artificial</w:t>
      </w:r>
    </w:p>
    <w:p w14:paraId="199B9EA4" w14:textId="77777777" w:rsidR="00F816F7" w:rsidRDefault="00000000">
      <w:pPr>
        <w:spacing w:after="120"/>
      </w:pPr>
      <w:r>
        <w:rPr>
          <w:rFonts w:ascii="Calibri" w:eastAsia="Calibri" w:hAnsi="Calibri" w:cs="Calibri"/>
          <w:sz w:val="22"/>
          <w:szCs w:val="22"/>
        </w:rPr>
        <w:t>Un agente de Inteligencia Artificial es un sistema autónomo capaz de percibir su entorno, tomar decisiones mediante razonamiento basado en modelos de lenguaje extenso (LLM) y ejecutar acciones coordinadas utilizando herramientas externas para alcanzar objetivos específicos sin supervisión humana constante.</w:t>
      </w:r>
    </w:p>
    <w:p w14:paraId="0221B633" w14:textId="77777777" w:rsidR="00F816F7" w:rsidRDefault="00000000">
      <w:pPr>
        <w:pStyle w:val="Ttulo2"/>
      </w:pPr>
      <w:r>
        <w:t>1.1 ¿Cómo se Crean los Agentes de IA?</w:t>
      </w:r>
    </w:p>
    <w:p w14:paraId="625773FA" w14:textId="77777777" w:rsidR="00F816F7" w:rsidRDefault="00000000">
      <w:pPr>
        <w:pStyle w:val="Prrafodelista"/>
        <w:numPr>
          <w:ilvl w:val="0"/>
          <w:numId w:val="1"/>
        </w:numPr>
        <w:spacing w:after="60"/>
      </w:pPr>
      <w:r>
        <w:rPr>
          <w:rFonts w:ascii="Calibri" w:eastAsia="Calibri" w:hAnsi="Calibri" w:cs="Calibri"/>
          <w:b/>
          <w:bCs/>
          <w:color w:val="0F172A"/>
          <w:sz w:val="21"/>
          <w:szCs w:val="21"/>
        </w:rPr>
        <w:t xml:space="preserve">Definición de Perfil y </w:t>
      </w:r>
      <w:proofErr w:type="spellStart"/>
      <w:r>
        <w:rPr>
          <w:rFonts w:ascii="Calibri" w:eastAsia="Calibri" w:hAnsi="Calibri" w:cs="Calibri"/>
          <w:b/>
          <w:bCs/>
          <w:color w:val="0F172A"/>
          <w:sz w:val="21"/>
          <w:szCs w:val="21"/>
        </w:rPr>
        <w:t>System</w:t>
      </w:r>
      <w:proofErr w:type="spellEnd"/>
      <w:r>
        <w:rPr>
          <w:rFonts w:ascii="Calibri" w:eastAsia="Calibri" w:hAnsi="Calibri" w:cs="Calibri"/>
          <w:b/>
          <w:bCs/>
          <w:color w:val="0F172A"/>
          <w:sz w:val="21"/>
          <w:szCs w:val="21"/>
        </w:rPr>
        <w:t xml:space="preserve"> </w:t>
      </w:r>
      <w:proofErr w:type="spellStart"/>
      <w:r>
        <w:rPr>
          <w:rFonts w:ascii="Calibri" w:eastAsia="Calibri" w:hAnsi="Calibri" w:cs="Calibri"/>
          <w:b/>
          <w:bCs/>
          <w:color w:val="0F172A"/>
          <w:sz w:val="21"/>
          <w:szCs w:val="21"/>
        </w:rPr>
        <w:t>Prompt</w:t>
      </w:r>
      <w:proofErr w:type="spellEnd"/>
      <w:r>
        <w:rPr>
          <w:rFonts w:ascii="Calibri" w:eastAsia="Calibri" w:hAnsi="Calibri" w:cs="Calibri"/>
          <w:b/>
          <w:bCs/>
          <w:color w:val="0F172A"/>
          <w:sz w:val="21"/>
          <w:szCs w:val="21"/>
        </w:rPr>
        <w:t>:</w:t>
      </w:r>
      <w:r>
        <w:rPr>
          <w:rFonts w:ascii="Calibri" w:eastAsia="Calibri" w:hAnsi="Calibri" w:cs="Calibri"/>
          <w:color w:val="334155"/>
          <w:sz w:val="21"/>
          <w:szCs w:val="21"/>
        </w:rPr>
        <w:t xml:space="preserve"> Se establece el rol, límites de actuación, tono conversacional y reglas de decisión.</w:t>
      </w:r>
    </w:p>
    <w:p w14:paraId="50093987" w14:textId="77777777" w:rsidR="00F816F7" w:rsidRDefault="00000000">
      <w:pPr>
        <w:pStyle w:val="Prrafodelista"/>
        <w:numPr>
          <w:ilvl w:val="0"/>
          <w:numId w:val="1"/>
        </w:numPr>
        <w:spacing w:after="60"/>
      </w:pPr>
      <w:r>
        <w:rPr>
          <w:rFonts w:ascii="Calibri" w:eastAsia="Calibri" w:hAnsi="Calibri" w:cs="Calibri"/>
          <w:b/>
          <w:bCs/>
          <w:color w:val="0F172A"/>
          <w:sz w:val="21"/>
          <w:szCs w:val="21"/>
        </w:rPr>
        <w:t xml:space="preserve">Conexión con Herramientas (Tool </w:t>
      </w:r>
      <w:proofErr w:type="spellStart"/>
      <w:r>
        <w:rPr>
          <w:rFonts w:ascii="Calibri" w:eastAsia="Calibri" w:hAnsi="Calibri" w:cs="Calibri"/>
          <w:b/>
          <w:bCs/>
          <w:color w:val="0F172A"/>
          <w:sz w:val="21"/>
          <w:szCs w:val="21"/>
        </w:rPr>
        <w:t>Calling</w:t>
      </w:r>
      <w:proofErr w:type="spellEnd"/>
      <w:r>
        <w:rPr>
          <w:rFonts w:ascii="Calibri" w:eastAsia="Calibri" w:hAnsi="Calibri" w:cs="Calibri"/>
          <w:b/>
          <w:bCs/>
          <w:color w:val="0F172A"/>
          <w:sz w:val="21"/>
          <w:szCs w:val="21"/>
        </w:rPr>
        <w:t xml:space="preserve"> / </w:t>
      </w:r>
      <w:proofErr w:type="spellStart"/>
      <w:r>
        <w:rPr>
          <w:rFonts w:ascii="Calibri" w:eastAsia="Calibri" w:hAnsi="Calibri" w:cs="Calibri"/>
          <w:b/>
          <w:bCs/>
          <w:color w:val="0F172A"/>
          <w:sz w:val="21"/>
          <w:szCs w:val="21"/>
        </w:rPr>
        <w:t>Function</w:t>
      </w:r>
      <w:proofErr w:type="spellEnd"/>
      <w:r>
        <w:rPr>
          <w:rFonts w:ascii="Calibri" w:eastAsia="Calibri" w:hAnsi="Calibri" w:cs="Calibri"/>
          <w:b/>
          <w:bCs/>
          <w:color w:val="0F172A"/>
          <w:sz w:val="21"/>
          <w:szCs w:val="21"/>
        </w:rPr>
        <w:t xml:space="preserve"> </w:t>
      </w:r>
      <w:proofErr w:type="spellStart"/>
      <w:r>
        <w:rPr>
          <w:rFonts w:ascii="Calibri" w:eastAsia="Calibri" w:hAnsi="Calibri" w:cs="Calibri"/>
          <w:b/>
          <w:bCs/>
          <w:color w:val="0F172A"/>
          <w:sz w:val="21"/>
          <w:szCs w:val="21"/>
        </w:rPr>
        <w:t>Calling</w:t>
      </w:r>
      <w:proofErr w:type="spellEnd"/>
      <w:r>
        <w:rPr>
          <w:rFonts w:ascii="Calibri" w:eastAsia="Calibri" w:hAnsi="Calibri" w:cs="Calibri"/>
          <w:b/>
          <w:bCs/>
          <w:color w:val="0F172A"/>
          <w:sz w:val="21"/>
          <w:szCs w:val="21"/>
        </w:rPr>
        <w:t>):</w:t>
      </w:r>
      <w:r>
        <w:rPr>
          <w:rFonts w:ascii="Calibri" w:eastAsia="Calibri" w:hAnsi="Calibri" w:cs="Calibri"/>
          <w:color w:val="334155"/>
          <w:sz w:val="21"/>
          <w:szCs w:val="21"/>
        </w:rPr>
        <w:t xml:space="preserve"> Permite al agente ejecutar código Python, consultar bases de datos relacionales y consumir </w:t>
      </w:r>
      <w:proofErr w:type="spellStart"/>
      <w:r>
        <w:rPr>
          <w:rFonts w:ascii="Calibri" w:eastAsia="Calibri" w:hAnsi="Calibri" w:cs="Calibri"/>
          <w:color w:val="334155"/>
          <w:sz w:val="21"/>
          <w:szCs w:val="21"/>
        </w:rPr>
        <w:t>APIs</w:t>
      </w:r>
      <w:proofErr w:type="spellEnd"/>
      <w:r>
        <w:rPr>
          <w:rFonts w:ascii="Calibri" w:eastAsia="Calibri" w:hAnsi="Calibri" w:cs="Calibri"/>
          <w:color w:val="334155"/>
          <w:sz w:val="21"/>
          <w:szCs w:val="21"/>
        </w:rPr>
        <w:t xml:space="preserve"> HTTP externas.</w:t>
      </w:r>
    </w:p>
    <w:p w14:paraId="0CF0DC9E" w14:textId="77777777" w:rsidR="00F816F7" w:rsidRDefault="00000000">
      <w:pPr>
        <w:pStyle w:val="Prrafodelista"/>
        <w:numPr>
          <w:ilvl w:val="0"/>
          <w:numId w:val="1"/>
        </w:numPr>
        <w:spacing w:after="60"/>
      </w:pPr>
      <w:r>
        <w:rPr>
          <w:rFonts w:ascii="Calibri" w:eastAsia="Calibri" w:hAnsi="Calibri" w:cs="Calibri"/>
          <w:b/>
          <w:bCs/>
          <w:color w:val="0F172A"/>
          <w:sz w:val="21"/>
          <w:szCs w:val="21"/>
        </w:rPr>
        <w:t>Gestión de Memoria y Estado:</w:t>
      </w:r>
      <w:r>
        <w:rPr>
          <w:rFonts w:ascii="Calibri" w:eastAsia="Calibri" w:hAnsi="Calibri" w:cs="Calibri"/>
          <w:color w:val="334155"/>
          <w:sz w:val="21"/>
          <w:szCs w:val="21"/>
        </w:rPr>
        <w:t xml:space="preserve"> Uso de bases de datos vectoriales (</w:t>
      </w:r>
      <w:proofErr w:type="spellStart"/>
      <w:r>
        <w:rPr>
          <w:rFonts w:ascii="Calibri" w:eastAsia="Calibri" w:hAnsi="Calibri" w:cs="Calibri"/>
          <w:color w:val="334155"/>
          <w:sz w:val="21"/>
          <w:szCs w:val="21"/>
        </w:rPr>
        <w:t>ChromaDB</w:t>
      </w:r>
      <w:proofErr w:type="spellEnd"/>
      <w:r>
        <w:rPr>
          <w:rFonts w:ascii="Calibri" w:eastAsia="Calibri" w:hAnsi="Calibri" w:cs="Calibri"/>
          <w:color w:val="334155"/>
          <w:sz w:val="21"/>
          <w:szCs w:val="21"/>
        </w:rPr>
        <w:t xml:space="preserve">, </w:t>
      </w:r>
      <w:proofErr w:type="spellStart"/>
      <w:r>
        <w:rPr>
          <w:rFonts w:ascii="Calibri" w:eastAsia="Calibri" w:hAnsi="Calibri" w:cs="Calibri"/>
          <w:color w:val="334155"/>
          <w:sz w:val="21"/>
          <w:szCs w:val="21"/>
        </w:rPr>
        <w:t>Pinecone</w:t>
      </w:r>
      <w:proofErr w:type="spellEnd"/>
      <w:r>
        <w:rPr>
          <w:rFonts w:ascii="Calibri" w:eastAsia="Calibri" w:hAnsi="Calibri" w:cs="Calibri"/>
          <w:color w:val="334155"/>
          <w:sz w:val="21"/>
          <w:szCs w:val="21"/>
        </w:rPr>
        <w:t xml:space="preserve">) para memoria semántica y </w:t>
      </w:r>
      <w:proofErr w:type="spellStart"/>
      <w:r>
        <w:rPr>
          <w:rFonts w:ascii="Calibri" w:eastAsia="Calibri" w:hAnsi="Calibri" w:cs="Calibri"/>
          <w:color w:val="334155"/>
          <w:sz w:val="21"/>
          <w:szCs w:val="21"/>
        </w:rPr>
        <w:t>checkpointers</w:t>
      </w:r>
      <w:proofErr w:type="spellEnd"/>
      <w:r>
        <w:rPr>
          <w:rFonts w:ascii="Calibri" w:eastAsia="Calibri" w:hAnsi="Calibri" w:cs="Calibri"/>
          <w:color w:val="334155"/>
          <w:sz w:val="21"/>
          <w:szCs w:val="21"/>
        </w:rPr>
        <w:t xml:space="preserve"> (PostgreSQL) para memoria conversacional duradera.</w:t>
      </w:r>
    </w:p>
    <w:p w14:paraId="0F4C5472" w14:textId="77777777" w:rsidR="00F816F7" w:rsidRDefault="00000000">
      <w:pPr>
        <w:pStyle w:val="Prrafodelista"/>
        <w:numPr>
          <w:ilvl w:val="0"/>
          <w:numId w:val="1"/>
        </w:numPr>
        <w:spacing w:after="60"/>
      </w:pPr>
      <w:r>
        <w:rPr>
          <w:rFonts w:ascii="Calibri" w:eastAsia="Calibri" w:hAnsi="Calibri" w:cs="Calibri"/>
          <w:b/>
          <w:bCs/>
          <w:color w:val="0F172A"/>
          <w:sz w:val="21"/>
          <w:szCs w:val="21"/>
        </w:rPr>
        <w:t>Orquestación Multi-Agente:</w:t>
      </w:r>
      <w:r>
        <w:rPr>
          <w:rFonts w:ascii="Calibri" w:eastAsia="Calibri" w:hAnsi="Calibri" w:cs="Calibri"/>
          <w:color w:val="334155"/>
          <w:sz w:val="21"/>
          <w:szCs w:val="21"/>
        </w:rPr>
        <w:t xml:space="preserve"> Estructuración de flujos con </w:t>
      </w:r>
      <w:proofErr w:type="spellStart"/>
      <w:r>
        <w:rPr>
          <w:rFonts w:ascii="Calibri" w:eastAsia="Calibri" w:hAnsi="Calibri" w:cs="Calibri"/>
          <w:color w:val="334155"/>
          <w:sz w:val="21"/>
          <w:szCs w:val="21"/>
        </w:rPr>
        <w:t>frameworks</w:t>
      </w:r>
      <w:proofErr w:type="spellEnd"/>
      <w:r>
        <w:rPr>
          <w:rFonts w:ascii="Calibri" w:eastAsia="Calibri" w:hAnsi="Calibri" w:cs="Calibri"/>
          <w:color w:val="334155"/>
          <w:sz w:val="21"/>
          <w:szCs w:val="21"/>
        </w:rPr>
        <w:t xml:space="preserve"> como </w:t>
      </w:r>
      <w:proofErr w:type="spellStart"/>
      <w:r>
        <w:rPr>
          <w:rFonts w:ascii="Calibri" w:eastAsia="Calibri" w:hAnsi="Calibri" w:cs="Calibri"/>
          <w:color w:val="334155"/>
          <w:sz w:val="21"/>
          <w:szCs w:val="21"/>
        </w:rPr>
        <w:t>LangGraph</w:t>
      </w:r>
      <w:proofErr w:type="spellEnd"/>
      <w:r>
        <w:rPr>
          <w:rFonts w:ascii="Calibri" w:eastAsia="Calibri" w:hAnsi="Calibri" w:cs="Calibri"/>
          <w:color w:val="334155"/>
          <w:sz w:val="21"/>
          <w:szCs w:val="21"/>
        </w:rPr>
        <w:t xml:space="preserve"> (máquinas de estado deterministas) y </w:t>
      </w:r>
      <w:proofErr w:type="spellStart"/>
      <w:r>
        <w:rPr>
          <w:rFonts w:ascii="Calibri" w:eastAsia="Calibri" w:hAnsi="Calibri" w:cs="Calibri"/>
          <w:color w:val="334155"/>
          <w:sz w:val="21"/>
          <w:szCs w:val="21"/>
        </w:rPr>
        <w:t>CrewAI</w:t>
      </w:r>
      <w:proofErr w:type="spellEnd"/>
      <w:r>
        <w:rPr>
          <w:rFonts w:ascii="Calibri" w:eastAsia="Calibri" w:hAnsi="Calibri" w:cs="Calibri"/>
          <w:color w:val="334155"/>
          <w:sz w:val="21"/>
          <w:szCs w:val="21"/>
        </w:rPr>
        <w:t xml:space="preserve"> (colaboración por roles).</w:t>
      </w:r>
    </w:p>
    <w:p w14:paraId="7E5051FB" w14:textId="77777777" w:rsidR="00F816F7" w:rsidRDefault="00000000">
      <w:pPr>
        <w:pStyle w:val="Ttulo2"/>
      </w:pPr>
      <w:r>
        <w:t>1.2 ¿Cómo Funcionan?</w:t>
      </w:r>
    </w:p>
    <w:p w14:paraId="6A660FB4" w14:textId="77777777" w:rsidR="00F816F7" w:rsidRDefault="00000000">
      <w:pPr>
        <w:spacing w:after="120"/>
      </w:pPr>
      <w:r>
        <w:rPr>
          <w:rFonts w:ascii="Calibri" w:eastAsia="Calibri" w:hAnsi="Calibri" w:cs="Calibri"/>
          <w:sz w:val="22"/>
          <w:szCs w:val="22"/>
        </w:rPr>
        <w:t xml:space="preserve">Los agentes operan bajo el ciclo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(Reason + </w:t>
      </w:r>
      <w:proofErr w:type="spellStart"/>
      <w:r>
        <w:rPr>
          <w:rFonts w:ascii="Calibri" w:eastAsia="Calibri" w:hAnsi="Calibri" w:cs="Calibri"/>
          <w:sz w:val="22"/>
          <w:szCs w:val="22"/>
        </w:rPr>
        <w:t>Act</w:t>
      </w:r>
      <w:proofErr w:type="spellEnd"/>
      <w:r>
        <w:rPr>
          <w:rFonts w:ascii="Calibri" w:eastAsia="Calibri" w:hAnsi="Calibri" w:cs="Calibri"/>
          <w:sz w:val="22"/>
          <w:szCs w:val="22"/>
        </w:rPr>
        <w:t>): ante una entrada, el agente genera un pensamiento (</w:t>
      </w:r>
      <w:proofErr w:type="spellStart"/>
      <w:r>
        <w:rPr>
          <w:rFonts w:ascii="Calibri" w:eastAsia="Calibri" w:hAnsi="Calibri" w:cs="Calibri"/>
          <w:sz w:val="22"/>
          <w:szCs w:val="22"/>
        </w:rPr>
        <w:t>Thinking</w:t>
      </w:r>
      <w:proofErr w:type="spellEnd"/>
      <w:r>
        <w:rPr>
          <w:rFonts w:ascii="Calibri" w:eastAsia="Calibri" w:hAnsi="Calibri" w:cs="Calibri"/>
          <w:sz w:val="22"/>
          <w:szCs w:val="22"/>
        </w:rPr>
        <w:t>/</w:t>
      </w:r>
      <w:proofErr w:type="spellStart"/>
      <w:r>
        <w:rPr>
          <w:rFonts w:ascii="Calibri" w:eastAsia="Calibri" w:hAnsi="Calibri" w:cs="Calibri"/>
          <w:sz w:val="22"/>
          <w:szCs w:val="22"/>
        </w:rPr>
        <w:t>CoT</w:t>
      </w:r>
      <w:proofErr w:type="spellEnd"/>
      <w:r>
        <w:rPr>
          <w:rFonts w:ascii="Calibri" w:eastAsia="Calibri" w:hAnsi="Calibri" w:cs="Calibri"/>
          <w:sz w:val="22"/>
          <w:szCs w:val="22"/>
        </w:rPr>
        <w:t>), determina si necesita invocar una herramienta, ejecuta la herramienta, analiza la observación devuelta y repite el proceso hasta formular la respuesta final.</w:t>
      </w:r>
    </w:p>
    <w:p w14:paraId="6875609A" w14:textId="77777777" w:rsidR="00F816F7" w:rsidRDefault="00000000">
      <w:pPr>
        <w:pStyle w:val="Ttulo2"/>
      </w:pPr>
      <w:r>
        <w:t>1.3 ¿Cómo se Entrenan y Mantiene Operativos?</w:t>
      </w:r>
    </w:p>
    <w:p w14:paraId="7A07E994" w14:textId="77777777" w:rsidR="00F816F7" w:rsidRDefault="00000000">
      <w:pPr>
        <w:pStyle w:val="Prrafodelista"/>
        <w:numPr>
          <w:ilvl w:val="0"/>
          <w:numId w:val="1"/>
        </w:numPr>
        <w:spacing w:after="60"/>
      </w:pPr>
      <w:r>
        <w:rPr>
          <w:rFonts w:ascii="Calibri" w:eastAsia="Calibri" w:hAnsi="Calibri" w:cs="Calibri"/>
          <w:b/>
          <w:bCs/>
          <w:color w:val="0F172A"/>
          <w:sz w:val="21"/>
          <w:szCs w:val="21"/>
        </w:rPr>
        <w:t>In-</w:t>
      </w:r>
      <w:proofErr w:type="spellStart"/>
      <w:r>
        <w:rPr>
          <w:rFonts w:ascii="Calibri" w:eastAsia="Calibri" w:hAnsi="Calibri" w:cs="Calibri"/>
          <w:b/>
          <w:bCs/>
          <w:color w:val="0F172A"/>
          <w:sz w:val="21"/>
          <w:szCs w:val="21"/>
        </w:rPr>
        <w:t>Context</w:t>
      </w:r>
      <w:proofErr w:type="spellEnd"/>
      <w:r>
        <w:rPr>
          <w:rFonts w:ascii="Calibri" w:eastAsia="Calibri" w:hAnsi="Calibri" w:cs="Calibri"/>
          <w:b/>
          <w:bCs/>
          <w:color w:val="0F172A"/>
          <w:sz w:val="21"/>
          <w:szCs w:val="21"/>
        </w:rPr>
        <w:t xml:space="preserve"> </w:t>
      </w:r>
      <w:proofErr w:type="spellStart"/>
      <w:r>
        <w:rPr>
          <w:rFonts w:ascii="Calibri" w:eastAsia="Calibri" w:hAnsi="Calibri" w:cs="Calibri"/>
          <w:b/>
          <w:bCs/>
          <w:color w:val="0F172A"/>
          <w:sz w:val="21"/>
          <w:szCs w:val="21"/>
        </w:rPr>
        <w:t>Learning</w:t>
      </w:r>
      <w:proofErr w:type="spellEnd"/>
      <w:r>
        <w:rPr>
          <w:rFonts w:ascii="Calibri" w:eastAsia="Calibri" w:hAnsi="Calibri" w:cs="Calibri"/>
          <w:b/>
          <w:bCs/>
          <w:color w:val="0F172A"/>
          <w:sz w:val="21"/>
          <w:szCs w:val="21"/>
        </w:rPr>
        <w:t xml:space="preserve"> y Few-</w:t>
      </w:r>
      <w:proofErr w:type="spellStart"/>
      <w:r>
        <w:rPr>
          <w:rFonts w:ascii="Calibri" w:eastAsia="Calibri" w:hAnsi="Calibri" w:cs="Calibri"/>
          <w:b/>
          <w:bCs/>
          <w:color w:val="0F172A"/>
          <w:sz w:val="21"/>
          <w:szCs w:val="21"/>
        </w:rPr>
        <w:t>Shot</w:t>
      </w:r>
      <w:proofErr w:type="spellEnd"/>
      <w:r>
        <w:rPr>
          <w:rFonts w:ascii="Calibri" w:eastAsia="Calibri" w:hAnsi="Calibri" w:cs="Calibri"/>
          <w:b/>
          <w:bCs/>
          <w:color w:val="0F172A"/>
          <w:sz w:val="21"/>
          <w:szCs w:val="21"/>
        </w:rPr>
        <w:t xml:space="preserve"> </w:t>
      </w:r>
      <w:proofErr w:type="spellStart"/>
      <w:r>
        <w:rPr>
          <w:rFonts w:ascii="Calibri" w:eastAsia="Calibri" w:hAnsi="Calibri" w:cs="Calibri"/>
          <w:b/>
          <w:bCs/>
          <w:color w:val="0F172A"/>
          <w:sz w:val="21"/>
          <w:szCs w:val="21"/>
        </w:rPr>
        <w:t>Prompting</w:t>
      </w:r>
      <w:proofErr w:type="spellEnd"/>
      <w:r>
        <w:rPr>
          <w:rFonts w:ascii="Calibri" w:eastAsia="Calibri" w:hAnsi="Calibri" w:cs="Calibri"/>
          <w:b/>
          <w:bCs/>
          <w:color w:val="0F172A"/>
          <w:sz w:val="21"/>
          <w:szCs w:val="21"/>
        </w:rPr>
        <w:t>:</w:t>
      </w:r>
      <w:r>
        <w:rPr>
          <w:rFonts w:ascii="Calibri" w:eastAsia="Calibri" w:hAnsi="Calibri" w:cs="Calibri"/>
          <w:color w:val="334155"/>
          <w:sz w:val="21"/>
          <w:szCs w:val="21"/>
        </w:rPr>
        <w:t xml:space="preserve"> Inyección de ejemplos reales de cotización dentro de la ventana de contexto.</w:t>
      </w:r>
    </w:p>
    <w:p w14:paraId="1C98D9B7" w14:textId="77777777" w:rsidR="00F816F7" w:rsidRDefault="00000000">
      <w:pPr>
        <w:pStyle w:val="Prrafodelista"/>
        <w:numPr>
          <w:ilvl w:val="0"/>
          <w:numId w:val="1"/>
        </w:numPr>
        <w:spacing w:after="60"/>
      </w:pPr>
      <w:r>
        <w:rPr>
          <w:rFonts w:ascii="Calibri" w:eastAsia="Calibri" w:hAnsi="Calibri" w:cs="Calibri"/>
          <w:b/>
          <w:bCs/>
          <w:color w:val="0F172A"/>
          <w:sz w:val="21"/>
          <w:szCs w:val="21"/>
        </w:rPr>
        <w:t>RAG (</w:t>
      </w:r>
      <w:proofErr w:type="spellStart"/>
      <w:r>
        <w:rPr>
          <w:rFonts w:ascii="Calibri" w:eastAsia="Calibri" w:hAnsi="Calibri" w:cs="Calibri"/>
          <w:b/>
          <w:bCs/>
          <w:color w:val="0F172A"/>
          <w:sz w:val="21"/>
          <w:szCs w:val="21"/>
        </w:rPr>
        <w:t>Retrieval-Augmented</w:t>
      </w:r>
      <w:proofErr w:type="spellEnd"/>
      <w:r>
        <w:rPr>
          <w:rFonts w:ascii="Calibri" w:eastAsia="Calibri" w:hAnsi="Calibri" w:cs="Calibri"/>
          <w:b/>
          <w:bCs/>
          <w:color w:val="0F172A"/>
          <w:sz w:val="21"/>
          <w:szCs w:val="21"/>
        </w:rPr>
        <w:t xml:space="preserve"> </w:t>
      </w:r>
      <w:proofErr w:type="spellStart"/>
      <w:r>
        <w:rPr>
          <w:rFonts w:ascii="Calibri" w:eastAsia="Calibri" w:hAnsi="Calibri" w:cs="Calibri"/>
          <w:b/>
          <w:bCs/>
          <w:color w:val="0F172A"/>
          <w:sz w:val="21"/>
          <w:szCs w:val="21"/>
        </w:rPr>
        <w:t>Generation</w:t>
      </w:r>
      <w:proofErr w:type="spellEnd"/>
      <w:r>
        <w:rPr>
          <w:rFonts w:ascii="Calibri" w:eastAsia="Calibri" w:hAnsi="Calibri" w:cs="Calibri"/>
          <w:b/>
          <w:bCs/>
          <w:color w:val="0F172A"/>
          <w:sz w:val="21"/>
          <w:szCs w:val="21"/>
        </w:rPr>
        <w:t>):</w:t>
      </w:r>
      <w:r>
        <w:rPr>
          <w:rFonts w:ascii="Calibri" w:eastAsia="Calibri" w:hAnsi="Calibri" w:cs="Calibri"/>
          <w:color w:val="334155"/>
          <w:sz w:val="21"/>
          <w:szCs w:val="21"/>
        </w:rPr>
        <w:t xml:space="preserve"> Búsqueda semántica en bases de conocimiento técnico sobre piedras y tarifas.</w:t>
      </w:r>
    </w:p>
    <w:p w14:paraId="2EE4FA34" w14:textId="77777777" w:rsidR="00F816F7" w:rsidRDefault="00000000">
      <w:pPr>
        <w:pStyle w:val="Prrafodelista"/>
        <w:numPr>
          <w:ilvl w:val="0"/>
          <w:numId w:val="1"/>
        </w:numPr>
        <w:spacing w:after="60"/>
      </w:pPr>
      <w:r>
        <w:rPr>
          <w:rFonts w:ascii="Calibri" w:eastAsia="Calibri" w:hAnsi="Calibri" w:cs="Calibri"/>
          <w:b/>
          <w:bCs/>
          <w:color w:val="0F172A"/>
          <w:sz w:val="21"/>
          <w:szCs w:val="21"/>
        </w:rPr>
        <w:t>Fine-Tuning Específico:</w:t>
      </w:r>
      <w:r>
        <w:rPr>
          <w:rFonts w:ascii="Calibri" w:eastAsia="Calibri" w:hAnsi="Calibri" w:cs="Calibri"/>
          <w:color w:val="334155"/>
          <w:sz w:val="21"/>
          <w:szCs w:val="21"/>
        </w:rPr>
        <w:t xml:space="preserve"> Ajuste fino de modelos de menor tamaño (Llama 3, Mistral) para tareas específicas repetitivas.</w:t>
      </w:r>
    </w:p>
    <w:p w14:paraId="215F63A0" w14:textId="77777777" w:rsidR="00F816F7" w:rsidRDefault="00000000">
      <w:pPr>
        <w:pStyle w:val="Prrafodelista"/>
        <w:numPr>
          <w:ilvl w:val="0"/>
          <w:numId w:val="1"/>
        </w:numPr>
        <w:spacing w:after="60"/>
      </w:pPr>
      <w:proofErr w:type="spellStart"/>
      <w:r>
        <w:rPr>
          <w:rFonts w:ascii="Calibri" w:eastAsia="Calibri" w:hAnsi="Calibri" w:cs="Calibri"/>
          <w:b/>
          <w:bCs/>
          <w:color w:val="0F172A"/>
          <w:sz w:val="21"/>
          <w:szCs w:val="21"/>
        </w:rPr>
        <w:t>Observabilidad</w:t>
      </w:r>
      <w:proofErr w:type="spellEnd"/>
      <w:r>
        <w:rPr>
          <w:rFonts w:ascii="Calibri" w:eastAsia="Calibri" w:hAnsi="Calibri" w:cs="Calibri"/>
          <w:b/>
          <w:bCs/>
          <w:color w:val="0F172A"/>
          <w:sz w:val="21"/>
          <w:szCs w:val="21"/>
        </w:rPr>
        <w:t xml:space="preserve"> y Mantenimiento:</w:t>
      </w:r>
      <w:r>
        <w:rPr>
          <w:rFonts w:ascii="Calibri" w:eastAsia="Calibri" w:hAnsi="Calibri" w:cs="Calibri"/>
          <w:color w:val="334155"/>
          <w:sz w:val="21"/>
          <w:szCs w:val="21"/>
        </w:rPr>
        <w:t xml:space="preserve"> Rastreo continuo de latencia, fallos y consumo de tokens con plataformas como </w:t>
      </w:r>
      <w:proofErr w:type="spellStart"/>
      <w:r>
        <w:rPr>
          <w:rFonts w:ascii="Calibri" w:eastAsia="Calibri" w:hAnsi="Calibri" w:cs="Calibri"/>
          <w:color w:val="334155"/>
          <w:sz w:val="21"/>
          <w:szCs w:val="21"/>
        </w:rPr>
        <w:t>Langfuse</w:t>
      </w:r>
      <w:proofErr w:type="spellEnd"/>
      <w:r>
        <w:rPr>
          <w:rFonts w:ascii="Calibri" w:eastAsia="Calibri" w:hAnsi="Calibri" w:cs="Calibri"/>
          <w:color w:val="334155"/>
          <w:sz w:val="21"/>
          <w:szCs w:val="21"/>
        </w:rPr>
        <w:t xml:space="preserve"> y </w:t>
      </w:r>
      <w:proofErr w:type="spellStart"/>
      <w:r>
        <w:rPr>
          <w:rFonts w:ascii="Calibri" w:eastAsia="Calibri" w:hAnsi="Calibri" w:cs="Calibri"/>
          <w:color w:val="334155"/>
          <w:sz w:val="21"/>
          <w:szCs w:val="21"/>
        </w:rPr>
        <w:t>LangSmith</w:t>
      </w:r>
      <w:proofErr w:type="spellEnd"/>
      <w:r>
        <w:rPr>
          <w:rFonts w:ascii="Calibri" w:eastAsia="Calibri" w:hAnsi="Calibri" w:cs="Calibri"/>
          <w:color w:val="334155"/>
          <w:sz w:val="21"/>
          <w:szCs w:val="21"/>
        </w:rPr>
        <w:t>.</w:t>
      </w:r>
    </w:p>
    <w:p w14:paraId="637DB695" w14:textId="77777777" w:rsidR="00F816F7" w:rsidRDefault="00000000">
      <w:pPr>
        <w:pStyle w:val="Ttulo1"/>
      </w:pPr>
      <w:r>
        <w:t>2. Estructura de Agentes Especializados para Costo360 S.A.S.</w:t>
      </w:r>
    </w:p>
    <w:p w14:paraId="68D25A94" w14:textId="77777777" w:rsidR="00F816F7" w:rsidRDefault="00000000">
      <w:pPr>
        <w:spacing w:after="120"/>
      </w:pPr>
      <w:r>
        <w:rPr>
          <w:rFonts w:ascii="Calibri" w:eastAsia="Calibri" w:hAnsi="Calibri" w:cs="Calibri"/>
          <w:sz w:val="22"/>
          <w:szCs w:val="22"/>
        </w:rPr>
        <w:lastRenderedPageBreak/>
        <w:t>Para operar casi al 100% sin intervención humana, Costo360 desplegará una estructura departamental distribuida donde cada área corporativa está liderada por un agente o equipo especializado:</w:t>
      </w:r>
    </w:p>
    <w:p w14:paraId="68E9C18B" w14:textId="77777777" w:rsidR="00F816F7" w:rsidRDefault="00000000">
      <w:pPr>
        <w:spacing w:after="100"/>
      </w:pPr>
      <w:r>
        <w:rPr>
          <w:rFonts w:ascii="Calibri" w:eastAsia="Calibri" w:hAnsi="Calibri" w:cs="Calibri"/>
          <w:b/>
          <w:bCs/>
          <w:color w:val="0284C7"/>
          <w:sz w:val="21"/>
          <w:szCs w:val="21"/>
        </w:rPr>
        <w:t>• Agente de Marketing y Publicidad (</w:t>
      </w:r>
      <w:proofErr w:type="spellStart"/>
      <w:r>
        <w:rPr>
          <w:rFonts w:ascii="Calibri" w:eastAsia="Calibri" w:hAnsi="Calibri" w:cs="Calibri"/>
          <w:b/>
          <w:bCs/>
          <w:color w:val="0284C7"/>
          <w:sz w:val="21"/>
          <w:szCs w:val="21"/>
        </w:rPr>
        <w:t>CrewAI</w:t>
      </w:r>
      <w:proofErr w:type="spellEnd"/>
      <w:r>
        <w:rPr>
          <w:rFonts w:ascii="Calibri" w:eastAsia="Calibri" w:hAnsi="Calibri" w:cs="Calibri"/>
          <w:b/>
          <w:bCs/>
          <w:color w:val="0284C7"/>
          <w:sz w:val="21"/>
          <w:szCs w:val="21"/>
        </w:rPr>
        <w:t xml:space="preserve">): </w:t>
      </w:r>
      <w:r>
        <w:rPr>
          <w:rFonts w:ascii="Calibri" w:eastAsia="Calibri" w:hAnsi="Calibri" w:cs="Calibri"/>
          <w:color w:val="334155"/>
          <w:sz w:val="21"/>
          <w:szCs w:val="21"/>
        </w:rPr>
        <w:t xml:space="preserve">Genera campañas B2B para redes sociales, analiza tendencias en el sector construcción y redacta </w:t>
      </w:r>
      <w:proofErr w:type="spellStart"/>
      <w:r>
        <w:rPr>
          <w:rFonts w:ascii="Calibri" w:eastAsia="Calibri" w:hAnsi="Calibri" w:cs="Calibri"/>
          <w:color w:val="334155"/>
          <w:sz w:val="21"/>
          <w:szCs w:val="21"/>
        </w:rPr>
        <w:t>copys</w:t>
      </w:r>
      <w:proofErr w:type="spellEnd"/>
      <w:r>
        <w:rPr>
          <w:rFonts w:ascii="Calibri" w:eastAsia="Calibri" w:hAnsi="Calibri" w:cs="Calibri"/>
          <w:color w:val="334155"/>
          <w:sz w:val="21"/>
          <w:szCs w:val="21"/>
        </w:rPr>
        <w:t xml:space="preserve"> de venta altamente enfocados en talleres marmoleros.</w:t>
      </w:r>
    </w:p>
    <w:p w14:paraId="6AB2F345" w14:textId="77777777" w:rsidR="00F816F7" w:rsidRDefault="00000000">
      <w:pPr>
        <w:spacing w:after="100"/>
      </w:pPr>
      <w:r>
        <w:rPr>
          <w:rFonts w:ascii="Calibri" w:eastAsia="Calibri" w:hAnsi="Calibri" w:cs="Calibri"/>
          <w:b/>
          <w:bCs/>
          <w:color w:val="0284C7"/>
          <w:sz w:val="21"/>
          <w:szCs w:val="21"/>
        </w:rPr>
        <w:t>• Agente de Ventas y Prospección (</w:t>
      </w:r>
      <w:proofErr w:type="spellStart"/>
      <w:r>
        <w:rPr>
          <w:rFonts w:ascii="Calibri" w:eastAsia="Calibri" w:hAnsi="Calibri" w:cs="Calibri"/>
          <w:b/>
          <w:bCs/>
          <w:color w:val="0284C7"/>
          <w:sz w:val="21"/>
          <w:szCs w:val="21"/>
        </w:rPr>
        <w:t>CrewAI</w:t>
      </w:r>
      <w:proofErr w:type="spellEnd"/>
      <w:r>
        <w:rPr>
          <w:rFonts w:ascii="Calibri" w:eastAsia="Calibri" w:hAnsi="Calibri" w:cs="Calibri"/>
          <w:b/>
          <w:bCs/>
          <w:color w:val="0284C7"/>
          <w:sz w:val="21"/>
          <w:szCs w:val="21"/>
        </w:rPr>
        <w:t xml:space="preserve"> + </w:t>
      </w:r>
      <w:proofErr w:type="spellStart"/>
      <w:r>
        <w:rPr>
          <w:rFonts w:ascii="Calibri" w:eastAsia="Calibri" w:hAnsi="Calibri" w:cs="Calibri"/>
          <w:b/>
          <w:bCs/>
          <w:color w:val="0284C7"/>
          <w:sz w:val="21"/>
          <w:szCs w:val="21"/>
        </w:rPr>
        <w:t>LangGraph</w:t>
      </w:r>
      <w:proofErr w:type="spellEnd"/>
      <w:r>
        <w:rPr>
          <w:rFonts w:ascii="Calibri" w:eastAsia="Calibri" w:hAnsi="Calibri" w:cs="Calibri"/>
          <w:b/>
          <w:bCs/>
          <w:color w:val="0284C7"/>
          <w:sz w:val="21"/>
          <w:szCs w:val="21"/>
        </w:rPr>
        <w:t xml:space="preserve">): </w:t>
      </w:r>
      <w:r>
        <w:rPr>
          <w:rFonts w:ascii="Calibri" w:eastAsia="Calibri" w:hAnsi="Calibri" w:cs="Calibri"/>
          <w:color w:val="334155"/>
          <w:sz w:val="21"/>
          <w:szCs w:val="21"/>
        </w:rPr>
        <w:t>Realiza prospección activa por WhatsApp B2B, resuelve objeciones comerciales, envía catálogos interactivos y califica prospectos en tiempo real.</w:t>
      </w:r>
    </w:p>
    <w:p w14:paraId="6E2B8EFB" w14:textId="77777777" w:rsidR="00F816F7" w:rsidRDefault="00000000">
      <w:pPr>
        <w:spacing w:after="100"/>
      </w:pPr>
      <w:r>
        <w:rPr>
          <w:rFonts w:ascii="Calibri" w:eastAsia="Calibri" w:hAnsi="Calibri" w:cs="Calibri"/>
          <w:b/>
          <w:bCs/>
          <w:color w:val="0284C7"/>
          <w:sz w:val="21"/>
          <w:szCs w:val="21"/>
        </w:rPr>
        <w:t>• Agente de Producto y Cálculo Técnico (</w:t>
      </w:r>
      <w:proofErr w:type="spellStart"/>
      <w:r>
        <w:rPr>
          <w:rFonts w:ascii="Calibri" w:eastAsia="Calibri" w:hAnsi="Calibri" w:cs="Calibri"/>
          <w:b/>
          <w:bCs/>
          <w:color w:val="0284C7"/>
          <w:sz w:val="21"/>
          <w:szCs w:val="21"/>
        </w:rPr>
        <w:t>LangGraph</w:t>
      </w:r>
      <w:proofErr w:type="spellEnd"/>
      <w:r>
        <w:rPr>
          <w:rFonts w:ascii="Calibri" w:eastAsia="Calibri" w:hAnsi="Calibri" w:cs="Calibri"/>
          <w:b/>
          <w:bCs/>
          <w:color w:val="0284C7"/>
          <w:sz w:val="21"/>
          <w:szCs w:val="21"/>
        </w:rPr>
        <w:t xml:space="preserve">): </w:t>
      </w:r>
      <w:r>
        <w:rPr>
          <w:rFonts w:ascii="Calibri" w:eastAsia="Calibri" w:hAnsi="Calibri" w:cs="Calibri"/>
          <w:color w:val="334155"/>
          <w:sz w:val="21"/>
          <w:szCs w:val="21"/>
        </w:rPr>
        <w:t>Ejecuta las lógicas avanzadas de costeo de piedra (mármol, granito, cuarzo, sinterizado), calcula desperdicios de losas (</w:t>
      </w:r>
      <w:proofErr w:type="spellStart"/>
      <w:r>
        <w:rPr>
          <w:rFonts w:ascii="Calibri" w:eastAsia="Calibri" w:hAnsi="Calibri" w:cs="Calibri"/>
          <w:color w:val="334155"/>
          <w:sz w:val="21"/>
          <w:szCs w:val="21"/>
        </w:rPr>
        <w:t>slabs</w:t>
      </w:r>
      <w:proofErr w:type="spellEnd"/>
      <w:r>
        <w:rPr>
          <w:rFonts w:ascii="Calibri" w:eastAsia="Calibri" w:hAnsi="Calibri" w:cs="Calibri"/>
          <w:color w:val="334155"/>
          <w:sz w:val="21"/>
          <w:szCs w:val="21"/>
        </w:rPr>
        <w:t xml:space="preserve">), procesa logotipos con K-Means, valida contraste WCAG 2.1 y genera </w:t>
      </w:r>
      <w:proofErr w:type="spellStart"/>
      <w:r>
        <w:rPr>
          <w:rFonts w:ascii="Calibri" w:eastAsia="Calibri" w:hAnsi="Calibri" w:cs="Calibri"/>
          <w:color w:val="334155"/>
          <w:sz w:val="21"/>
          <w:szCs w:val="21"/>
        </w:rPr>
        <w:t>PDFs</w:t>
      </w:r>
      <w:proofErr w:type="spellEnd"/>
      <w:r>
        <w:rPr>
          <w:rFonts w:ascii="Calibri" w:eastAsia="Calibri" w:hAnsi="Calibri" w:cs="Calibri"/>
          <w:color w:val="334155"/>
          <w:sz w:val="21"/>
          <w:szCs w:val="21"/>
        </w:rPr>
        <w:t xml:space="preserve"> con </w:t>
      </w:r>
      <w:proofErr w:type="spellStart"/>
      <w:r>
        <w:rPr>
          <w:rFonts w:ascii="Calibri" w:eastAsia="Calibri" w:hAnsi="Calibri" w:cs="Calibri"/>
          <w:color w:val="334155"/>
          <w:sz w:val="21"/>
          <w:szCs w:val="21"/>
        </w:rPr>
        <w:t>WeasyPrint</w:t>
      </w:r>
      <w:proofErr w:type="spellEnd"/>
      <w:r>
        <w:rPr>
          <w:rFonts w:ascii="Calibri" w:eastAsia="Calibri" w:hAnsi="Calibri" w:cs="Calibri"/>
          <w:color w:val="334155"/>
          <w:sz w:val="21"/>
          <w:szCs w:val="21"/>
        </w:rPr>
        <w:t>.</w:t>
      </w:r>
    </w:p>
    <w:p w14:paraId="18192920" w14:textId="77777777" w:rsidR="00F816F7" w:rsidRDefault="00000000">
      <w:pPr>
        <w:spacing w:after="100"/>
      </w:pPr>
      <w:r>
        <w:rPr>
          <w:rFonts w:ascii="Calibri" w:eastAsia="Calibri" w:hAnsi="Calibri" w:cs="Calibri"/>
          <w:b/>
          <w:bCs/>
          <w:color w:val="0284C7"/>
          <w:sz w:val="21"/>
          <w:szCs w:val="21"/>
        </w:rPr>
        <w:t>• Agente de Contabilidad y Finanzas (</w:t>
      </w:r>
      <w:proofErr w:type="spellStart"/>
      <w:r>
        <w:rPr>
          <w:rFonts w:ascii="Calibri" w:eastAsia="Calibri" w:hAnsi="Calibri" w:cs="Calibri"/>
          <w:b/>
          <w:bCs/>
          <w:color w:val="0284C7"/>
          <w:sz w:val="21"/>
          <w:szCs w:val="21"/>
        </w:rPr>
        <w:t>LangGraph</w:t>
      </w:r>
      <w:proofErr w:type="spellEnd"/>
      <w:r>
        <w:rPr>
          <w:rFonts w:ascii="Calibri" w:eastAsia="Calibri" w:hAnsi="Calibri" w:cs="Calibri"/>
          <w:b/>
          <w:bCs/>
          <w:color w:val="0284C7"/>
          <w:sz w:val="21"/>
          <w:szCs w:val="21"/>
        </w:rPr>
        <w:t xml:space="preserve"> + Alegra API): </w:t>
      </w:r>
      <w:r>
        <w:rPr>
          <w:rFonts w:ascii="Calibri" w:eastAsia="Calibri" w:hAnsi="Calibri" w:cs="Calibri"/>
          <w:color w:val="334155"/>
          <w:sz w:val="21"/>
          <w:szCs w:val="21"/>
        </w:rPr>
        <w:t>Emite automáticamente facturas electrónicas validadas por la DIAN (estándar UBL 2.1), calcula impuestos y efectúa la conciliación bancaria.</w:t>
      </w:r>
    </w:p>
    <w:p w14:paraId="184B6082" w14:textId="77777777" w:rsidR="00F816F7" w:rsidRDefault="00000000">
      <w:pPr>
        <w:spacing w:after="100"/>
      </w:pPr>
      <w:r>
        <w:rPr>
          <w:rFonts w:ascii="Calibri" w:eastAsia="Calibri" w:hAnsi="Calibri" w:cs="Calibri"/>
          <w:b/>
          <w:bCs/>
          <w:color w:val="0284C7"/>
          <w:sz w:val="21"/>
          <w:szCs w:val="21"/>
        </w:rPr>
        <w:t>• Agente de Operaciones y Soporte Técnico (</w:t>
      </w:r>
      <w:proofErr w:type="spellStart"/>
      <w:r>
        <w:rPr>
          <w:rFonts w:ascii="Calibri" w:eastAsia="Calibri" w:hAnsi="Calibri" w:cs="Calibri"/>
          <w:b/>
          <w:bCs/>
          <w:color w:val="0284C7"/>
          <w:sz w:val="21"/>
          <w:szCs w:val="21"/>
        </w:rPr>
        <w:t>LangGraph</w:t>
      </w:r>
      <w:proofErr w:type="spellEnd"/>
      <w:r>
        <w:rPr>
          <w:rFonts w:ascii="Calibri" w:eastAsia="Calibri" w:hAnsi="Calibri" w:cs="Calibri"/>
          <w:b/>
          <w:bCs/>
          <w:color w:val="0284C7"/>
          <w:sz w:val="21"/>
          <w:szCs w:val="21"/>
        </w:rPr>
        <w:t xml:space="preserve">): </w:t>
      </w:r>
      <w:r>
        <w:rPr>
          <w:rFonts w:ascii="Calibri" w:eastAsia="Calibri" w:hAnsi="Calibri" w:cs="Calibri"/>
          <w:color w:val="334155"/>
          <w:sz w:val="21"/>
          <w:szCs w:val="21"/>
        </w:rPr>
        <w:t>Monitorea la salud de la infraestructura Docker, gestiona credenciales y atiende preguntas frecuentes (FAQ) de clientes Nivel 1.</w:t>
      </w:r>
    </w:p>
    <w:p w14:paraId="1EC21154" w14:textId="77777777" w:rsidR="00F816F7" w:rsidRDefault="00000000">
      <w:pPr>
        <w:pStyle w:val="Ttulo1"/>
      </w:pPr>
      <w:r>
        <w:t>3. Lógica Algorítmica del Agente de Producto y PDF Dinámico</w:t>
      </w:r>
    </w:p>
    <w:p w14:paraId="161F7C8A" w14:textId="77777777" w:rsidR="00F816F7" w:rsidRDefault="00000000">
      <w:pPr>
        <w:spacing w:after="120"/>
      </w:pPr>
      <w:r>
        <w:rPr>
          <w:rFonts w:ascii="Calibri" w:eastAsia="Calibri" w:hAnsi="Calibri" w:cs="Calibri"/>
          <w:sz w:val="22"/>
          <w:szCs w:val="22"/>
        </w:rPr>
        <w:t>El valor diferenciador de Costo360 radica en la generación autónoma de cotizaciones en PDF con la marca del taller marmolero. Este proceso involucra dos motores matemáticos:</w:t>
      </w:r>
    </w:p>
    <w:p w14:paraId="50F97660" w14:textId="77777777" w:rsidR="00F816F7" w:rsidRDefault="00000000">
      <w:pPr>
        <w:pStyle w:val="Ttulo2"/>
      </w:pPr>
      <w:r>
        <w:t xml:space="preserve">3.1 Extracción de Color mediante K-Means </w:t>
      </w:r>
      <w:proofErr w:type="spellStart"/>
      <w:r>
        <w:t>Clustering</w:t>
      </w:r>
      <w:proofErr w:type="spellEnd"/>
    </w:p>
    <w:p w14:paraId="0D3F1C37" w14:textId="77777777" w:rsidR="00F816F7" w:rsidRDefault="00000000">
      <w:pPr>
        <w:spacing w:after="120"/>
      </w:pPr>
      <w:r>
        <w:rPr>
          <w:rFonts w:ascii="Calibri" w:eastAsia="Calibri" w:hAnsi="Calibri" w:cs="Calibri"/>
          <w:sz w:val="22"/>
          <w:szCs w:val="22"/>
        </w:rPr>
        <w:t xml:space="preserve">El agente convierte el logo del cliente en una matriz matricial RGB, aplica Data </w:t>
      </w:r>
      <w:proofErr w:type="spellStart"/>
      <w:r>
        <w:rPr>
          <w:rFonts w:ascii="Calibri" w:eastAsia="Calibri" w:hAnsi="Calibri" w:cs="Calibri"/>
          <w:sz w:val="22"/>
          <w:szCs w:val="22"/>
        </w:rPr>
        <w:t>Whitening</w:t>
      </w:r>
      <w:proofErr w:type="spellEnd"/>
      <w:r>
        <w:rPr>
          <w:rFonts w:ascii="Calibri" w:eastAsia="Calibri" w:hAnsi="Calibri" w:cs="Calibri"/>
          <w:sz w:val="22"/>
          <w:szCs w:val="22"/>
        </w:rPr>
        <w:t xml:space="preserve"> para normalizar la varianza y ejecuta un algoritmo K-Means con K=5 para identificar los centroides de color primarios y secundarios de la marca.</w:t>
      </w:r>
    </w:p>
    <w:p w14:paraId="492A2D91" w14:textId="77777777" w:rsidR="00F816F7" w:rsidRDefault="00000000">
      <w:pPr>
        <w:pStyle w:val="Ttulo2"/>
      </w:pPr>
      <w:r>
        <w:t>3.2 Validación de Accesibilidad Visual (WCAG 2.1)</w:t>
      </w:r>
    </w:p>
    <w:p w14:paraId="7222E75E" w14:textId="77777777" w:rsidR="00F816F7" w:rsidRDefault="00000000">
      <w:pPr>
        <w:spacing w:after="120"/>
      </w:pPr>
      <w:r>
        <w:rPr>
          <w:rFonts w:ascii="Calibri" w:eastAsia="Calibri" w:hAnsi="Calibri" w:cs="Calibri"/>
          <w:sz w:val="22"/>
          <w:szCs w:val="22"/>
        </w:rPr>
        <w:t xml:space="preserve">Para evitar combinaciones ilegibles, el agente convierte los valores </w:t>
      </w:r>
      <w:proofErr w:type="spellStart"/>
      <w:r>
        <w:rPr>
          <w:rFonts w:ascii="Calibri" w:eastAsia="Calibri" w:hAnsi="Calibri" w:cs="Calibri"/>
          <w:sz w:val="22"/>
          <w:szCs w:val="22"/>
        </w:rPr>
        <w:t>sRGB</w:t>
      </w:r>
      <w:proofErr w:type="spellEnd"/>
      <w:r>
        <w:rPr>
          <w:rFonts w:ascii="Calibri" w:eastAsia="Calibri" w:hAnsi="Calibri" w:cs="Calibri"/>
          <w:sz w:val="22"/>
          <w:szCs w:val="22"/>
        </w:rPr>
        <w:t xml:space="preserve"> a RGB lineal y calcula la Luminancia Relativa (L = 0.2126R + 0.7152G + 0.0722B). Posteriormente evalúa el Ratio de Contraste (CR = (L1 + 0.05) / (L2 + 0.05)). Si </w:t>
      </w:r>
      <w:proofErr w:type="gramStart"/>
      <w:r>
        <w:rPr>
          <w:rFonts w:ascii="Calibri" w:eastAsia="Calibri" w:hAnsi="Calibri" w:cs="Calibri"/>
          <w:sz w:val="22"/>
          <w:szCs w:val="22"/>
        </w:rPr>
        <w:t>el ratio</w:t>
      </w:r>
      <w:proofErr w:type="gramEnd"/>
      <w:r>
        <w:rPr>
          <w:rFonts w:ascii="Calibri" w:eastAsia="Calibri" w:hAnsi="Calibri" w:cs="Calibri"/>
          <w:sz w:val="22"/>
          <w:szCs w:val="22"/>
        </w:rPr>
        <w:t xml:space="preserve"> es inferior a 4.5:1 (Estándar AA), ajusta automáticamente la luminosidad.</w:t>
      </w:r>
    </w:p>
    <w:p w14:paraId="4012FD3B" w14:textId="77777777" w:rsidR="00F816F7" w:rsidRDefault="00000000">
      <w:pPr>
        <w:pStyle w:val="Ttulo1"/>
      </w:pPr>
      <w:r>
        <w:t>4. Marco Legal y Tributario en Barranquilla, Colombia</w:t>
      </w:r>
    </w:p>
    <w:p w14:paraId="3389927B" w14:textId="77777777" w:rsidR="00F816F7" w:rsidRDefault="00000000">
      <w:pPr>
        <w:pStyle w:val="Prrafodelista"/>
        <w:numPr>
          <w:ilvl w:val="0"/>
          <w:numId w:val="1"/>
        </w:numPr>
        <w:spacing w:after="60"/>
      </w:pPr>
      <w:r>
        <w:rPr>
          <w:rFonts w:ascii="Calibri" w:eastAsia="Calibri" w:hAnsi="Calibri" w:cs="Calibri"/>
          <w:b/>
          <w:bCs/>
          <w:color w:val="0F172A"/>
          <w:sz w:val="21"/>
          <w:szCs w:val="21"/>
        </w:rPr>
        <w:t>Constitución S.A.S.:</w:t>
      </w:r>
      <w:r>
        <w:rPr>
          <w:rFonts w:ascii="Calibri" w:eastAsia="Calibri" w:hAnsi="Calibri" w:cs="Calibri"/>
          <w:color w:val="334155"/>
          <w:sz w:val="21"/>
          <w:szCs w:val="21"/>
        </w:rPr>
        <w:t xml:space="preserve"> Registro simplificado ante la Cámara de Comercio de Barranquilla con objeto social de desarrollo de software.</w:t>
      </w:r>
    </w:p>
    <w:p w14:paraId="3FC54E8D" w14:textId="77777777" w:rsidR="00F816F7" w:rsidRDefault="00000000">
      <w:pPr>
        <w:pStyle w:val="Prrafodelista"/>
        <w:numPr>
          <w:ilvl w:val="0"/>
          <w:numId w:val="1"/>
        </w:numPr>
        <w:spacing w:after="60"/>
      </w:pPr>
      <w:r>
        <w:rPr>
          <w:rFonts w:ascii="Calibri" w:eastAsia="Calibri" w:hAnsi="Calibri" w:cs="Calibri"/>
          <w:b/>
          <w:bCs/>
          <w:color w:val="0F172A"/>
          <w:sz w:val="21"/>
          <w:szCs w:val="21"/>
        </w:rPr>
        <w:t>Régimen Simple de Tributación (RST):</w:t>
      </w:r>
      <w:r>
        <w:rPr>
          <w:rFonts w:ascii="Calibri" w:eastAsia="Calibri" w:hAnsi="Calibri" w:cs="Calibri"/>
          <w:color w:val="334155"/>
          <w:sz w:val="21"/>
          <w:szCs w:val="21"/>
        </w:rPr>
        <w:t xml:space="preserve"> Unifica el Impuesto de Renta e ICA distrital de Barranquilla en una sola tarifa reducida (1.2% - 14.5%), eliminando la complejidad de retenciones municipales.</w:t>
      </w:r>
    </w:p>
    <w:p w14:paraId="0F635736" w14:textId="77777777" w:rsidR="00F816F7" w:rsidRDefault="00000000">
      <w:pPr>
        <w:pStyle w:val="Prrafodelista"/>
        <w:numPr>
          <w:ilvl w:val="0"/>
          <w:numId w:val="1"/>
        </w:numPr>
        <w:spacing w:after="60"/>
      </w:pPr>
      <w:r>
        <w:rPr>
          <w:rFonts w:ascii="Calibri" w:eastAsia="Calibri" w:hAnsi="Calibri" w:cs="Calibri"/>
          <w:b/>
          <w:bCs/>
          <w:color w:val="0F172A"/>
          <w:sz w:val="21"/>
          <w:szCs w:val="21"/>
        </w:rPr>
        <w:t>Exclusión del IVA (0%) para SaaS:</w:t>
      </w:r>
      <w:r>
        <w:rPr>
          <w:rFonts w:ascii="Calibri" w:eastAsia="Calibri" w:hAnsi="Calibri" w:cs="Calibri"/>
          <w:color w:val="334155"/>
          <w:sz w:val="21"/>
          <w:szCs w:val="21"/>
        </w:rPr>
        <w:t xml:space="preserve"> Sustentado en el Art. 476 Numeral 21 del Estatuto Tributario y conceptos de la DIAN. Al cumplir los 5 criterios NIST de Cloud Computing, Costo360 factura sin el 19% de IVA, ofreciendo una ventaja competitiva directa.</w:t>
      </w:r>
    </w:p>
    <w:p w14:paraId="711559E0" w14:textId="77777777" w:rsidR="00F816F7" w:rsidRDefault="00000000">
      <w:pPr>
        <w:pStyle w:val="Ttulo1"/>
      </w:pPr>
      <w:r>
        <w:t>5. Estructura de Costos Operativos (OPEX Mensual)</w:t>
      </w:r>
    </w:p>
    <w:p w14:paraId="5B25ED78" w14:textId="77777777" w:rsidR="00F816F7" w:rsidRDefault="00000000">
      <w:pPr>
        <w:spacing w:after="120"/>
      </w:pPr>
      <w:r>
        <w:rPr>
          <w:rFonts w:ascii="Calibri" w:eastAsia="Calibri" w:hAnsi="Calibri" w:cs="Calibri"/>
          <w:sz w:val="22"/>
          <w:szCs w:val="22"/>
        </w:rPr>
        <w:t>Desglose financiero estimado para la operación autónoma de Costo360 procesando 1,000 cotizaciones mensuales: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4508"/>
        <w:gridCol w:w="1803"/>
      </w:tblGrid>
      <w:tr w:rsidR="00F816F7" w14:paraId="2BA4CFC1" w14:textId="77777777">
        <w:tblPrEx>
          <w:tblCellMar>
            <w:top w:w="0" w:type="dxa"/>
            <w:bottom w:w="0" w:type="dxa"/>
          </w:tblCellMar>
        </w:tblPrEx>
        <w:tc>
          <w:tcPr>
            <w:tcW w:w="1500" w:type="pct"/>
            <w:shd w:val="clear" w:color="auto" w:fill="0F172A"/>
          </w:tcPr>
          <w:p w14:paraId="5914019D" w14:textId="77777777" w:rsidR="00F816F7" w:rsidRDefault="00000000">
            <w:r>
              <w:rPr>
                <w:rFonts w:ascii="Calibri" w:eastAsia="Calibri" w:hAnsi="Calibri" w:cs="Calibri"/>
                <w:b/>
                <w:bCs/>
                <w:color w:val="FFFFFF"/>
              </w:rPr>
              <w:t>Componente</w:t>
            </w:r>
          </w:p>
        </w:tc>
        <w:tc>
          <w:tcPr>
            <w:tcW w:w="2500" w:type="pct"/>
            <w:shd w:val="clear" w:color="auto" w:fill="0F172A"/>
          </w:tcPr>
          <w:p w14:paraId="6F8EC8E3" w14:textId="77777777" w:rsidR="00F816F7" w:rsidRDefault="00000000">
            <w:r>
              <w:rPr>
                <w:rFonts w:ascii="Calibri" w:eastAsia="Calibri" w:hAnsi="Calibri" w:cs="Calibri"/>
                <w:b/>
                <w:bCs/>
                <w:color w:val="FFFFFF"/>
              </w:rPr>
              <w:t>Descripción / Uso</w:t>
            </w:r>
          </w:p>
        </w:tc>
        <w:tc>
          <w:tcPr>
            <w:tcW w:w="1000" w:type="pct"/>
            <w:shd w:val="clear" w:color="auto" w:fill="0F172A"/>
          </w:tcPr>
          <w:p w14:paraId="53BD9909" w14:textId="77777777" w:rsidR="00F816F7" w:rsidRDefault="00000000">
            <w:r>
              <w:rPr>
                <w:rFonts w:ascii="Calibri" w:eastAsia="Calibri" w:hAnsi="Calibri" w:cs="Calibri"/>
                <w:b/>
                <w:bCs/>
                <w:color w:val="FFFFFF"/>
              </w:rPr>
              <w:t>Costo Mensual</w:t>
            </w:r>
          </w:p>
        </w:tc>
      </w:tr>
      <w:tr w:rsidR="00F816F7" w14:paraId="63F7A110" w14:textId="77777777">
        <w:tblPrEx>
          <w:tblCellMar>
            <w:top w:w="0" w:type="dxa"/>
            <w:bottom w:w="0" w:type="dxa"/>
          </w:tblCellMar>
        </w:tblPrEx>
        <w:tc>
          <w:tcPr>
            <w:tcW w:w="0" w:type="auto"/>
            <w:shd w:val="clear" w:color="auto" w:fill="FFFFFF"/>
          </w:tcPr>
          <w:p w14:paraId="6CC2DEA6" w14:textId="77777777" w:rsidR="00F816F7" w:rsidRDefault="00000000">
            <w:r>
              <w:rPr>
                <w:rFonts w:ascii="Calibri" w:eastAsia="Calibri" w:hAnsi="Calibri" w:cs="Calibri"/>
                <w:color w:val="0F172A"/>
                <w:sz w:val="19"/>
                <w:szCs w:val="19"/>
              </w:rPr>
              <w:lastRenderedPageBreak/>
              <w:t>Modelos LLM (Claude 3.5 / GPT-4o)</w:t>
            </w:r>
          </w:p>
        </w:tc>
        <w:tc>
          <w:tcPr>
            <w:tcW w:w="0" w:type="auto"/>
            <w:shd w:val="clear" w:color="auto" w:fill="FFFFFF"/>
          </w:tcPr>
          <w:p w14:paraId="0AE487B6" w14:textId="77777777" w:rsidR="00F816F7" w:rsidRDefault="00000000">
            <w:r>
              <w:rPr>
                <w:rFonts w:ascii="Calibri" w:eastAsia="Calibri" w:hAnsi="Calibri" w:cs="Calibri"/>
                <w:color w:val="334155"/>
                <w:sz w:val="19"/>
                <w:szCs w:val="19"/>
              </w:rPr>
              <w:t>Procesamiento de tokens conversacionales y matemáticos</w:t>
            </w:r>
          </w:p>
        </w:tc>
        <w:tc>
          <w:tcPr>
            <w:tcW w:w="0" w:type="auto"/>
            <w:shd w:val="clear" w:color="auto" w:fill="FFFFFF"/>
          </w:tcPr>
          <w:p w14:paraId="7C36F8E7" w14:textId="77777777" w:rsidR="00F816F7" w:rsidRDefault="00000000">
            <w:r>
              <w:rPr>
                <w:rFonts w:ascii="Calibri" w:eastAsia="Calibri" w:hAnsi="Calibri" w:cs="Calibri"/>
                <w:color w:val="0F172A"/>
                <w:sz w:val="19"/>
                <w:szCs w:val="19"/>
              </w:rPr>
              <w:t>$25 - $60 USD</w:t>
            </w:r>
          </w:p>
        </w:tc>
      </w:tr>
      <w:tr w:rsidR="00F816F7" w14:paraId="6342B0B9" w14:textId="77777777">
        <w:tblPrEx>
          <w:tblCellMar>
            <w:top w:w="0" w:type="dxa"/>
            <w:bottom w:w="0" w:type="dxa"/>
          </w:tblCellMar>
        </w:tblPrEx>
        <w:tc>
          <w:tcPr>
            <w:tcW w:w="0" w:type="auto"/>
            <w:shd w:val="clear" w:color="auto" w:fill="F8FAFC"/>
          </w:tcPr>
          <w:p w14:paraId="2DEAD96D" w14:textId="77777777" w:rsidR="00F816F7" w:rsidRDefault="00000000">
            <w:r>
              <w:rPr>
                <w:rFonts w:ascii="Calibri" w:eastAsia="Calibri" w:hAnsi="Calibri" w:cs="Calibri"/>
                <w:color w:val="0F172A"/>
                <w:sz w:val="19"/>
                <w:szCs w:val="19"/>
              </w:rPr>
              <w:t>Servidor VPS (Docker / Contenedores)</w:t>
            </w:r>
          </w:p>
        </w:tc>
        <w:tc>
          <w:tcPr>
            <w:tcW w:w="0" w:type="auto"/>
            <w:shd w:val="clear" w:color="auto" w:fill="F8FAFC"/>
          </w:tcPr>
          <w:p w14:paraId="25A3F2AE" w14:textId="77777777" w:rsidR="00F816F7" w:rsidRDefault="00000000">
            <w:r>
              <w:rPr>
                <w:rFonts w:ascii="Calibri" w:eastAsia="Calibri" w:hAnsi="Calibri" w:cs="Calibri"/>
                <w:color w:val="334155"/>
                <w:sz w:val="19"/>
                <w:szCs w:val="19"/>
              </w:rPr>
              <w:t xml:space="preserve">Alojamiento de agentes Python y </w:t>
            </w:r>
            <w:proofErr w:type="spellStart"/>
            <w:r>
              <w:rPr>
                <w:rFonts w:ascii="Calibri" w:eastAsia="Calibri" w:hAnsi="Calibri" w:cs="Calibri"/>
                <w:color w:val="334155"/>
                <w:sz w:val="19"/>
                <w:szCs w:val="19"/>
              </w:rPr>
              <w:t>WeasyPrint</w:t>
            </w:r>
            <w:proofErr w:type="spellEnd"/>
          </w:p>
        </w:tc>
        <w:tc>
          <w:tcPr>
            <w:tcW w:w="0" w:type="auto"/>
            <w:shd w:val="clear" w:color="auto" w:fill="F8FAFC"/>
          </w:tcPr>
          <w:p w14:paraId="1DA1CD03" w14:textId="77777777" w:rsidR="00F816F7" w:rsidRDefault="00000000">
            <w:r>
              <w:rPr>
                <w:rFonts w:ascii="Calibri" w:eastAsia="Calibri" w:hAnsi="Calibri" w:cs="Calibri"/>
                <w:color w:val="0F172A"/>
                <w:sz w:val="19"/>
                <w:szCs w:val="19"/>
              </w:rPr>
              <w:t>$15 - $40 USD</w:t>
            </w:r>
          </w:p>
        </w:tc>
      </w:tr>
      <w:tr w:rsidR="00F816F7" w14:paraId="386C92A7" w14:textId="77777777">
        <w:tblPrEx>
          <w:tblCellMar>
            <w:top w:w="0" w:type="dxa"/>
            <w:bottom w:w="0" w:type="dxa"/>
          </w:tblCellMar>
        </w:tblPrEx>
        <w:tc>
          <w:tcPr>
            <w:tcW w:w="0" w:type="auto"/>
            <w:shd w:val="clear" w:color="auto" w:fill="FFFFFF"/>
          </w:tcPr>
          <w:p w14:paraId="108291BC" w14:textId="77777777" w:rsidR="00F816F7" w:rsidRDefault="00000000">
            <w:r>
              <w:rPr>
                <w:rFonts w:ascii="Calibri" w:eastAsia="Calibri" w:hAnsi="Calibri" w:cs="Calibri"/>
                <w:color w:val="0F172A"/>
                <w:sz w:val="19"/>
                <w:szCs w:val="19"/>
              </w:rPr>
              <w:t>Base de Datos PostgreSQL (</w:t>
            </w:r>
            <w:proofErr w:type="spellStart"/>
            <w:r>
              <w:rPr>
                <w:rFonts w:ascii="Calibri" w:eastAsia="Calibri" w:hAnsi="Calibri" w:cs="Calibri"/>
                <w:color w:val="0F172A"/>
                <w:sz w:val="19"/>
                <w:szCs w:val="19"/>
              </w:rPr>
              <w:t>Checkpointer</w:t>
            </w:r>
            <w:proofErr w:type="spellEnd"/>
            <w:r>
              <w:rPr>
                <w:rFonts w:ascii="Calibri" w:eastAsia="Calibri" w:hAnsi="Calibri" w:cs="Calibri"/>
                <w:color w:val="0F172A"/>
                <w:sz w:val="19"/>
                <w:szCs w:val="19"/>
              </w:rPr>
              <w:t>)</w:t>
            </w:r>
          </w:p>
        </w:tc>
        <w:tc>
          <w:tcPr>
            <w:tcW w:w="0" w:type="auto"/>
            <w:shd w:val="clear" w:color="auto" w:fill="FFFFFF"/>
          </w:tcPr>
          <w:p w14:paraId="7C1D9BAE" w14:textId="77777777" w:rsidR="00F816F7" w:rsidRDefault="00000000">
            <w:r>
              <w:rPr>
                <w:rFonts w:ascii="Calibri" w:eastAsia="Calibri" w:hAnsi="Calibri" w:cs="Calibri"/>
                <w:color w:val="334155"/>
                <w:sz w:val="19"/>
                <w:szCs w:val="19"/>
              </w:rPr>
              <w:t>Persistencia de estado y memoria duradera</w:t>
            </w:r>
          </w:p>
        </w:tc>
        <w:tc>
          <w:tcPr>
            <w:tcW w:w="0" w:type="auto"/>
            <w:shd w:val="clear" w:color="auto" w:fill="FFFFFF"/>
          </w:tcPr>
          <w:p w14:paraId="16EA5FDE" w14:textId="77777777" w:rsidR="00F816F7" w:rsidRDefault="00000000">
            <w:r>
              <w:rPr>
                <w:rFonts w:ascii="Calibri" w:eastAsia="Calibri" w:hAnsi="Calibri" w:cs="Calibri"/>
                <w:color w:val="0F172A"/>
                <w:sz w:val="19"/>
                <w:szCs w:val="19"/>
              </w:rPr>
              <w:t>$15 - $25 USD</w:t>
            </w:r>
          </w:p>
        </w:tc>
      </w:tr>
      <w:tr w:rsidR="00F816F7" w14:paraId="6BB6DDD6" w14:textId="77777777">
        <w:tblPrEx>
          <w:tblCellMar>
            <w:top w:w="0" w:type="dxa"/>
            <w:bottom w:w="0" w:type="dxa"/>
          </w:tblCellMar>
        </w:tblPrEx>
        <w:tc>
          <w:tcPr>
            <w:tcW w:w="0" w:type="auto"/>
            <w:shd w:val="clear" w:color="auto" w:fill="F8FAFC"/>
          </w:tcPr>
          <w:p w14:paraId="3842E3B0" w14:textId="77777777" w:rsidR="00F816F7" w:rsidRDefault="00000000">
            <w:r>
              <w:rPr>
                <w:rFonts w:ascii="Calibri" w:eastAsia="Calibri" w:hAnsi="Calibri" w:cs="Calibri"/>
                <w:color w:val="0F172A"/>
                <w:sz w:val="19"/>
                <w:szCs w:val="19"/>
              </w:rPr>
              <w:t xml:space="preserve">WhatsApp </w:t>
            </w:r>
            <w:proofErr w:type="spellStart"/>
            <w:r>
              <w:rPr>
                <w:rFonts w:ascii="Calibri" w:eastAsia="Calibri" w:hAnsi="Calibri" w:cs="Calibri"/>
                <w:color w:val="0F172A"/>
                <w:sz w:val="19"/>
                <w:szCs w:val="19"/>
              </w:rPr>
              <w:t>Messaging</w:t>
            </w:r>
            <w:proofErr w:type="spellEnd"/>
            <w:r>
              <w:rPr>
                <w:rFonts w:ascii="Calibri" w:eastAsia="Calibri" w:hAnsi="Calibri" w:cs="Calibri"/>
                <w:color w:val="0F172A"/>
                <w:sz w:val="19"/>
                <w:szCs w:val="19"/>
              </w:rPr>
              <w:t xml:space="preserve"> (</w:t>
            </w:r>
            <w:proofErr w:type="spellStart"/>
            <w:r>
              <w:rPr>
                <w:rFonts w:ascii="Calibri" w:eastAsia="Calibri" w:hAnsi="Calibri" w:cs="Calibri"/>
                <w:color w:val="0F172A"/>
                <w:sz w:val="19"/>
                <w:szCs w:val="19"/>
              </w:rPr>
              <w:t>Evolution</w:t>
            </w:r>
            <w:proofErr w:type="spellEnd"/>
            <w:r>
              <w:rPr>
                <w:rFonts w:ascii="Calibri" w:eastAsia="Calibri" w:hAnsi="Calibri" w:cs="Calibri"/>
                <w:color w:val="0F172A"/>
                <w:sz w:val="19"/>
                <w:szCs w:val="19"/>
              </w:rPr>
              <w:t xml:space="preserve"> API)</w:t>
            </w:r>
          </w:p>
        </w:tc>
        <w:tc>
          <w:tcPr>
            <w:tcW w:w="0" w:type="auto"/>
            <w:shd w:val="clear" w:color="auto" w:fill="F8FAFC"/>
          </w:tcPr>
          <w:p w14:paraId="7925BAAA" w14:textId="77777777" w:rsidR="00F816F7" w:rsidRDefault="00000000">
            <w:r>
              <w:rPr>
                <w:rFonts w:ascii="Calibri" w:eastAsia="Calibri" w:hAnsi="Calibri" w:cs="Calibri"/>
                <w:color w:val="334155"/>
                <w:sz w:val="19"/>
                <w:szCs w:val="19"/>
              </w:rPr>
              <w:t>Infraestructura de comunicación B2B</w:t>
            </w:r>
          </w:p>
        </w:tc>
        <w:tc>
          <w:tcPr>
            <w:tcW w:w="0" w:type="auto"/>
            <w:shd w:val="clear" w:color="auto" w:fill="F8FAFC"/>
          </w:tcPr>
          <w:p w14:paraId="377702E5" w14:textId="77777777" w:rsidR="00F816F7" w:rsidRDefault="00000000">
            <w:r>
              <w:rPr>
                <w:rFonts w:ascii="Calibri" w:eastAsia="Calibri" w:hAnsi="Calibri" w:cs="Calibri"/>
                <w:color w:val="0F172A"/>
                <w:sz w:val="19"/>
                <w:szCs w:val="19"/>
              </w:rPr>
              <w:t>$0 - $25 USD</w:t>
            </w:r>
          </w:p>
        </w:tc>
      </w:tr>
      <w:tr w:rsidR="00F816F7" w14:paraId="6C079296" w14:textId="77777777">
        <w:tblPrEx>
          <w:tblCellMar>
            <w:top w:w="0" w:type="dxa"/>
            <w:bottom w:w="0" w:type="dxa"/>
          </w:tblCellMar>
        </w:tblPrEx>
        <w:tc>
          <w:tcPr>
            <w:tcW w:w="0" w:type="auto"/>
            <w:shd w:val="clear" w:color="auto" w:fill="FFFFFF"/>
          </w:tcPr>
          <w:p w14:paraId="616941FE" w14:textId="77777777" w:rsidR="00F816F7" w:rsidRDefault="00000000">
            <w:r>
              <w:rPr>
                <w:rFonts w:ascii="Calibri" w:eastAsia="Calibri" w:hAnsi="Calibri" w:cs="Calibri"/>
                <w:color w:val="0F172A"/>
                <w:sz w:val="19"/>
                <w:szCs w:val="19"/>
              </w:rPr>
              <w:t>Facturación DIAN (Alegra API)</w:t>
            </w:r>
          </w:p>
        </w:tc>
        <w:tc>
          <w:tcPr>
            <w:tcW w:w="0" w:type="auto"/>
            <w:shd w:val="clear" w:color="auto" w:fill="FFFFFF"/>
          </w:tcPr>
          <w:p w14:paraId="1E1592CE" w14:textId="77777777" w:rsidR="00F816F7" w:rsidRDefault="00000000">
            <w:r>
              <w:rPr>
                <w:rFonts w:ascii="Calibri" w:eastAsia="Calibri" w:hAnsi="Calibri" w:cs="Calibri"/>
                <w:color w:val="334155"/>
                <w:sz w:val="19"/>
                <w:szCs w:val="19"/>
              </w:rPr>
              <w:t>Emisión automática de facturas XML UBL 2.1</w:t>
            </w:r>
          </w:p>
        </w:tc>
        <w:tc>
          <w:tcPr>
            <w:tcW w:w="0" w:type="auto"/>
            <w:shd w:val="clear" w:color="auto" w:fill="FFFFFF"/>
          </w:tcPr>
          <w:p w14:paraId="3CADA108" w14:textId="77777777" w:rsidR="00F816F7" w:rsidRDefault="00000000">
            <w:r>
              <w:rPr>
                <w:rFonts w:ascii="Calibri" w:eastAsia="Calibri" w:hAnsi="Calibri" w:cs="Calibri"/>
                <w:color w:val="0F172A"/>
                <w:sz w:val="19"/>
                <w:szCs w:val="19"/>
              </w:rPr>
              <w:t>$40 - $80 USD</w:t>
            </w:r>
          </w:p>
        </w:tc>
      </w:tr>
      <w:tr w:rsidR="00F816F7" w14:paraId="686DC20B" w14:textId="77777777">
        <w:tblPrEx>
          <w:tblCellMar>
            <w:top w:w="0" w:type="dxa"/>
            <w:bottom w:w="0" w:type="dxa"/>
          </w:tblCellMar>
        </w:tblPrEx>
        <w:tc>
          <w:tcPr>
            <w:tcW w:w="0" w:type="auto"/>
            <w:shd w:val="clear" w:color="auto" w:fill="F8FAFC"/>
          </w:tcPr>
          <w:p w14:paraId="798F66CB" w14:textId="77777777" w:rsidR="00F816F7" w:rsidRDefault="00000000">
            <w:proofErr w:type="spellStart"/>
            <w:r>
              <w:rPr>
                <w:rFonts w:ascii="Calibri" w:eastAsia="Calibri" w:hAnsi="Calibri" w:cs="Calibri"/>
                <w:color w:val="0F172A"/>
                <w:sz w:val="19"/>
                <w:szCs w:val="19"/>
              </w:rPr>
              <w:t>Observabilidad</w:t>
            </w:r>
            <w:proofErr w:type="spellEnd"/>
            <w:r>
              <w:rPr>
                <w:rFonts w:ascii="Calibri" w:eastAsia="Calibri" w:hAnsi="Calibri" w:cs="Calibri"/>
                <w:color w:val="0F172A"/>
                <w:sz w:val="19"/>
                <w:szCs w:val="19"/>
              </w:rPr>
              <w:t xml:space="preserve"> (</w:t>
            </w:r>
            <w:proofErr w:type="spellStart"/>
            <w:r>
              <w:rPr>
                <w:rFonts w:ascii="Calibri" w:eastAsia="Calibri" w:hAnsi="Calibri" w:cs="Calibri"/>
                <w:color w:val="0F172A"/>
                <w:sz w:val="19"/>
                <w:szCs w:val="19"/>
              </w:rPr>
              <w:t>Langfuse</w:t>
            </w:r>
            <w:proofErr w:type="spellEnd"/>
            <w:r>
              <w:rPr>
                <w:rFonts w:ascii="Calibri" w:eastAsia="Calibri" w:hAnsi="Calibri" w:cs="Calibri"/>
                <w:color w:val="0F172A"/>
                <w:sz w:val="19"/>
                <w:szCs w:val="19"/>
              </w:rPr>
              <w:t xml:space="preserve"> </w:t>
            </w:r>
            <w:proofErr w:type="spellStart"/>
            <w:r>
              <w:rPr>
                <w:rFonts w:ascii="Calibri" w:eastAsia="Calibri" w:hAnsi="Calibri" w:cs="Calibri"/>
                <w:color w:val="0F172A"/>
                <w:sz w:val="19"/>
                <w:szCs w:val="19"/>
              </w:rPr>
              <w:t>Autoalojado</w:t>
            </w:r>
            <w:proofErr w:type="spellEnd"/>
            <w:r>
              <w:rPr>
                <w:rFonts w:ascii="Calibri" w:eastAsia="Calibri" w:hAnsi="Calibri" w:cs="Calibri"/>
                <w:color w:val="0F172A"/>
                <w:sz w:val="19"/>
                <w:szCs w:val="19"/>
              </w:rPr>
              <w:t>)</w:t>
            </w:r>
          </w:p>
        </w:tc>
        <w:tc>
          <w:tcPr>
            <w:tcW w:w="0" w:type="auto"/>
            <w:shd w:val="clear" w:color="auto" w:fill="F8FAFC"/>
          </w:tcPr>
          <w:p w14:paraId="0D6785F1" w14:textId="77777777" w:rsidR="00F816F7" w:rsidRDefault="00000000">
            <w:r>
              <w:rPr>
                <w:rFonts w:ascii="Calibri" w:eastAsia="Calibri" w:hAnsi="Calibri" w:cs="Calibri"/>
                <w:color w:val="334155"/>
                <w:sz w:val="19"/>
                <w:szCs w:val="19"/>
              </w:rPr>
              <w:t>Monitoreo de trazabilidad y errores</w:t>
            </w:r>
          </w:p>
        </w:tc>
        <w:tc>
          <w:tcPr>
            <w:tcW w:w="0" w:type="auto"/>
            <w:shd w:val="clear" w:color="auto" w:fill="F8FAFC"/>
          </w:tcPr>
          <w:p w14:paraId="578A1C55" w14:textId="77777777" w:rsidR="00F816F7" w:rsidRDefault="00000000">
            <w:r>
              <w:rPr>
                <w:rFonts w:ascii="Calibri" w:eastAsia="Calibri" w:hAnsi="Calibri" w:cs="Calibri"/>
                <w:color w:val="0F172A"/>
                <w:sz w:val="19"/>
                <w:szCs w:val="19"/>
              </w:rPr>
              <w:t>$0 USD</w:t>
            </w:r>
          </w:p>
        </w:tc>
      </w:tr>
      <w:tr w:rsidR="00F816F7" w14:paraId="42A0BC99" w14:textId="77777777">
        <w:tblPrEx>
          <w:tblCellMar>
            <w:top w:w="0" w:type="dxa"/>
            <w:bottom w:w="0" w:type="dxa"/>
          </w:tblCellMar>
        </w:tblPrEx>
        <w:tc>
          <w:tcPr>
            <w:tcW w:w="0" w:type="auto"/>
            <w:shd w:val="clear" w:color="auto" w:fill="E0F2FE"/>
          </w:tcPr>
          <w:p w14:paraId="55B9FFAE" w14:textId="77777777" w:rsidR="00F816F7" w:rsidRDefault="00000000">
            <w:proofErr w:type="gramStart"/>
            <w:r>
              <w:rPr>
                <w:rFonts w:ascii="Calibri" w:eastAsia="Calibri" w:hAnsi="Calibri" w:cs="Calibri"/>
                <w:b/>
                <w:bCs/>
                <w:color w:val="0F172A"/>
                <w:sz w:val="19"/>
                <w:szCs w:val="19"/>
              </w:rPr>
              <w:t>TOTAL</w:t>
            </w:r>
            <w:proofErr w:type="gramEnd"/>
            <w:r>
              <w:rPr>
                <w:rFonts w:ascii="Calibri" w:eastAsia="Calibri" w:hAnsi="Calibri" w:cs="Calibri"/>
                <w:b/>
                <w:bCs/>
                <w:color w:val="0F172A"/>
                <w:sz w:val="19"/>
                <w:szCs w:val="19"/>
              </w:rPr>
              <w:t xml:space="preserve"> OPEX ESTIMADO</w:t>
            </w:r>
          </w:p>
        </w:tc>
        <w:tc>
          <w:tcPr>
            <w:tcW w:w="0" w:type="auto"/>
            <w:shd w:val="clear" w:color="auto" w:fill="E0F2FE"/>
          </w:tcPr>
          <w:p w14:paraId="5B928E53" w14:textId="77777777" w:rsidR="00F816F7" w:rsidRDefault="00000000">
            <w:r>
              <w:rPr>
                <w:rFonts w:ascii="Calibri" w:eastAsia="Calibri" w:hAnsi="Calibri" w:cs="Calibri"/>
                <w:color w:val="334155"/>
                <w:sz w:val="19"/>
                <w:szCs w:val="19"/>
              </w:rPr>
              <w:t>Reemplaza nómina de 3 empleados ($3,200 USD)</w:t>
            </w:r>
          </w:p>
        </w:tc>
        <w:tc>
          <w:tcPr>
            <w:tcW w:w="0" w:type="auto"/>
            <w:shd w:val="clear" w:color="auto" w:fill="E0F2FE"/>
          </w:tcPr>
          <w:p w14:paraId="206AF75F" w14:textId="77777777" w:rsidR="00F816F7" w:rsidRDefault="00000000">
            <w:r>
              <w:rPr>
                <w:rFonts w:ascii="Calibri" w:eastAsia="Calibri" w:hAnsi="Calibri" w:cs="Calibri"/>
                <w:b/>
                <w:bCs/>
                <w:color w:val="0284C7"/>
                <w:sz w:val="19"/>
                <w:szCs w:val="19"/>
              </w:rPr>
              <w:t>$95 - $230 USD</w:t>
            </w:r>
          </w:p>
        </w:tc>
      </w:tr>
    </w:tbl>
    <w:p w14:paraId="2B6FFF31" w14:textId="77777777" w:rsidR="00F816F7" w:rsidRDefault="00000000">
      <w:pPr>
        <w:pStyle w:val="Ttulo1"/>
      </w:pPr>
      <w:r>
        <w:t>6. Conclusiones y Viabilidad Financiera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8991"/>
      </w:tblGrid>
      <w:tr w:rsidR="00F816F7" w14:paraId="561165F7" w14:textId="77777777">
        <w:tc>
          <w:tcPr>
            <w:tcW w:w="0" w:type="auto"/>
            <w:tcBorders>
              <w:left w:val="single" w:sz="24" w:space="0" w:color="06B6D4"/>
            </w:tcBorders>
            <w:shd w:val="clear" w:color="auto" w:fill="F1F5F9"/>
          </w:tcPr>
          <w:p w14:paraId="029DCAD4" w14:textId="77777777" w:rsidR="00F816F7" w:rsidRDefault="00000000">
            <w:pPr>
              <w:spacing w:after="60"/>
            </w:pPr>
            <w:r>
              <w:rPr>
                <w:rFonts w:ascii="Calibri" w:eastAsia="Calibri" w:hAnsi="Calibri" w:cs="Calibri"/>
                <w:b/>
                <w:bCs/>
                <w:color w:val="0F172A"/>
              </w:rPr>
              <w:t>MARGEN DE EFICIENCIA OPERATIVA &gt; 94%</w:t>
            </w:r>
          </w:p>
          <w:p w14:paraId="7A7ADA30" w14:textId="77777777" w:rsidR="00F816F7" w:rsidRDefault="00000000">
            <w:r>
              <w:rPr>
                <w:rFonts w:ascii="Calibri" w:eastAsia="Calibri" w:hAnsi="Calibri" w:cs="Calibri"/>
                <w:color w:val="334155"/>
                <w:sz w:val="19"/>
                <w:szCs w:val="19"/>
              </w:rPr>
              <w:t>Operar Costo360 mediante una red de agentes de IA reduce los costos fijos de nómina de $3,200 USD a un rango de $95 - $230 USD mensuales. Esto permite ofrecer tarifas altamente competitivas en Barranquilla, lograr rentabilidad desde el primer trimestre y escalar el modelo SaaS a otras ciudades de Colombia sin incrementar la carga administrativa.</w:t>
            </w:r>
          </w:p>
        </w:tc>
      </w:tr>
    </w:tbl>
    <w:p w14:paraId="74818F51" w14:textId="77777777" w:rsidR="00000000" w:rsidRDefault="00000000"/>
    <w:p w14:paraId="29D1EAA5" w14:textId="77777777" w:rsidR="00657635" w:rsidRDefault="00657635"/>
    <w:p w14:paraId="12A792D8" w14:textId="77777777" w:rsidR="00657635" w:rsidRDefault="00657635" w:rsidP="00657635">
      <w:r w:rsidRPr="00657635">
        <w:rPr>
          <w:b/>
          <w:bCs/>
        </w:rPr>
        <w:t>Texto plano de la investigación:</w:t>
      </w:r>
      <w:r>
        <w:br/>
      </w:r>
      <w:r>
        <w:t xml:space="preserve">Arquitectura y Viabilidad de un SaaS Autónomo Basado en Agentes de IA: Caso de Estudio Costo360Introducción al Paradigma de la Empresa Autónoma en el Sector de la </w:t>
      </w:r>
      <w:proofErr w:type="spellStart"/>
      <w:r>
        <w:t>ConstrucciónLa</w:t>
      </w:r>
      <w:proofErr w:type="spellEnd"/>
      <w:r>
        <w:t xml:space="preserve"> evolución de la inteligencia artificial ha trascendido la mera asistencia conversacional para adentrarse en la orquestación de sistemas corporativos completamente autónomos. El modelo tradicional de Software as a Service (SaaS), que históricamente ha dependido de la interacción humana para la parametrización, la gestión del soporte y la ejecución de los flujos de </w:t>
      </w:r>
      <w:proofErr w:type="gramStart"/>
      <w:r>
        <w:t>trabajo,</w:t>
      </w:r>
      <w:proofErr w:type="gramEnd"/>
      <w:r>
        <w:t xml:space="preserve"> está siendo progresivamente reemplazado por arquitecturas </w:t>
      </w:r>
      <w:proofErr w:type="spellStart"/>
      <w:r>
        <w:t>multi-agente</w:t>
      </w:r>
      <w:proofErr w:type="spellEnd"/>
      <w:r>
        <w:t xml:space="preserve"> donde entidades algorítmicas especializadas colaboran para operar un negocio de extremo a extremo. En este contexto, la estructuración de "Costo360", una Sociedad por Acciones Simplificada (S.A.S.) con sede en Barranquilla, Colombia, se erige como un caso de estudio avanzado sobre la viabilidad técnica, tributaria y operativa de un ecosistema corporativo sin intervención humana.Costo360 se proyecta como una plataforma web de cotización en tiempo real orientada al sector de la construcción y la marmolería, un nicho industrial que abarca el procesamiento, corte e instalación de mármol, granito, cuarzo y piedras sinterizadas. En la industria actual, las plataformas de software líderes en diseño y estimación de encimeras, tales como </w:t>
      </w:r>
      <w:proofErr w:type="spellStart"/>
      <w:r>
        <w:t>CounterGo</w:t>
      </w:r>
      <w:proofErr w:type="spellEnd"/>
      <w:r>
        <w:t xml:space="preserve"> (desarrollado por </w:t>
      </w:r>
      <w:proofErr w:type="spellStart"/>
      <w:r>
        <w:t>Moraware</w:t>
      </w:r>
      <w:proofErr w:type="spellEnd"/>
      <w:r>
        <w:t xml:space="preserve">), </w:t>
      </w:r>
      <w:proofErr w:type="spellStart"/>
      <w:r>
        <w:t>SlabWare</w:t>
      </w:r>
      <w:proofErr w:type="spellEnd"/>
      <w:r>
        <w:t xml:space="preserve"> o </w:t>
      </w:r>
      <w:proofErr w:type="spellStart"/>
      <w:r>
        <w:t>QuickQuote</w:t>
      </w:r>
      <w:proofErr w:type="spellEnd"/>
      <w:r>
        <w:t>, requieren inexorablemente que los operarios humanos realicen el diseño geométrico asistido por computadora (CAD). Estos operarios deben configurar manualmente los perfiles de los bordes, posicionar las piezas sobre las imágenes de las placas de piedra (</w:t>
      </w:r>
      <w:proofErr w:type="spellStart"/>
      <w:r>
        <w:t>slab</w:t>
      </w:r>
      <w:proofErr w:type="spellEnd"/>
      <w:r>
        <w:t xml:space="preserve"> </w:t>
      </w:r>
      <w:proofErr w:type="spellStart"/>
      <w:r>
        <w:t>layouts</w:t>
      </w:r>
      <w:proofErr w:type="spellEnd"/>
      <w:r>
        <w:t xml:space="preserve">) para calcular el rendimiento del material, y gestionar los márgenes de desperdicio y costuras. Si bien estas herramientas son eficientes —permitiendo a un vendedor humano generar cotizaciones precisas y listas de materiales (BOM) en aproximadamente tres minutos bajo un uso experto—, siguen siendo fundamentalmente herramientas de asistencia que sufren cuellos de botella derivados de la disponibilidad y el costo de la mano de obra humana </w:t>
      </w:r>
      <w:proofErr w:type="spellStart"/>
      <w:r>
        <w:t>especializada.El</w:t>
      </w:r>
      <w:proofErr w:type="spellEnd"/>
      <w:r>
        <w:t xml:space="preserve"> objetivo fundamental de Costo360 es eliminar esta fricción operativa mediante la implementación de una red de agentes de IA capaces de automatizar no solo las áreas corporativas tradicionales (marketing, prospección de ventas y contabilidad), sino también el diseño estandarizado del producto, la extracción algorítmica de la identidad visual del cliente para propósitos de marca (branding) y la generación de documentos portátiles (PDF) de alta fidelidad. El presente análisis profundiza exhaustivamente en la arquitectura requerida para sostener dicha operación, examinando los marcos de trabajo de orquestación </w:t>
      </w:r>
      <w:proofErr w:type="spellStart"/>
      <w:r>
        <w:t>multi-agente</w:t>
      </w:r>
      <w:proofErr w:type="spellEnd"/>
      <w:r>
        <w:t xml:space="preserve">, las integraciones de mensajería autónoma, el marco tributario colombiano, las bases matemáticas para la manipulación dinámica de identidades visuales bajo estrictos estándares de accesibilidad, los motores de renderizado y el modelo financiero </w:t>
      </w:r>
      <w:proofErr w:type="spellStart"/>
      <w:r>
        <w:t>subyacente.Arquitectura</w:t>
      </w:r>
      <w:proofErr w:type="spellEnd"/>
      <w:r>
        <w:t xml:space="preserve"> de Orquestación Multi-Agente: Del Monolito a la </w:t>
      </w:r>
      <w:proofErr w:type="spellStart"/>
      <w:r>
        <w:t>EspecializaciónEl</w:t>
      </w:r>
      <w:proofErr w:type="spellEnd"/>
      <w:r>
        <w:t xml:space="preserve"> diseño de un sistema autónomo capaz de gestionar una S.A.S. requiere abandonar el antipatrón arquitectónico conocido como el "Agente Dios" (God Agent). En 2025, la tendencia dominante consistía en desplegar un único modelo de lenguaje extenso (LLM) equipado con un </w:t>
      </w:r>
      <w:proofErr w:type="spellStart"/>
      <w:r>
        <w:t>prompt</w:t>
      </w:r>
      <w:proofErr w:type="spellEnd"/>
      <w:r>
        <w:t xml:space="preserve"> genérico y una vasta colección de herramientas. Este agente monolítico intentaba, simultáneamente, clasificar las intenciones del usuario, buscar en bases de conocimiento, consultar estados de cuentas, generar respuestas y decidir cuándo escalar a un humano. A escala de producción, esta arquitectura monolítica presenta tasas inaceptables de </w:t>
      </w:r>
      <w:r>
        <w:lastRenderedPageBreak/>
        <w:t xml:space="preserve">alucinación, fallas catastróficas en la gestión del estado, sobrecarga del contexto y una incapacidad inherente para manejar árboles lógicos </w:t>
      </w:r>
      <w:proofErr w:type="spellStart"/>
      <w:r>
        <w:t>complejos.La</w:t>
      </w:r>
      <w:proofErr w:type="spellEnd"/>
      <w:r>
        <w:t xml:space="preserve"> solución estructural es la implementación de sistemas </w:t>
      </w:r>
      <w:proofErr w:type="spellStart"/>
      <w:r>
        <w:t>multi-agente</w:t>
      </w:r>
      <w:proofErr w:type="spellEnd"/>
      <w:r>
        <w:t xml:space="preserve">. En este paradigma, el trabajo se divide entre agentes especializados que comparten un entorno, poseen instrucciones estrechamente delimitadas y operan mediante ejecución paralela, asegurando que el fallo de un agente individual no colapse el sistema entero. En el ecosistema tecnológico proyectado para 2026, la proliferación de marcos de trabajo exige una selección rigurosa basada en el determinismo, la gestión del estado y la auditabilidad </w:t>
      </w:r>
      <w:proofErr w:type="spellStart"/>
      <w:r>
        <w:t>transaccional.Análisis</w:t>
      </w:r>
      <w:proofErr w:type="spellEnd"/>
      <w:r>
        <w:t xml:space="preserve"> Comparativo de </w:t>
      </w:r>
      <w:proofErr w:type="spellStart"/>
      <w:r>
        <w:t>Frameworks</w:t>
      </w:r>
      <w:proofErr w:type="spellEnd"/>
      <w:r>
        <w:t xml:space="preserve">: </w:t>
      </w:r>
      <w:proofErr w:type="spellStart"/>
      <w:r>
        <w:t>LangGraph</w:t>
      </w:r>
      <w:proofErr w:type="spellEnd"/>
      <w:r>
        <w:t xml:space="preserve">, </w:t>
      </w:r>
      <w:proofErr w:type="spellStart"/>
      <w:r>
        <w:t>CrewAI</w:t>
      </w:r>
      <w:proofErr w:type="spellEnd"/>
      <w:r>
        <w:t xml:space="preserve"> y </w:t>
      </w:r>
      <w:proofErr w:type="spellStart"/>
      <w:r>
        <w:t>AutoGenPara</w:t>
      </w:r>
      <w:proofErr w:type="spellEnd"/>
      <w:r>
        <w:t xml:space="preserve"> operar la plataforma Costo360, es imperativo evaluar los tres </w:t>
      </w:r>
      <w:proofErr w:type="spellStart"/>
      <w:r>
        <w:t>frameworks</w:t>
      </w:r>
      <w:proofErr w:type="spellEnd"/>
      <w:r>
        <w:t xml:space="preserve"> dominantes en la industria, dado que cada uno obedece a una filosofía de diseño diametralmente opuesta y presenta compromisos específicos en términos de control, velocidad de desarrollo y eficiencia de </w:t>
      </w:r>
      <w:proofErr w:type="spellStart"/>
      <w:r>
        <w:t>inferencia.Característica</w:t>
      </w:r>
      <w:proofErr w:type="spellEnd"/>
      <w:r>
        <w:t xml:space="preserve"> / </w:t>
      </w:r>
      <w:proofErr w:type="spellStart"/>
      <w:r>
        <w:t>FrameworkLangGraphCrewAIAutoGenParadigma</w:t>
      </w:r>
      <w:proofErr w:type="spellEnd"/>
      <w:r>
        <w:t xml:space="preserve"> </w:t>
      </w:r>
      <w:proofErr w:type="spellStart"/>
      <w:r>
        <w:t>PrincipalGrafo</w:t>
      </w:r>
      <w:proofErr w:type="spellEnd"/>
      <w:r>
        <w:t xml:space="preserve"> dirigido con estado (State Machine)Colaboración basada en Roles (Crews)Flujos </w:t>
      </w:r>
      <w:proofErr w:type="spellStart"/>
      <w:r>
        <w:t>ConversacionalesControl</w:t>
      </w:r>
      <w:proofErr w:type="spellEnd"/>
      <w:r>
        <w:t xml:space="preserve"> de EjecuciónDeterminista, enrutamiento </w:t>
      </w:r>
      <w:proofErr w:type="spellStart"/>
      <w:r>
        <w:t>estrictoSecuencial</w:t>
      </w:r>
      <w:proofErr w:type="spellEnd"/>
      <w:r>
        <w:t xml:space="preserve"> o </w:t>
      </w:r>
      <w:proofErr w:type="spellStart"/>
      <w:r>
        <w:t>JerárquicoDinámico</w:t>
      </w:r>
      <w:proofErr w:type="spellEnd"/>
      <w:r>
        <w:t xml:space="preserve">, basado en </w:t>
      </w:r>
      <w:proofErr w:type="spellStart"/>
      <w:r>
        <w:t>diálogoPersistencia</w:t>
      </w:r>
      <w:proofErr w:type="spellEnd"/>
      <w:r>
        <w:t xml:space="preserve"> y </w:t>
      </w:r>
      <w:proofErr w:type="spellStart"/>
      <w:r>
        <w:t>EstadoNativa</w:t>
      </w:r>
      <w:proofErr w:type="spellEnd"/>
      <w:r>
        <w:t xml:space="preserve"> (PostgreSQL, Redis, SQLite)Memoria a corto/largo plazo </w:t>
      </w:r>
      <w:proofErr w:type="spellStart"/>
      <w:r>
        <w:t>incorporadaLimitada</w:t>
      </w:r>
      <w:proofErr w:type="spellEnd"/>
      <w:r>
        <w:t xml:space="preserve">, enfocada en la </w:t>
      </w:r>
      <w:proofErr w:type="spellStart"/>
      <w:r>
        <w:t>sesiónTasa</w:t>
      </w:r>
      <w:proofErr w:type="spellEnd"/>
      <w:r>
        <w:t xml:space="preserve"> de Recuperación~96% en tareas complejas de múltiples </w:t>
      </w:r>
      <w:proofErr w:type="spellStart"/>
      <w:r>
        <w:t>pasosModerada</w:t>
      </w:r>
      <w:proofErr w:type="spellEnd"/>
      <w:r>
        <w:t xml:space="preserve"> (abstracciones opacas)~70% en tareas </w:t>
      </w:r>
      <w:proofErr w:type="spellStart"/>
      <w:r>
        <w:t>complejasEficiencia</w:t>
      </w:r>
      <w:proofErr w:type="spellEnd"/>
      <w:r>
        <w:t xml:space="preserve"> de </w:t>
      </w:r>
      <w:proofErr w:type="spellStart"/>
      <w:r>
        <w:t>TokensAlta</w:t>
      </w:r>
      <w:proofErr w:type="spellEnd"/>
      <w:r>
        <w:t xml:space="preserve"> (~4.2 llamadas LLM por tarea)</w:t>
      </w:r>
      <w:proofErr w:type="spellStart"/>
      <w:r>
        <w:t>MediaBaja</w:t>
      </w:r>
      <w:proofErr w:type="spellEnd"/>
      <w:r>
        <w:t xml:space="preserve"> (&gt;20 llamadas LLM por tarea)Caso de Uso </w:t>
      </w:r>
      <w:proofErr w:type="spellStart"/>
      <w:r>
        <w:t>IdealFlujos</w:t>
      </w:r>
      <w:proofErr w:type="spellEnd"/>
      <w:r>
        <w:t xml:space="preserve"> transaccionales de producción </w:t>
      </w:r>
      <w:proofErr w:type="spellStart"/>
      <w:r>
        <w:t>críticaDepartamentos</w:t>
      </w:r>
      <w:proofErr w:type="spellEnd"/>
      <w:r>
        <w:t xml:space="preserve"> corporativos (Marketing/Ventas)Desarrollo de software, canalizaciones </w:t>
      </w:r>
      <w:proofErr w:type="spellStart"/>
      <w:r>
        <w:t>ETLCurva</w:t>
      </w:r>
      <w:proofErr w:type="spellEnd"/>
      <w:r>
        <w:t xml:space="preserve"> de </w:t>
      </w:r>
      <w:proofErr w:type="spellStart"/>
      <w:r>
        <w:t>AprendizajePronunciada</w:t>
      </w:r>
      <w:proofErr w:type="spellEnd"/>
      <w:r>
        <w:t xml:space="preserve"> (requiere modelado inicial)Suave (desarrollo rápido en horas)Moderada a </w:t>
      </w:r>
      <w:proofErr w:type="spellStart"/>
      <w:r>
        <w:t>PronunciadaDatos</w:t>
      </w:r>
      <w:proofErr w:type="spellEnd"/>
      <w:r>
        <w:t xml:space="preserve"> extraídos de evaluaciones de rendimiento arquitectónico de sistemas </w:t>
      </w:r>
      <w:proofErr w:type="spellStart"/>
      <w:r>
        <w:t>multi-agente</w:t>
      </w:r>
      <w:proofErr w:type="spellEnd"/>
      <w:r>
        <w:t xml:space="preserve"> en 2026.LangGraph: Desarrollado por el equipo detrás del ecosistema </w:t>
      </w:r>
      <w:proofErr w:type="spellStart"/>
      <w:r>
        <w:t>LangChain</w:t>
      </w:r>
      <w:proofErr w:type="spellEnd"/>
      <w:r>
        <w:t xml:space="preserve">, </w:t>
      </w:r>
      <w:proofErr w:type="spellStart"/>
      <w:r>
        <w:t>LangGraph</w:t>
      </w:r>
      <w:proofErr w:type="spellEnd"/>
      <w:r>
        <w:t xml:space="preserve"> se ha consolidado como el estándar de facto para sistemas </w:t>
      </w:r>
      <w:proofErr w:type="spellStart"/>
      <w:r>
        <w:t>multi-agente</w:t>
      </w:r>
      <w:proofErr w:type="spellEnd"/>
      <w:r>
        <w:t xml:space="preserve"> de grado de producción (adoptado por </w:t>
      </w:r>
      <w:proofErr w:type="spellStart"/>
      <w:r>
        <w:t>Anthropic</w:t>
      </w:r>
      <w:proofErr w:type="spellEnd"/>
      <w:r>
        <w:t xml:space="preserve">, Uber, LinkedIn y </w:t>
      </w:r>
      <w:proofErr w:type="spellStart"/>
      <w:r>
        <w:t>Replit</w:t>
      </w:r>
      <w:proofErr w:type="spellEnd"/>
      <w:r>
        <w:t>). Su innovación principal radica en modelar las aplicaciones de IA no como bucles de chat, sino como grafos dirigidos con estado (</w:t>
      </w:r>
      <w:proofErr w:type="spellStart"/>
      <w:r>
        <w:t>stateful</w:t>
      </w:r>
      <w:proofErr w:type="spellEnd"/>
      <w:r>
        <w:t xml:space="preserve"> </w:t>
      </w:r>
      <w:proofErr w:type="spellStart"/>
      <w:r>
        <w:t>directed</w:t>
      </w:r>
      <w:proofErr w:type="spellEnd"/>
      <w:r>
        <w:t xml:space="preserve"> </w:t>
      </w:r>
      <w:proofErr w:type="spellStart"/>
      <w:r>
        <w:t>graphs</w:t>
      </w:r>
      <w:proofErr w:type="spellEnd"/>
      <w:r>
        <w:t xml:space="preserve">). En esta arquitectura, los nodos representan funciones puras, agentes o herramientas, mientras que las aristas definen el flujo de control condicional. Su principal ventaja competitiva es la durabilidad y la auditabilidad. Soporta </w:t>
      </w:r>
      <w:proofErr w:type="spellStart"/>
      <w:r>
        <w:t>checkpointers</w:t>
      </w:r>
      <w:proofErr w:type="spellEnd"/>
      <w:r>
        <w:t xml:space="preserve"> duraderos, lo que permite la interrupción con humanos en el circuito (human-in-</w:t>
      </w:r>
      <w:proofErr w:type="spellStart"/>
      <w:r>
        <w:t>the</w:t>
      </w:r>
      <w:proofErr w:type="spellEnd"/>
      <w:r>
        <w:t>-</w:t>
      </w:r>
      <w:proofErr w:type="spellStart"/>
      <w:r>
        <w:t>loop</w:t>
      </w:r>
      <w:proofErr w:type="spellEnd"/>
      <w:r>
        <w:t>), la depuración con viajes en el tiempo (time-</w:t>
      </w:r>
      <w:proofErr w:type="spellStart"/>
      <w:r>
        <w:t>travel</w:t>
      </w:r>
      <w:proofErr w:type="spellEnd"/>
      <w:r>
        <w:t xml:space="preserve"> </w:t>
      </w:r>
      <w:proofErr w:type="spellStart"/>
      <w:r>
        <w:t>debugging</w:t>
      </w:r>
      <w:proofErr w:type="spellEnd"/>
      <w:r>
        <w:t xml:space="preserve">) y asegura que un flujo de trabajo sobreviva a los reinicios del proceso del servidor. Las métricas de evaluación de 2026 indican que </w:t>
      </w:r>
      <w:proofErr w:type="spellStart"/>
      <w:r>
        <w:t>LangGraph</w:t>
      </w:r>
      <w:proofErr w:type="spellEnd"/>
      <w:r>
        <w:t xml:space="preserve"> logra una tasa de recuperación de errores del 96% en tareas complejas de múltiples pasos, en comparación con el 70% de los marcos conversacionales. Adicionalmente, su enrutamiento determinista reduce los bucles conversacionales innecesarios, requiriendo un promedio de 4.2 llamadas al LLM frente a más de 20 en otros sistemas, lo que optimiza radicalmente la viabilidad financiera del SaaS. Sin embargo, la escritura de una máquina de estado en </w:t>
      </w:r>
      <w:proofErr w:type="spellStart"/>
      <w:r>
        <w:t>LangGraph</w:t>
      </w:r>
      <w:proofErr w:type="spellEnd"/>
      <w:r>
        <w:t xml:space="preserve"> puede requerir hasta 200 líneas de código para flujos que en otros </w:t>
      </w:r>
      <w:proofErr w:type="spellStart"/>
      <w:r>
        <w:t>frameworks</w:t>
      </w:r>
      <w:proofErr w:type="spellEnd"/>
      <w:r>
        <w:t xml:space="preserve"> tomarían 30, incrementando el esfuerzo inicial de </w:t>
      </w:r>
      <w:proofErr w:type="spellStart"/>
      <w:r>
        <w:t>ingeniería.CrewAI</w:t>
      </w:r>
      <w:proofErr w:type="spellEnd"/>
      <w:r>
        <w:t>: Este marco opera bajo un paradigma organizativo basado en equipos, donde el desarrollador define especialistas con roles, objetivos y contextos biográficos (</w:t>
      </w:r>
      <w:proofErr w:type="spellStart"/>
      <w:r>
        <w:t>backstories</w:t>
      </w:r>
      <w:proofErr w:type="spellEnd"/>
      <w:r>
        <w:t xml:space="preserve">). </w:t>
      </w:r>
      <w:proofErr w:type="spellStart"/>
      <w:r>
        <w:t>CrewAI</w:t>
      </w:r>
      <w:proofErr w:type="spellEnd"/>
      <w:r>
        <w:t xml:space="preserve"> estructura sus flujos mediante cinco primitivas fundamentales: agentes, herramientas, tareas, procesos y equipos (</w:t>
      </w:r>
      <w:proofErr w:type="spellStart"/>
      <w:r>
        <w:t>crews</w:t>
      </w:r>
      <w:proofErr w:type="spellEnd"/>
      <w:r>
        <w:t>). Destaca por su extrema simplicidad y su capacidad para mapear limpiamente cómo los profesionales no técnicos piensan sobre la delegación del trabajo; se define un Investigador, un Analista y un Redactor, y el marco maneja los traspasos de contexto. Ofrece integración directa con herramientas preconstruidas (</w:t>
      </w:r>
      <w:proofErr w:type="spellStart"/>
      <w:r>
        <w:t>Serper</w:t>
      </w:r>
      <w:proofErr w:type="spellEnd"/>
      <w:r>
        <w:t xml:space="preserve">, RAG, conectores de bases de datos) y memoria integrada. Sin embargo, la rigidez relativa de sus procesos (secuenciales o jerárquicos) sacrifica el control granular de ejecución. En arquitecturas a escala, el modo jerárquico puede volverse opaco y difícil de depurar, careciendo de la reproducibilidad paso a paso exigida por las normativas de cumplimiento y auditoría </w:t>
      </w:r>
      <w:proofErr w:type="spellStart"/>
      <w:r>
        <w:t>financiera.AutoGen</w:t>
      </w:r>
      <w:proofErr w:type="spellEnd"/>
      <w:r>
        <w:t xml:space="preserve">: Creado por Microsoft, </w:t>
      </w:r>
      <w:proofErr w:type="spellStart"/>
      <w:r>
        <w:t>AutoGen</w:t>
      </w:r>
      <w:proofErr w:type="spellEnd"/>
      <w:r>
        <w:t xml:space="preserve"> se fundamenta en flujos de trabajo donde los agentes colaboran intercambiando mensajes de manera autónoma o con participación humana hasta cumplir una condición de terminación. Su característica más distintiva y poderosa es la ejecución nativa de código generado por el LLM en entornos aislados, lo que lo hace ideal para la automatización del desarrollo y la ciencia de datos. No obstante, </w:t>
      </w:r>
      <w:proofErr w:type="spellStart"/>
      <w:r>
        <w:t>AutoGen</w:t>
      </w:r>
      <w:proofErr w:type="spellEnd"/>
      <w:r>
        <w:t xml:space="preserve"> carece de conectores preconstruidos robustos para capas semánticas de Inteligencia de Negocios (BI) sin el desarrollo exhaustivo de herramientas en Python. Su naturaleza conversacional propicia altos costos de tokens debido a iteraciones y refutaciones repetitivas, y su imprevisibilidad lo descalifica para flujos deterministas donde la auditabilidad de cada paso es innegociable. Está dirigido fundamentalmente a organizaciones con profundos recursos de ingeniería que requieren canalizaciones complejas de transformación de datos (ETL) a la medida, no a productos SaaS comerciales llave en </w:t>
      </w:r>
      <w:proofErr w:type="spellStart"/>
      <w:r>
        <w:t>mano.Topología</w:t>
      </w:r>
      <w:proofErr w:type="spellEnd"/>
      <w:r>
        <w:t xml:space="preserve"> Híbrida Recomendada para Costo360Para operar una empresa S.A.S. de cotización sin intervención humana, la literatura de ingeniería sugiere que no existe un marco universalmente perfecto; la selección debe dictaminarse por el nivel de riesgo de la tarea, los requisitos de estado y la necesidad de supervisión. Por lo tanto, la arquitectura óptima para Costo360 es una topología de orquestación </w:t>
      </w:r>
      <w:proofErr w:type="spellStart"/>
      <w:r>
        <w:t>híbrida:Capa</w:t>
      </w:r>
      <w:proofErr w:type="spellEnd"/>
      <w:r>
        <w:t xml:space="preserve"> Central de Transacción y Enrutamiento (</w:t>
      </w:r>
      <w:proofErr w:type="spellStart"/>
      <w:r>
        <w:t>LangGraph</w:t>
      </w:r>
      <w:proofErr w:type="spellEnd"/>
      <w:r>
        <w:t xml:space="preserve">): El sistema nervioso central de Costo360 (recepción de la solicitud del cliente, validación de parámetros arquitectónicos, generación matemática de la cotización, integración con pasarelas de pago y facturación) debe residir en </w:t>
      </w:r>
      <w:proofErr w:type="spellStart"/>
      <w:r>
        <w:t>LangGraph</w:t>
      </w:r>
      <w:proofErr w:type="spellEnd"/>
      <w:r>
        <w:t xml:space="preserve">. Esto garantiza que el flujo de capital y la entrega del servicio estén sujetos a un enrutamiento </w:t>
      </w:r>
      <w:r>
        <w:lastRenderedPageBreak/>
        <w:t xml:space="preserve">determinista, persistencia de estado en PostgreSQL y auditabilidad inquebrantable para el cumplimiento </w:t>
      </w:r>
      <w:proofErr w:type="spellStart"/>
      <w:r>
        <w:t>normativo.Capa</w:t>
      </w:r>
      <w:proofErr w:type="spellEnd"/>
      <w:r>
        <w:t xml:space="preserve"> de Operaciones Especializadas (</w:t>
      </w:r>
      <w:proofErr w:type="spellStart"/>
      <w:r>
        <w:t>CrewAI</w:t>
      </w:r>
      <w:proofErr w:type="spellEnd"/>
      <w:r>
        <w:t>): Los departamentos corporativos simulados, como el equipo de prospección comercial saliente (</w:t>
      </w:r>
      <w:proofErr w:type="spellStart"/>
      <w:r>
        <w:t>outbound</w:t>
      </w:r>
      <w:proofErr w:type="spellEnd"/>
      <w:r>
        <w:t xml:space="preserve"> sales), la redacción de campañas de marketing y la investigación de la competencia, se benefician masivamente del modelo de colaboración basada en roles de </w:t>
      </w:r>
      <w:proofErr w:type="spellStart"/>
      <w:r>
        <w:t>CrewAI</w:t>
      </w:r>
      <w:proofErr w:type="spellEnd"/>
      <w:r>
        <w:t xml:space="preserve">. Al envolver </w:t>
      </w:r>
      <w:proofErr w:type="spellStart"/>
      <w:r>
        <w:t>sub-equipos</w:t>
      </w:r>
      <w:proofErr w:type="spellEnd"/>
      <w:r>
        <w:t xml:space="preserve"> de </w:t>
      </w:r>
      <w:proofErr w:type="spellStart"/>
      <w:r>
        <w:t>CrewAI</w:t>
      </w:r>
      <w:proofErr w:type="spellEnd"/>
      <w:r>
        <w:t xml:space="preserve"> (</w:t>
      </w:r>
      <w:proofErr w:type="spellStart"/>
      <w:r>
        <w:t>crews</w:t>
      </w:r>
      <w:proofErr w:type="spellEnd"/>
      <w:r>
        <w:t xml:space="preserve">) como nodos funcionales dentro del grafo maestro de </w:t>
      </w:r>
      <w:proofErr w:type="spellStart"/>
      <w:r>
        <w:t>LangGraph</w:t>
      </w:r>
      <w:proofErr w:type="spellEnd"/>
      <w:r>
        <w:t xml:space="preserve">, Costo360 obtiene la velocidad de iteración y la creatividad de los agentes de </w:t>
      </w:r>
      <w:proofErr w:type="spellStart"/>
      <w:r>
        <w:t>CrewAI</w:t>
      </w:r>
      <w:proofErr w:type="spellEnd"/>
      <w:r>
        <w:t xml:space="preserve"> sin perder la durabilidad y el manejo de errores del plano de control de </w:t>
      </w:r>
      <w:proofErr w:type="spellStart"/>
      <w:r>
        <w:t>LangGraph.Automatización</w:t>
      </w:r>
      <w:proofErr w:type="spellEnd"/>
      <w:r>
        <w:t xml:space="preserve"> Corporativa I: Marketing, Ventas e Infraestructura de </w:t>
      </w:r>
      <w:proofErr w:type="spellStart"/>
      <w:r>
        <w:t>MensajeríaEn</w:t>
      </w:r>
      <w:proofErr w:type="spellEnd"/>
      <w:r>
        <w:t xml:space="preserve"> el contexto comercial latinoamericano y específicamente en Colombia, WhatsApp no es simplemente un canal de comunicación, sino la infraestructura transaccional y de ventas predominante B2B y B2C. Para que Costo360 opere comercialmente casi al 100% sin humanos, los agentes de ventas generados por </w:t>
      </w:r>
      <w:proofErr w:type="spellStart"/>
      <w:r>
        <w:t>CrewAI</w:t>
      </w:r>
      <w:proofErr w:type="spellEnd"/>
      <w:r>
        <w:t xml:space="preserve"> deben interactuar con los prospectos (arquitectos, diseñadores de interiores y contratistas) directamente en esta red, negociando, enviando catálogos y resolviendo </w:t>
      </w:r>
      <w:proofErr w:type="spellStart"/>
      <w:r>
        <w:t>objeciones.Existen</w:t>
      </w:r>
      <w:proofErr w:type="spellEnd"/>
      <w:r>
        <w:t xml:space="preserve"> dos arquitecturas técnicas viables para integrar agentes de IA con WhatsApp: la API oficial basada en la nube y las soluciones </w:t>
      </w:r>
      <w:proofErr w:type="spellStart"/>
      <w:r>
        <w:t>autoalojadas</w:t>
      </w:r>
      <w:proofErr w:type="spellEnd"/>
      <w:r>
        <w:t xml:space="preserve"> no oficiales basadas en ingeniería inversa del protocolo web. La elección entre ambas dicta los costos operativos, la flexibilidad conversacional y el riesgo </w:t>
      </w:r>
      <w:proofErr w:type="spellStart"/>
      <w:r>
        <w:t>tecnológico.WhatsApp</w:t>
      </w:r>
      <w:proofErr w:type="spellEnd"/>
      <w:r>
        <w:t xml:space="preserve"> Cloud API (Meta) vs. </w:t>
      </w:r>
      <w:proofErr w:type="spellStart"/>
      <w:r>
        <w:t>Evolution</w:t>
      </w:r>
      <w:proofErr w:type="spellEnd"/>
      <w:r>
        <w:t xml:space="preserve"> </w:t>
      </w:r>
      <w:proofErr w:type="spellStart"/>
      <w:r>
        <w:t>APICriterio</w:t>
      </w:r>
      <w:proofErr w:type="spellEnd"/>
      <w:r>
        <w:t xml:space="preserve"> Técnico / </w:t>
      </w:r>
      <w:proofErr w:type="spellStart"/>
      <w:r>
        <w:t>ComercialWhatsApp</w:t>
      </w:r>
      <w:proofErr w:type="spellEnd"/>
      <w:r>
        <w:t xml:space="preserve"> Cloud API (Meta)</w:t>
      </w:r>
      <w:proofErr w:type="spellStart"/>
      <w:r>
        <w:t>Evolution</w:t>
      </w:r>
      <w:proofErr w:type="spellEnd"/>
      <w:r>
        <w:t xml:space="preserve"> API (</w:t>
      </w:r>
      <w:proofErr w:type="spellStart"/>
      <w:r>
        <w:t>Autoalojado</w:t>
      </w:r>
      <w:proofErr w:type="spellEnd"/>
      <w:r>
        <w:t xml:space="preserve">)Naturaleza del </w:t>
      </w:r>
      <w:proofErr w:type="spellStart"/>
      <w:r>
        <w:t>ClienteOficial</w:t>
      </w:r>
      <w:proofErr w:type="spellEnd"/>
      <w:r>
        <w:t xml:space="preserve">, API </w:t>
      </w:r>
      <w:proofErr w:type="spellStart"/>
      <w:r>
        <w:t>Graph</w:t>
      </w:r>
      <w:proofErr w:type="spellEnd"/>
      <w:r>
        <w:t xml:space="preserve"> alojada por </w:t>
      </w:r>
      <w:proofErr w:type="spellStart"/>
      <w:r>
        <w:t>MetaNo</w:t>
      </w:r>
      <w:proofErr w:type="spellEnd"/>
      <w:r>
        <w:t xml:space="preserve"> oficial, código abierto basado en </w:t>
      </w:r>
      <w:proofErr w:type="spellStart"/>
      <w:r>
        <w:t>BaileysMantenimiento</w:t>
      </w:r>
      <w:proofErr w:type="spellEnd"/>
      <w:r>
        <w:t xml:space="preserve"> de </w:t>
      </w:r>
      <w:proofErr w:type="spellStart"/>
      <w:r>
        <w:t>ServidoresCero</w:t>
      </w:r>
      <w:proofErr w:type="spellEnd"/>
      <w:r>
        <w:t xml:space="preserve">. Meta gestiona la </w:t>
      </w:r>
      <w:proofErr w:type="spellStart"/>
      <w:r>
        <w:t>infraestructuraAlto</w:t>
      </w:r>
      <w:proofErr w:type="spellEnd"/>
      <w:r>
        <w:t xml:space="preserve">. Requiere VPS, Docker, Redis, </w:t>
      </w:r>
      <w:proofErr w:type="spellStart"/>
      <w:r>
        <w:t>PostgreSQLModelo</w:t>
      </w:r>
      <w:proofErr w:type="spellEnd"/>
      <w:r>
        <w:t xml:space="preserve"> de </w:t>
      </w:r>
      <w:proofErr w:type="spellStart"/>
      <w:r>
        <w:t>CostosPago</w:t>
      </w:r>
      <w:proofErr w:type="spellEnd"/>
      <w:r>
        <w:t xml:space="preserve"> por conversación (basado en plantillas)Gratis (solo se asumen costos del servidor VPS)Restricciones de </w:t>
      </w:r>
      <w:proofErr w:type="spellStart"/>
      <w:r>
        <w:t>MensajeríaRegla</w:t>
      </w:r>
      <w:proofErr w:type="spellEnd"/>
      <w:r>
        <w:t xml:space="preserve"> de 24 horas y aprobación de </w:t>
      </w:r>
      <w:proofErr w:type="spellStart"/>
      <w:r>
        <w:t>plantillasLibertad</w:t>
      </w:r>
      <w:proofErr w:type="spellEnd"/>
      <w:r>
        <w:t xml:space="preserve"> total de formatos y </w:t>
      </w:r>
      <w:proofErr w:type="spellStart"/>
      <w:r>
        <w:t>tiemposRendimiento</w:t>
      </w:r>
      <w:proofErr w:type="spellEnd"/>
      <w:r>
        <w:t xml:space="preserve"> a Alta </w:t>
      </w:r>
      <w:proofErr w:type="spellStart"/>
      <w:r>
        <w:t>EscalaMiles</w:t>
      </w:r>
      <w:proofErr w:type="spellEnd"/>
      <w:r>
        <w:t xml:space="preserve"> de mensajes/segundo sin </w:t>
      </w:r>
      <w:proofErr w:type="spellStart"/>
      <w:r>
        <w:t>desconexionesSusceptible</w:t>
      </w:r>
      <w:proofErr w:type="spellEnd"/>
      <w:r>
        <w:t xml:space="preserve"> a caídas de sesión </w:t>
      </w:r>
      <w:proofErr w:type="spellStart"/>
      <w:r>
        <w:t>WebSocketRiesgo</w:t>
      </w:r>
      <w:proofErr w:type="spellEnd"/>
      <w:r>
        <w:t xml:space="preserve"> </w:t>
      </w:r>
      <w:proofErr w:type="spellStart"/>
      <w:r>
        <w:t>OperativoNulo</w:t>
      </w:r>
      <w:proofErr w:type="spellEnd"/>
      <w:r>
        <w:t xml:space="preserve"> (cuenta verificada y soportada)Alto riesgo de baneo de número (sin soporte)Soporte de Funciones </w:t>
      </w:r>
      <w:proofErr w:type="spellStart"/>
      <w:r>
        <w:t>NativasLimitado</w:t>
      </w:r>
      <w:proofErr w:type="spellEnd"/>
      <w:r>
        <w:t xml:space="preserve"> (sin gestión de grupos)Soporte total (incluye grupos y visualización de estados)Comparativa arquitectónica de infraestructura de mensajería para </w:t>
      </w:r>
      <w:proofErr w:type="spellStart"/>
      <w:r>
        <w:t>SaaS.La</w:t>
      </w:r>
      <w:proofErr w:type="spellEnd"/>
      <w:r>
        <w:t xml:space="preserve"> API Cloud de WhatsApp (Meta): Constituye el canal oficial de Meta. Su ventaja primordial es la confiabilidad de nivel empresarial: no requiere gestionar conexiones </w:t>
      </w:r>
      <w:proofErr w:type="spellStart"/>
      <w:r>
        <w:t>WebSocket</w:t>
      </w:r>
      <w:proofErr w:type="spellEnd"/>
      <w:r>
        <w:t xml:space="preserve"> frágiles ni colas de mensajería, asegurando alta disponibilidad. Sin embargo, impone restricciones asfixiantes para agentes de IA autónomos que buscan simular un comportamiento humano orgánico. Meta impone la "Regla de las 24 horas", restringiendo los mensajes de forma libre exclusivamente a la ventana de 24 horas posteriores al último mensaje del usuario. Fuera de esa ventana, el agente de ventas de Costo360 tendría que utilizar plantillas de mensajes (marketing, utilidad, autenticación) preaprobadas por Meta, incurriendo en tarifas por conversación. Aunque existen asignaciones de gratuidad (como las primeras 1,000 conversaciones de servicio mensuales), a alta escala, las tarifas de Meta pueden erosionar drásticamente los márgenes de beneficio de un </w:t>
      </w:r>
      <w:proofErr w:type="spellStart"/>
      <w:r>
        <w:t>SaaS.Evolution</w:t>
      </w:r>
      <w:proofErr w:type="spellEnd"/>
      <w:r>
        <w:t xml:space="preserve"> API: Es una interfaz REST de código abierto, desplegada típicamente vía Docker, que actúa como una capa de middleware. Funciona emulando el protocolo de WhatsApp Web a través de la biblioteca de Node.js </w:t>
      </w:r>
      <w:proofErr w:type="spellStart"/>
      <w:r>
        <w:t>Baileys</w:t>
      </w:r>
      <w:proofErr w:type="spellEnd"/>
      <w:r>
        <w:t xml:space="preserve">, exponiendo puntos finales HTTP que permiten gestionar múltiples instancias (números de teléfono) desde un único servidor. Dado que simula ser un dispositivo de usuario final estándar, </w:t>
      </w:r>
      <w:proofErr w:type="spellStart"/>
      <w:r>
        <w:t>Evolution</w:t>
      </w:r>
      <w:proofErr w:type="spellEnd"/>
      <w:r>
        <w:t xml:space="preserve"> API elude completamente los procesos de aprobación comercial de Meta, los costos por conversación y las limitaciones de las plantillas. Es la infraestructura predilecta para herramientas "no-</w:t>
      </w:r>
      <w:proofErr w:type="spellStart"/>
      <w:r>
        <w:t>code</w:t>
      </w:r>
      <w:proofErr w:type="spellEnd"/>
      <w:r>
        <w:t xml:space="preserve">" (como n8n) permitiendo el despliegue de </w:t>
      </w:r>
      <w:proofErr w:type="spellStart"/>
      <w:r>
        <w:t>chatbots</w:t>
      </w:r>
      <w:proofErr w:type="spellEnd"/>
      <w:r>
        <w:t xml:space="preserve"> con GPT-4o por menos de 20 USD mensuales en infraestructura. No obstante, conlleva un requerimiento significativo de conocimientos DevOps para mantener el servidor (VPS) operativo indefinidamente. El riesgo cardinal es que operar clientes no autorizados viola flagrantemente los términos de servicio de Meta; un escalamiento rápido o patrones de envío que parezcan mecánicos actuarán como señales para los algoritmos </w:t>
      </w:r>
      <w:proofErr w:type="spellStart"/>
      <w:r>
        <w:t>anti-spam</w:t>
      </w:r>
      <w:proofErr w:type="spellEnd"/>
      <w:r>
        <w:t xml:space="preserve"> de Meta, resultando en el baneo irrevocable del número telefónico sin posibilidad de apelación o soporte. Además, los usuarios reportan que la API oficial presenta problemas de lógica de negocio ocultos, donde mensajes enviados sin plantilla retornan un código de éxito 200 pero nunca llegan al </w:t>
      </w:r>
      <w:proofErr w:type="spellStart"/>
      <w:r>
        <w:t>destinatario.Estrategia</w:t>
      </w:r>
      <w:proofErr w:type="spellEnd"/>
      <w:r>
        <w:t xml:space="preserve"> Desacoplada de Costo360: Las directrices arquitectónicas para 2026 estipulan que el agente de inteligencia artificial (el modelo, las herramientas y el </w:t>
      </w:r>
      <w:proofErr w:type="spellStart"/>
      <w:r>
        <w:t>prompt</w:t>
      </w:r>
      <w:proofErr w:type="spellEnd"/>
      <w:r>
        <w:t xml:space="preserve">) debe ser conceptual y lógicamente agnóstico a la capa de transporte que entrega el mensaje. Por consiguiente, Costo360 debe encapsular la lógica del agente de ventas en </w:t>
      </w:r>
      <w:proofErr w:type="spellStart"/>
      <w:r>
        <w:t>LangGraph</w:t>
      </w:r>
      <w:proofErr w:type="spellEnd"/>
      <w:r>
        <w:t xml:space="preserve"> y utilizar variables de entorno para conmutar la capa de mensajería. Durante las fases de prototipado, descubrimiento de clientes (</w:t>
      </w:r>
      <w:proofErr w:type="spellStart"/>
      <w:r>
        <w:t>Customer</w:t>
      </w:r>
      <w:proofErr w:type="spellEnd"/>
      <w:r>
        <w:t xml:space="preserve"> Discovery) e inicio de operaciones, Costo360 utilizará </w:t>
      </w:r>
      <w:proofErr w:type="spellStart"/>
      <w:r>
        <w:t>Evolution</w:t>
      </w:r>
      <w:proofErr w:type="spellEnd"/>
      <w:r>
        <w:t xml:space="preserve"> API alojada en un VPS económico, esquivando las barreras burocráticas y maximizando la flexibilidad de las campañas de alcance en frío (</w:t>
      </w:r>
      <w:proofErr w:type="spellStart"/>
      <w:r>
        <w:t>outreach</w:t>
      </w:r>
      <w:proofErr w:type="spellEnd"/>
      <w:r>
        <w:t xml:space="preserve">). Una vez que el SaaS valide el modelo de negocio, genere ingresos recurrentes y el número de teléfono acumule un volumen donde un baneo representaría una crisis de relaciones públicas inaceptable, el sistema rotará sus variables de entorno hacia la WhatsApp Cloud API, absorbiendo los costos operativos transaccionales como un gasto legítimo de aseguramiento de la continuidad del negocio y cumplimiento </w:t>
      </w:r>
      <w:proofErr w:type="spellStart"/>
      <w:r>
        <w:t>normativo.Automatización</w:t>
      </w:r>
      <w:proofErr w:type="spellEnd"/>
      <w:r>
        <w:t xml:space="preserve"> Corporativa II: Contabilidad, Tributación y Legalidad en </w:t>
      </w:r>
      <w:proofErr w:type="spellStart"/>
      <w:r>
        <w:t>ColombiaPara</w:t>
      </w:r>
      <w:proofErr w:type="spellEnd"/>
      <w:r>
        <w:t xml:space="preserve"> que un negocio opere sin humanos, la conciliación financiera, la facturación y el cumplimiento normativo deben integrarse profundamente en la lógica de los agentes. En Colombia, el entorno regulatorio fiscal es estricto, administrado a nivel nacional por la Dirección de Impuestos y Aduanas Nacionales </w:t>
      </w:r>
      <w:r>
        <w:lastRenderedPageBreak/>
        <w:t xml:space="preserve">(DIAN) y a nivel local por entidades como la Alcaldía de </w:t>
      </w:r>
      <w:proofErr w:type="spellStart"/>
      <w:r>
        <w:t>Barranquilla.Integración</w:t>
      </w:r>
      <w:proofErr w:type="spellEnd"/>
      <w:r>
        <w:t xml:space="preserve"> Programática de Facturación Electrónica (API de Alegra)El flujo de caja de Costo360 dependerá de la emisión inmediata de facturas electrónicas tras la aceptación de una cotización y la confirmación del pago a través de pasarelas. Para abstraer la inmensa complejidad de los formatos XML exigidos por la DIAN (estándar UBL 2.1), el agente contable utilizará la API de Alegra. Alegra es un proveedor tecnológico habilitado por la DIAN y un ecosistema contable que expone </w:t>
      </w:r>
      <w:proofErr w:type="spellStart"/>
      <w:r>
        <w:t>endpoints</w:t>
      </w:r>
      <w:proofErr w:type="spellEnd"/>
      <w:r>
        <w:t xml:space="preserve"> </w:t>
      </w:r>
      <w:proofErr w:type="spellStart"/>
      <w:r>
        <w:t>RESTful</w:t>
      </w:r>
      <w:proofErr w:type="spellEnd"/>
      <w:r>
        <w:t xml:space="preserve"> para facturar, gestionar clientes, controlar gastos y sincronizar </w:t>
      </w:r>
      <w:proofErr w:type="spellStart"/>
      <w:r>
        <w:t>bancos.Cuando</w:t>
      </w:r>
      <w:proofErr w:type="spellEnd"/>
      <w:r>
        <w:t xml:space="preserve"> el agente de ventas cierra un trato en WhatsApp, envía una señal asíncrona al agente de contabilidad en </w:t>
      </w:r>
      <w:proofErr w:type="spellStart"/>
      <w:r>
        <w:t>LangGraph</w:t>
      </w:r>
      <w:proofErr w:type="spellEnd"/>
      <w:r>
        <w:t>. Este agente invoca una solicitud HTTP POST a la API de Alegra con una carga útil (</w:t>
      </w:r>
      <w:proofErr w:type="spellStart"/>
      <w:r>
        <w:t>payload</w:t>
      </w:r>
      <w:proofErr w:type="spellEnd"/>
      <w:r>
        <w:t xml:space="preserve">) JSON que contiene la información tributaria del cliente, las líneas de detalle de la cotización y los impuestos calculados. Alegra procesa la firma digital, transmite el documento a los servidores de validación previa de la DIAN y, al recibir la confirmación (CUFE validado), despacha el documento PDF y el XML al correo del cliente de manera automática, sin intervención de un contador </w:t>
      </w:r>
      <w:proofErr w:type="spellStart"/>
      <w:r>
        <w:t>humano.Optimización</w:t>
      </w:r>
      <w:proofErr w:type="spellEnd"/>
      <w:r>
        <w:t xml:space="preserve"> Tributaria Distrital y Nacional: RST y consolidación del </w:t>
      </w:r>
      <w:proofErr w:type="spellStart"/>
      <w:r>
        <w:t>ICALa</w:t>
      </w:r>
      <w:proofErr w:type="spellEnd"/>
      <w:r>
        <w:t xml:space="preserve"> estructuración corporativa de Costo360 como S.A.S. en la ciudad de Barranquilla ofrece ventajas fiscales estratégicas determinantes si la entidad se inscribe en el Régimen Simple de Tributación (RST) simultáneamente con la obtención de su Registro Único Tributario (RUT) ante la Cámara de </w:t>
      </w:r>
      <w:proofErr w:type="spellStart"/>
      <w:r>
        <w:t>Comercio.El</w:t>
      </w:r>
      <w:proofErr w:type="spellEnd"/>
      <w:r>
        <w:t xml:space="preserve"> RST fue legislado en Colombia para mitigar la asfixiante carga tributaria y administrativa de las pequeñas y medianas empresas, consolidando obligaciones como el Impuesto sobre la Renta, el Impuesto Nacional al Consumo y el Impuesto de Industria y Comercio (ICA) en una única declaración. Las tarifas del RST son significativamente más bajas, oscilando entre el 1.2% y el 14.5%, y se liquidan basándose exclusivamente en el nivel de ingresos brutos y la actividad económica, siempre que la corporación no exceda el tope de 100,000 Unidades de Valor Tributario (UVT) en el año gravable </w:t>
      </w:r>
      <w:proofErr w:type="spellStart"/>
      <w:r>
        <w:t>anterior.Adicionalmente</w:t>
      </w:r>
      <w:proofErr w:type="spellEnd"/>
      <w:r>
        <w:t xml:space="preserve">, operar en Barranquilla (un nodo logístico y comercial crítico en el Caribe) implica la sujeción a normativas distritales estrictas administradas por la Gerencia de Ingresos, tales como el ICA, retención de ICA, predial y otras sobretasas. En el régimen ordinario, la empresa debería liquidar el ICA independientemente en cada municipio donde preste servicios o tenga clientes. Bajo el RST, el impuesto de industria y comercio consolidado se recauda y liquida mediante el recibo electrónico nacional de anticipos bimestrales ante la DIAN, quien se encarga de transferir los recursos a la jurisdicción correspondiente (en este caso, Barranquilla).Desde la perspectiva de la ingeniería de software, la adopción del RST simplifica exponencialmente la lógica paramétrica del agente contable. En lugar de mantener una matriz dinámica de tarifas y calendarios tributarios para los 1,102 municipios de Colombia, el agente únicamente necesita calcular la tarifa plana de la DIAN y generar los anticipos bimestrales mediante la integración con la API contable. Como incentivo adicional a la formalización, el RST permite descontar del impuesto a pagar el 0.5% de los pagos que la empresa reciba a través de mecanismos electrónicos (tarjetas de crédito, débito o pasarelas de pago), lo cual fomenta un ecosistema financiero 100% digital e idóneo para un </w:t>
      </w:r>
      <w:proofErr w:type="spellStart"/>
      <w:r>
        <w:t>SaaS.La</w:t>
      </w:r>
      <w:proofErr w:type="spellEnd"/>
      <w:r>
        <w:t xml:space="preserve"> Ventaja Competitiva Fundamental: Exclusión del IVA para el </w:t>
      </w:r>
      <w:proofErr w:type="spellStart"/>
      <w:r>
        <w:t>SaaSEn</w:t>
      </w:r>
      <w:proofErr w:type="spellEnd"/>
      <w:r>
        <w:t xml:space="preserve"> Colombia, la tarifa general del Impuesto sobre las Ventas (IVA) es del 19%, gravando la transferencia de dominio y la prestación de servicios en el territorio nacional, con su recaudo aplicando en cada etapa de la cadena económica y afectando el precio final al consumidor. La venta o licenciamiento de software tradicional (instalado </w:t>
      </w:r>
      <w:proofErr w:type="spellStart"/>
      <w:r>
        <w:t>on</w:t>
      </w:r>
      <w:proofErr w:type="spellEnd"/>
      <w:r>
        <w:t xml:space="preserve">-premise) o la comercialización de programas contables, de nómina o inventarios estándar, están inexorablemente gravados con este impuesto, encareciendo el producto en un 19%.Sin embargo, Costo360 cuenta con un blindaje legal crítico establecido en el numeral 21 del artículo 476 del Estatuto Tributario (E.T.), el cual consagra que los servicios de computación en la nube (Cloud Computing) se encuentran expresamente excluidos del IVA. La jurisprudencia de la DIAN, consolidada en el Concepto No. 017056 de 2017 y ratificada por los Oficios 900930 de 2022 y 100208192-190 de 2024, estipula que el proveedor directo del servicio es quien ejerce el derecho a facturar sin IVA, indistintamente del modelo de despliegue (Software as a Service - SaaS, </w:t>
      </w:r>
      <w:proofErr w:type="spellStart"/>
      <w:r>
        <w:t>Platform</w:t>
      </w:r>
      <w:proofErr w:type="spellEnd"/>
      <w:r>
        <w:t xml:space="preserve"> as a Service - PaaS, o </w:t>
      </w:r>
      <w:proofErr w:type="spellStart"/>
      <w:r>
        <w:t>Infrastructure</w:t>
      </w:r>
      <w:proofErr w:type="spellEnd"/>
      <w:r>
        <w:t xml:space="preserve"> as a Service - IaaS).Para que el agente contable autónomo emita facturas excluidas de IVA y pueda soportar una fiscalización gubernamental, la arquitectura algorítmica de Costo360 debe garantizar y documentar rigurosamente el cumplimiento de las cinco características esenciales del "Cloud Computing" dictaminadas por el Ministerio de Tecnologías de la Información y las Comunicaciones (MinTIC), derivadas de los estándares del </w:t>
      </w:r>
      <w:proofErr w:type="spellStart"/>
      <w:r>
        <w:t>NIST:Autoservicio</w:t>
      </w:r>
      <w:proofErr w:type="spellEnd"/>
      <w:r>
        <w:t xml:space="preserve"> bajo demanda: Las empresas marmoleras y constructoras deben poder registrarse, acceder a la plataforma web y generar cotizaciones paramétricas de manera unilateral, sin requerir interacción o validación humana por parte del personal de Costo360.Acceso amplio a la red: Las capacidades del sistema deben estar disponibles a través de redes estándar de internet, accesibles desde múltiples plataformas (navegadores de escritorio, tabletas y teléfonos móviles).Asignación común de recursos (</w:t>
      </w:r>
      <w:proofErr w:type="spellStart"/>
      <w:r>
        <w:t>Resource</w:t>
      </w:r>
      <w:proofErr w:type="spellEnd"/>
      <w:r>
        <w:t xml:space="preserve"> </w:t>
      </w:r>
      <w:proofErr w:type="spellStart"/>
      <w:r>
        <w:t>Pooling</w:t>
      </w:r>
      <w:proofErr w:type="spellEnd"/>
      <w:r>
        <w:t xml:space="preserve">): Los recursos de computación subyacentes del SaaS deben estar agrupados para servir a múltiples consumidores utilizando un modelo </w:t>
      </w:r>
      <w:proofErr w:type="spellStart"/>
      <w:r>
        <w:t>multi-inquilino</w:t>
      </w:r>
      <w:proofErr w:type="spellEnd"/>
      <w:r>
        <w:t xml:space="preserve"> (</w:t>
      </w:r>
      <w:proofErr w:type="spellStart"/>
      <w:r>
        <w:t>multi-tenant</w:t>
      </w:r>
      <w:proofErr w:type="spellEnd"/>
      <w:r>
        <w:t xml:space="preserve">), aislando lógicamente los datos de cada cliente, pero compartiendo la infraestructura física o virtual </w:t>
      </w:r>
      <w:proofErr w:type="spellStart"/>
      <w:r>
        <w:t>subyacente.Rápida</w:t>
      </w:r>
      <w:proofErr w:type="spellEnd"/>
      <w:r>
        <w:t xml:space="preserve"> elasticidad: Las capacidades de procesamiento de los agentes de IA y los motores de renderizado deben escalar vertical u horizontalmente de forma rápida —y en algunos casos automáticamente— para absorber los picos de demanda (por ejemplo, escalar contenedores Docker de </w:t>
      </w:r>
      <w:proofErr w:type="spellStart"/>
      <w:r>
        <w:t>WeasyPrint</w:t>
      </w:r>
      <w:proofErr w:type="spellEnd"/>
      <w:r>
        <w:t xml:space="preserve">).Servicio medible: El ecosistema de Costo360 debe controlar y optimizar automáticamente el uso de recursos mediante capacidades de medición </w:t>
      </w:r>
      <w:r>
        <w:lastRenderedPageBreak/>
        <w:t xml:space="preserve">apropiadas (almacenamiento, procesamiento, ancho de banda o consumo de tokens del LLM).Al configurar el sistema contable (Alegra) para aplicar la exclusión del artículo 476, Costo360 obtiene una ventaja de precio del 19% frente a competidores internacionales o de software tradicional, optimizando la adquisición de clientes y democratizando el acceso a tecnología de punta en el sector de la construcción </w:t>
      </w:r>
      <w:proofErr w:type="spellStart"/>
      <w:r>
        <w:t>colombiano.El</w:t>
      </w:r>
      <w:proofErr w:type="spellEnd"/>
      <w:r>
        <w:t xml:space="preserve"> Agente de Producto Específico: Procesamiento Visual y Generación Dinámica de </w:t>
      </w:r>
      <w:proofErr w:type="spellStart"/>
      <w:r>
        <w:t>CotizacionesEl</w:t>
      </w:r>
      <w:proofErr w:type="spellEnd"/>
      <w:r>
        <w:t xml:space="preserve"> valor central del producto (Core </w:t>
      </w:r>
      <w:proofErr w:type="spellStart"/>
      <w:r>
        <w:t>Product</w:t>
      </w:r>
      <w:proofErr w:type="spellEnd"/>
      <w:r>
        <w:t xml:space="preserve"> </w:t>
      </w:r>
      <w:proofErr w:type="spellStart"/>
      <w:r>
        <w:t>Value</w:t>
      </w:r>
      <w:proofErr w:type="spellEnd"/>
      <w:r>
        <w:t xml:space="preserve">) de Costo360 reside en su capacidad para reemplazar el trabajo de escritorio manual en el ecosistema de estimación de materiales. Sistemas actuales como </w:t>
      </w:r>
      <w:proofErr w:type="spellStart"/>
      <w:r>
        <w:t>CounterGo</w:t>
      </w:r>
      <w:proofErr w:type="spellEnd"/>
      <w:r>
        <w:t xml:space="preserve"> o </w:t>
      </w:r>
      <w:proofErr w:type="spellStart"/>
      <w:r>
        <w:t>SlabWare</w:t>
      </w:r>
      <w:proofErr w:type="spellEnd"/>
      <w:r>
        <w:t xml:space="preserve"> exigen que un humano dibuje la encimera virtual, aplique radios de curvatura, inserte recortes para fregaderos y superponga los planos vectoriales sobre fotografías de alta resolución de las losas de piedra (</w:t>
      </w:r>
      <w:proofErr w:type="spellStart"/>
      <w:r>
        <w:t>slab</w:t>
      </w:r>
      <w:proofErr w:type="spellEnd"/>
      <w:r>
        <w:t xml:space="preserve"> </w:t>
      </w:r>
      <w:proofErr w:type="spellStart"/>
      <w:r>
        <w:t>layouts</w:t>
      </w:r>
      <w:proofErr w:type="spellEnd"/>
      <w:r>
        <w:t>) para visualizar las vetas, estimar la cantidad de material (</w:t>
      </w:r>
      <w:proofErr w:type="spellStart"/>
      <w:r>
        <w:t>slabs</w:t>
      </w:r>
      <w:proofErr w:type="spellEnd"/>
      <w:r>
        <w:t xml:space="preserve"> requeridos) y determinar el impacto de los cortes y </w:t>
      </w:r>
      <w:proofErr w:type="spellStart"/>
      <w:r>
        <w:t>costuras.El</w:t>
      </w:r>
      <w:proofErr w:type="spellEnd"/>
      <w:r>
        <w:t xml:space="preserve"> agente de producto de Costo360 asume la totalidad de estas responsabilidades de geometría computacional basándose en la parametrización inicial del usuario. Sin embargo, para que el resultado sea un documento corporativo que el contratista pueda entregar a su cliente final, la cotización en PDF debe estar estandarizada y, de forma simultánea, profundamente personalizada con la identidad visual (branding) del </w:t>
      </w:r>
      <w:proofErr w:type="spellStart"/>
      <w:r>
        <w:t>contratista.Extracción</w:t>
      </w:r>
      <w:proofErr w:type="spellEnd"/>
      <w:r>
        <w:t xml:space="preserve"> Algorítmica de la Paleta de Colores (</w:t>
      </w:r>
      <w:proofErr w:type="spellStart"/>
      <w:r>
        <w:t>Clustering</w:t>
      </w:r>
      <w:proofErr w:type="spellEnd"/>
      <w:r>
        <w:t xml:space="preserve"> K-Means)Para lograr una personalización autónoma de la interfaz de la cotización, el agente debe analizar el archivo de imagen del logotipo cargado por el cliente y extraer la paleta de colores corporativa. El enfoque computacional más robusto y científicamente preciso para esta tarea es la utilización de técnicas de agrupamiento (</w:t>
      </w:r>
      <w:proofErr w:type="spellStart"/>
      <w:r>
        <w:t>clustering</w:t>
      </w:r>
      <w:proofErr w:type="spellEnd"/>
      <w:r>
        <w:t>) del aprendizaje automático no supervisado, específicamente el algoritmo K-</w:t>
      </w:r>
      <w:proofErr w:type="spellStart"/>
      <w:r>
        <w:t>Means.En</w:t>
      </w:r>
      <w:proofErr w:type="spellEnd"/>
      <w:r>
        <w:t xml:space="preserve"> lugar de utilizar algoritmos primitivos de extracción de los "píxeles más frecuentes" (los cuales tienden a saturarse con colores de fondo irrelevantes como el blanco puro o el negro de contorno), K-Means encuentra los colores verdaderamente representativos calculando centros de masa en el espacio tridimensional RGB. El procedimiento en Python, utilizando bibliotecas como </w:t>
      </w:r>
      <w:proofErr w:type="spellStart"/>
      <w:r>
        <w:t>scipy</w:t>
      </w:r>
      <w:proofErr w:type="spellEnd"/>
      <w:r>
        <w:t xml:space="preserve"> o </w:t>
      </w:r>
      <w:proofErr w:type="spellStart"/>
      <w:r>
        <w:t>scikit-learn</w:t>
      </w:r>
      <w:proofErr w:type="spellEnd"/>
      <w:r>
        <w:t xml:space="preserve">, se estructura matemáticamente en las siguientes </w:t>
      </w:r>
      <w:proofErr w:type="spellStart"/>
      <w:r>
        <w:t>fases:Lectura</w:t>
      </w:r>
      <w:proofErr w:type="spellEnd"/>
      <w:r>
        <w:t xml:space="preserve"> y Aplanamiento: La imagen matricial de dimensiones $M \times N \times 3$ (representando los tres canales de color: Rojo, Verde, Azul) se decodifica y se aplana en un </w:t>
      </w:r>
      <w:proofErr w:type="spellStart"/>
      <w:r>
        <w:t>DataFrame</w:t>
      </w:r>
      <w:proofErr w:type="spellEnd"/>
      <w:r>
        <w:t xml:space="preserve"> estructurado como una matriz bidimensional de $(M \times N) \times 3$, transformando cada píxel en un vector de coordenadas en un espacio </w:t>
      </w:r>
      <w:proofErr w:type="spellStart"/>
      <w:r>
        <w:t>euclidiano.Blanqueamiento</w:t>
      </w:r>
      <w:proofErr w:type="spellEnd"/>
      <w:r>
        <w:t xml:space="preserve"> de Datos (Data </w:t>
      </w:r>
      <w:proofErr w:type="spellStart"/>
      <w:r>
        <w:t>Whitening</w:t>
      </w:r>
      <w:proofErr w:type="spellEnd"/>
      <w:r>
        <w:t xml:space="preserve">): Este paso de preprocesamiento estadístico es crítico. Los valores RGB originales (que varían de 0 a 255) se escalan dividiéndolos por la desviación estándar de cada canal respectivo. Matemáticamente, esto transforma la nube de puntos de píxeles en una distribución esférica de varianza unitaria. El blanqueamiento asegura que el algoritmo K-Means no favorezca erróneamente variaciones de intensidad en un solo canal (por ejemplo, un logotipo con alta saturación en rojo), permitiendo agrupar tonos por su proximidad real en </w:t>
      </w:r>
      <w:proofErr w:type="spellStart"/>
      <w:r>
        <w:t>cromaticidad.Ejecución</w:t>
      </w:r>
      <w:proofErr w:type="spellEnd"/>
      <w:r>
        <w:t xml:space="preserve"> de la Iteración K-Means: Se inicializa el modelo definiendo el </w:t>
      </w:r>
      <w:proofErr w:type="spellStart"/>
      <w:r>
        <w:t>hiperparámetro</w:t>
      </w:r>
      <w:proofErr w:type="spellEnd"/>
      <w:r>
        <w:t xml:space="preserve"> de clústeres deseados, típicamente $K=5$, para obtener colores primarios, secundarios, de énfasis y neutros. El algoritmo selecciona aleatoriamente $K$ centroides iniciales, asigna cada píxel al centroide más cercano calculando la distancia euclidiana mínima, y recalcula iterativamente la posición de los centroides como la media de todos los puntos de su grupo. Esto se repite hasta alcanzar convergencia computacional (cuando el movimiento de los centroides es insignificante).Restauración Inversa RGB: Los centroides resultantes (</w:t>
      </w:r>
      <w:proofErr w:type="spellStart"/>
      <w:r>
        <w:t>cluster_centers</w:t>
      </w:r>
      <w:proofErr w:type="spellEnd"/>
      <w:r>
        <w:t xml:space="preserve">), que se encontraban en un espacio estadístico blanqueado, son multiplicados inversamente por sus desviaciones estándar originales para devolverlos al espectro de color estándar RGB (0-255), obteniendo finalmente las variables de color hexadecimales que serán inyectadas en la hoja de estilos CSS de la </w:t>
      </w:r>
      <w:proofErr w:type="spellStart"/>
      <w:r>
        <w:t>cotización.Validación</w:t>
      </w:r>
      <w:proofErr w:type="spellEnd"/>
      <w:r>
        <w:t xml:space="preserve"> Matemática de Accesibilidad Visual (Ratio de Contraste WCAG 2.1/2.2)Extraer los colores del logotipo de una constructora resuelve solo el problema de la identidad de marca, pero introduce un fallo de diseño crítico. Si el agente de producto decide usar el color primario extraído (por ejemplo, un amarillo brillante #facc15) como fondo para el texto blanco de las listas de materiales, el resultado será estadísticamente ilegible (ratio de ~1.6:1), lo que arruinará la legibilidad de la cotización. En el diseño web tradicional, un humano detectaría este error; en un SaaS completamente autónomo, el agente de IA debe aplicar una evaluación matemática para validar las combinaciones de </w:t>
      </w:r>
      <w:proofErr w:type="spellStart"/>
      <w:r>
        <w:t>colores.La</w:t>
      </w:r>
      <w:proofErr w:type="spellEnd"/>
      <w:r>
        <w:t xml:space="preserve"> metodología estándar industrial es el cálculo del Ratio de Contraste definido por las Pautas de Accesibilidad para el Contenido Web (WCAG 2.1 y 2.2), mantenidas por el W3C. El algoritmo de la WCAG no evalúa el brillo percibido o la viveza de un color (que puede ser engañoso), sino su "Luminancia Relativa", una medida lineal del brillo de un color normalizada entre 0 (negro más oscuro) y 1 (blanco más claro).El agente en Python ejecutará el siguiente bloque matemático de transformación fotométrica para cada par de colores propuesto (fondo y texto):Transformación de </w:t>
      </w:r>
      <w:proofErr w:type="spellStart"/>
      <w:r>
        <w:t>sRGB</w:t>
      </w:r>
      <w:proofErr w:type="spellEnd"/>
      <w:r>
        <w:t xml:space="preserve"> a RGB Lineal: Las representaciones numéricas </w:t>
      </w:r>
      <w:proofErr w:type="spellStart"/>
      <w:r>
        <w:t>sRGB</w:t>
      </w:r>
      <w:proofErr w:type="spellEnd"/>
      <w:r>
        <w:t xml:space="preserve"> de las pantallas están comprimidas mediante corrección gamma. Para calcular la luz física real emitida, el algoritmo primero divide cada canal ($R_{8bit}$, $G_{8bit}$, $B_{8bit}$) por 255. Luego, aplica una función por partes (</w:t>
      </w:r>
      <w:proofErr w:type="spellStart"/>
      <w:r>
        <w:t>piecewise</w:t>
      </w:r>
      <w:proofErr w:type="spellEnd"/>
      <w:r>
        <w:t xml:space="preserve"> </w:t>
      </w:r>
      <w:proofErr w:type="spellStart"/>
      <w:r>
        <w:t>function</w:t>
      </w:r>
      <w:proofErr w:type="spellEnd"/>
      <w:r>
        <w:t>) no lineal:$$C_{linear} = \</w:t>
      </w:r>
      <w:proofErr w:type="spellStart"/>
      <w:r>
        <w:t>begin</w:t>
      </w:r>
      <w:proofErr w:type="spellEnd"/>
      <w:r>
        <w:t>{cases} \frac{C_{</w:t>
      </w:r>
      <w:proofErr w:type="spellStart"/>
      <w:r>
        <w:t>sRGB</w:t>
      </w:r>
      <w:proofErr w:type="spellEnd"/>
      <w:r>
        <w:t>}}{12.92} &amp; \</w:t>
      </w:r>
      <w:proofErr w:type="spellStart"/>
      <w:r>
        <w:t>text</w:t>
      </w:r>
      <w:proofErr w:type="spellEnd"/>
      <w:r>
        <w:t>{si } C_{</w:t>
      </w:r>
      <w:proofErr w:type="spellStart"/>
      <w:r>
        <w:t>sRGB</w:t>
      </w:r>
      <w:proofErr w:type="spellEnd"/>
      <w:r>
        <w:t>} \le 0.03928 \\ \</w:t>
      </w:r>
      <w:proofErr w:type="spellStart"/>
      <w:r>
        <w:t>left</w:t>
      </w:r>
      <w:proofErr w:type="spellEnd"/>
      <w:r>
        <w:t>(\frac{C_{</w:t>
      </w:r>
      <w:proofErr w:type="spellStart"/>
      <w:r>
        <w:t>sRGB</w:t>
      </w:r>
      <w:proofErr w:type="spellEnd"/>
      <w:r>
        <w:t>} + 0.055}{1.055}\</w:t>
      </w:r>
      <w:proofErr w:type="spellStart"/>
      <w:r>
        <w:t>right</w:t>
      </w:r>
      <w:proofErr w:type="spellEnd"/>
      <w:r>
        <w:t>)^{2.4} &amp; \</w:t>
      </w:r>
      <w:proofErr w:type="spellStart"/>
      <w:r>
        <w:t>text</w:t>
      </w:r>
      <w:proofErr w:type="spellEnd"/>
      <w:r>
        <w:t>{en otro caso} \</w:t>
      </w:r>
      <w:proofErr w:type="spellStart"/>
      <w:r>
        <w:t>end</w:t>
      </w:r>
      <w:proofErr w:type="spellEnd"/>
      <w:r>
        <w:t>{cases}$$</w:t>
      </w:r>
    </w:p>
    <w:p w14:paraId="6D0B7B4E" w14:textId="41B918CC" w:rsidR="00657635" w:rsidRDefault="00657635" w:rsidP="00657635">
      <w:r>
        <w:t xml:space="preserve">donde $C$ representa las componentes roja, verde y </w:t>
      </w:r>
      <w:proofErr w:type="spellStart"/>
      <w:r>
        <w:t>azul.Cálculo</w:t>
      </w:r>
      <w:proofErr w:type="spellEnd"/>
      <w:r>
        <w:t xml:space="preserve"> de la Luminancia Relativa ($L$): Dado que la anatomía del ojo humano tiene picos de sensibilidad espectral dramáticamente diferentes (altamente sensible al verde, moderadamente al rojo, y con sensibilidad reducida al azul), el espacio de color lineal debe ponderarse </w:t>
      </w:r>
      <w:r>
        <w:lastRenderedPageBreak/>
        <w:t>fotométricamente:$$L = 0.2126 \</w:t>
      </w:r>
      <w:proofErr w:type="spellStart"/>
      <w:r>
        <w:t>cdot</w:t>
      </w:r>
      <w:proofErr w:type="spellEnd"/>
      <w:r>
        <w:t xml:space="preserve"> R_{linear} + 0.7152 \</w:t>
      </w:r>
      <w:proofErr w:type="spellStart"/>
      <w:r>
        <w:t>cdot</w:t>
      </w:r>
      <w:proofErr w:type="spellEnd"/>
      <w:r>
        <w:t xml:space="preserve"> G_{linear} + 0.0722 \</w:t>
      </w:r>
      <w:proofErr w:type="spellStart"/>
      <w:r>
        <w:t>cdot</w:t>
      </w:r>
      <w:proofErr w:type="spellEnd"/>
      <w:r>
        <w:t xml:space="preserve"> B_{linear}$$.Algoritmo de Ratio de Contraste ($CR$): Se compara la luminancia del color más claro ($L_1$, el valor más cercano a 1) contra la luminancia del color más oscuro ($L_2$, el valor más cercano a 0). Se añade un factor de 0.05 en el numerador y denominador. Matemáticamente, este 0.05 representa una compensación teórica para el resplandor de pantalla o reflejo ambiental (</w:t>
      </w:r>
      <w:proofErr w:type="spellStart"/>
      <w:r>
        <w:t>screen</w:t>
      </w:r>
      <w:proofErr w:type="spellEnd"/>
      <w:r>
        <w:t xml:space="preserve"> </w:t>
      </w:r>
      <w:proofErr w:type="spellStart"/>
      <w:r>
        <w:t>flare</w:t>
      </w:r>
      <w:proofErr w:type="spellEnd"/>
      <w:r>
        <w:t xml:space="preserve">) presente en visualizaciones de uso diario:$$CR = \frac{L_1 + 0.05}{L_2 + 0.05}$$.El rango del $CR$ se extenderá desde $1:1$ (colores idénticos, nulo contraste) hasta $21:1$ (negro puro sobre blanco puro). El agente de Costo360 evaluará los resultados contra la Matriz de Accesibilidad </w:t>
      </w:r>
      <w:proofErr w:type="spellStart"/>
      <w:r>
        <w:t>WCAG:Tamaño</w:t>
      </w:r>
      <w:proofErr w:type="spellEnd"/>
      <w:r>
        <w:t xml:space="preserve"> / Tipo de </w:t>
      </w:r>
      <w:proofErr w:type="spellStart"/>
      <w:r>
        <w:t>ComponenteNivel</w:t>
      </w:r>
      <w:proofErr w:type="spellEnd"/>
      <w:r>
        <w:t xml:space="preserve"> WCAG AA (Mínimo Estándar)Nivel WCAG AAA (Estricto)Texto Pequeño / Normal (&lt; 18pt)$\ge 4.5:1$$\ge 7.0:1$Texto Grande / Negrita ($\ge 18pt$)$\ge 3.0:1$$\ge 4.5:1$Bordes e Interfaces de Usuario (UI)$\ge 3.0:1$N/</w:t>
      </w:r>
      <w:proofErr w:type="spellStart"/>
      <w:r>
        <w:t>ALogotipos</w:t>
      </w:r>
      <w:proofErr w:type="spellEnd"/>
      <w:r>
        <w:t xml:space="preserve"> / Gráficos </w:t>
      </w:r>
      <w:proofErr w:type="spellStart"/>
      <w:r>
        <w:t>PurosExentosExentosEstándares</w:t>
      </w:r>
      <w:proofErr w:type="spellEnd"/>
      <w:r>
        <w:t xml:space="preserve"> de Contraste WCAG 2.1.Si la combinación inicial falla la prueba (por ejemplo, produciendo un ratio de 2.6:1), el agente modificará programáticamente el espacio de color. Transformará la representación HEX/RGB a formatos perceptuales (como HSL o CIELAB Lab*) para preservar el tono cromático (Hue) y la saturación de la marca del cliente, pero alterará iterativamente la componente de luminosidad o "</w:t>
      </w:r>
      <w:proofErr w:type="spellStart"/>
      <w:r>
        <w:t>Lightness</w:t>
      </w:r>
      <w:proofErr w:type="spellEnd"/>
      <w:r>
        <w:t xml:space="preserve">" ($L^*$) del primer plano o fondo hasta alcanzar y rebasar el umbral estricto de legibilidad de $4.5:1$ de manera </w:t>
      </w:r>
      <w:proofErr w:type="spellStart"/>
      <w:r>
        <w:t>garantizada.Arquitectura</w:t>
      </w:r>
      <w:proofErr w:type="spellEnd"/>
      <w:r>
        <w:t xml:space="preserve"> de Renderizado de Documentos (Motor PDF)Con las paletas de colores matemáticas generadas y aplicadas a los cálculos estructurales de la cotización (que incluyen el modelo del rendimiento de material y diagramación de losas), el sistema debe consolidar un archivo físico en formato Documento Portátil (PDF). El ecosistema web sufre históricamente deficiencias notorias en el renderizado automatizado; el simple uso de funciones del navegador para exportar páginas HTML (o herramientas anticuadas como </w:t>
      </w:r>
      <w:proofErr w:type="spellStart"/>
      <w:r>
        <w:t>Wkhtmltopdf</w:t>
      </w:r>
      <w:proofErr w:type="spellEnd"/>
      <w:r>
        <w:t xml:space="preserve">) a menudo produce roturas de diseño de página, tablas cortadas y anomalías de renderizado </w:t>
      </w:r>
      <w:proofErr w:type="spellStart"/>
      <w:r>
        <w:t>CSS.Para</w:t>
      </w:r>
      <w:proofErr w:type="spellEnd"/>
      <w:r>
        <w:t xml:space="preserve"> la arquitectura SaaS de Costo360, se evaluaron tres tecnologías de composición y tipografía </w:t>
      </w:r>
      <w:proofErr w:type="spellStart"/>
      <w:r>
        <w:t>programática:Tecnología</w:t>
      </w:r>
      <w:proofErr w:type="spellEnd"/>
      <w:r>
        <w:t xml:space="preserve"> de </w:t>
      </w:r>
      <w:proofErr w:type="spellStart"/>
      <w:r>
        <w:t>RenderizadoMecanismo</w:t>
      </w:r>
      <w:proofErr w:type="spellEnd"/>
      <w:r>
        <w:t xml:space="preserve"> </w:t>
      </w:r>
      <w:proofErr w:type="spellStart"/>
      <w:r>
        <w:t>SubyacenteVentajas</w:t>
      </w:r>
      <w:proofErr w:type="spellEnd"/>
      <w:r>
        <w:t xml:space="preserve"> </w:t>
      </w:r>
      <w:proofErr w:type="spellStart"/>
      <w:r>
        <w:t>ArquitectónicasInconvenientes</w:t>
      </w:r>
      <w:proofErr w:type="spellEnd"/>
      <w:r>
        <w:t xml:space="preserve"> / </w:t>
      </w:r>
      <w:proofErr w:type="spellStart"/>
      <w:r>
        <w:t>LimitacionesTypstMotor</w:t>
      </w:r>
      <w:proofErr w:type="spellEnd"/>
      <w:r>
        <w:t xml:space="preserve"> y lenguaje de marcado escrito en Rust, desde </w:t>
      </w:r>
      <w:proofErr w:type="spellStart"/>
      <w:r>
        <w:t>ceroMáxima</w:t>
      </w:r>
      <w:proofErr w:type="spellEnd"/>
      <w:r>
        <w:t xml:space="preserve"> velocidad de compilación, sintaxis impecable, resultados tipo LaTeX sin su </w:t>
      </w:r>
      <w:proofErr w:type="spellStart"/>
      <w:r>
        <w:t>complejidad.Ecosistema</w:t>
      </w:r>
      <w:proofErr w:type="spellEnd"/>
      <w:r>
        <w:t xml:space="preserve"> incipiente de abstracción de datos para inyectar JSON anidados complejos </w:t>
      </w:r>
      <w:proofErr w:type="spellStart"/>
      <w:r>
        <w:t>directamente.React-PDFPrimitivas</w:t>
      </w:r>
      <w:proofErr w:type="spellEnd"/>
      <w:r>
        <w:t xml:space="preserve"> del DOM virtual mapeadas al lienzo de PDF vía </w:t>
      </w:r>
      <w:proofErr w:type="spellStart"/>
      <w:r>
        <w:t>Node.jsControl</w:t>
      </w:r>
      <w:proofErr w:type="spellEnd"/>
      <w:r>
        <w:t xml:space="preserve"> al 100% (lo que diseñas es lo que obtienes), integración con </w:t>
      </w:r>
      <w:proofErr w:type="spellStart"/>
      <w:r>
        <w:t>Tailwind</w:t>
      </w:r>
      <w:proofErr w:type="spellEnd"/>
      <w:r>
        <w:t xml:space="preserve"> y componentes modernos de </w:t>
      </w:r>
      <w:proofErr w:type="spellStart"/>
      <w:r>
        <w:t>React.Exige</w:t>
      </w:r>
      <w:proofErr w:type="spellEnd"/>
      <w:r>
        <w:t xml:space="preserve"> dependencia paralela de un entorno </w:t>
      </w:r>
      <w:proofErr w:type="spellStart"/>
      <w:r>
        <w:t>Node</w:t>
      </w:r>
      <w:proofErr w:type="spellEnd"/>
      <w:r>
        <w:t xml:space="preserve">/JavaScript, fragmentando la base de código centralizada en </w:t>
      </w:r>
      <w:proofErr w:type="spellStart"/>
      <w:r>
        <w:t>Python.WeasyPrintMotor</w:t>
      </w:r>
      <w:proofErr w:type="spellEnd"/>
      <w:r>
        <w:t xml:space="preserve"> gráfico autónomo en Python basado en la especificación CSS </w:t>
      </w:r>
      <w:proofErr w:type="spellStart"/>
      <w:r>
        <w:t>Paged</w:t>
      </w:r>
      <w:proofErr w:type="spellEnd"/>
      <w:r>
        <w:t xml:space="preserve"> </w:t>
      </w:r>
      <w:proofErr w:type="spellStart"/>
      <w:r>
        <w:t>MediaBiblioteca</w:t>
      </w:r>
      <w:proofErr w:type="spellEnd"/>
      <w:r>
        <w:t xml:space="preserve"> nativa de Python. Altísimo control sobre la paginación de revistas, facturas y </w:t>
      </w:r>
      <w:proofErr w:type="spellStart"/>
      <w:r>
        <w:t>reportes.Dificultades</w:t>
      </w:r>
      <w:proofErr w:type="spellEnd"/>
      <w:r>
        <w:t xml:space="preserve"> históricas de conversión CMYK, optimizado estrictamente para web-</w:t>
      </w:r>
      <w:proofErr w:type="spellStart"/>
      <w:r>
        <w:t>to</w:t>
      </w:r>
      <w:proofErr w:type="spellEnd"/>
      <w:r>
        <w:t>-</w:t>
      </w:r>
      <w:proofErr w:type="spellStart"/>
      <w:r>
        <w:t>print</w:t>
      </w:r>
      <w:proofErr w:type="spellEnd"/>
      <w:r>
        <w:t xml:space="preserve"> B2B.Comparativa de Motores de Generación PDF </w:t>
      </w:r>
      <w:proofErr w:type="spellStart"/>
      <w:r>
        <w:t>Automatizados.Implementación</w:t>
      </w:r>
      <w:proofErr w:type="spellEnd"/>
      <w:r>
        <w:t xml:space="preserve"> Arquitectónica con </w:t>
      </w:r>
      <w:proofErr w:type="spellStart"/>
      <w:r>
        <w:t>WeasyPrint</w:t>
      </w:r>
      <w:proofErr w:type="spellEnd"/>
      <w:r>
        <w:t>: Dado que el sistema maestro orquestador (</w:t>
      </w:r>
      <w:proofErr w:type="spellStart"/>
      <w:r>
        <w:t>LangGraph</w:t>
      </w:r>
      <w:proofErr w:type="spellEnd"/>
      <w:r>
        <w:t xml:space="preserve">) y las tuberías matemáticas (K-Means/WCAG en </w:t>
      </w:r>
      <w:proofErr w:type="spellStart"/>
      <w:r>
        <w:t>SciPy</w:t>
      </w:r>
      <w:proofErr w:type="spellEnd"/>
      <w:r>
        <w:t xml:space="preserve">) operan nativamente en Python, fragmentar el </w:t>
      </w:r>
      <w:proofErr w:type="spellStart"/>
      <w:r>
        <w:t>backend</w:t>
      </w:r>
      <w:proofErr w:type="spellEnd"/>
      <w:r>
        <w:t xml:space="preserve"> para acomodar React-PDF inyecta latencia e innecesaria complejidad de red. En su lugar, el uso de </w:t>
      </w:r>
      <w:proofErr w:type="spellStart"/>
      <w:r>
        <w:t>WeasyPrint</w:t>
      </w:r>
      <w:proofErr w:type="spellEnd"/>
      <w:r>
        <w:t xml:space="preserve"> representa el pináculo de la sinergia arquitectónica. A diferencia de los motores basados en navegadores (</w:t>
      </w:r>
      <w:proofErr w:type="spellStart"/>
      <w:r>
        <w:t>Chromium</w:t>
      </w:r>
      <w:proofErr w:type="spellEnd"/>
      <w:r>
        <w:t xml:space="preserve"> </w:t>
      </w:r>
      <w:proofErr w:type="spellStart"/>
      <w:r>
        <w:t>headless</w:t>
      </w:r>
      <w:proofErr w:type="spellEnd"/>
      <w:r>
        <w:t xml:space="preserve">/Webkit), los navegadores no respetan adecuadamente los estándares "CSS </w:t>
      </w:r>
      <w:proofErr w:type="spellStart"/>
      <w:r>
        <w:t>Paged</w:t>
      </w:r>
      <w:proofErr w:type="spellEnd"/>
      <w:r>
        <w:t xml:space="preserve"> Media", los cuales dictan cómo un documento se divide en hojas físicas. </w:t>
      </w:r>
      <w:proofErr w:type="spellStart"/>
      <w:r>
        <w:t>WeasyPrint</w:t>
      </w:r>
      <w:proofErr w:type="spellEnd"/>
      <w:r>
        <w:t xml:space="preserve">, al ser un motor construido desde cero para propósitos específicos de impresión, respeta cabalmente los modelos de partición de cuadrículas (CSS </w:t>
      </w:r>
      <w:proofErr w:type="spellStart"/>
      <w:r>
        <w:t>Grid</w:t>
      </w:r>
      <w:proofErr w:type="spellEnd"/>
      <w:r>
        <w:t>/</w:t>
      </w:r>
      <w:proofErr w:type="spellStart"/>
      <w:r>
        <w:t>Flexbox</w:t>
      </w:r>
      <w:proofErr w:type="spellEnd"/>
      <w:r>
        <w:t xml:space="preserve">), numeración condicional y escalamiento </w:t>
      </w:r>
      <w:proofErr w:type="spellStart"/>
      <w:r>
        <w:t>geométrico.El</w:t>
      </w:r>
      <w:proofErr w:type="spellEnd"/>
      <w:r>
        <w:t xml:space="preserve"> Agente de Producto toma las listas de materiales estructuradas, la geometría del despiece de losas, la paleta de colores y el logotipo, y los inyecta en una plantilla de sintaxis Jinja2 (HTML). La salida resultante se transmite directamente al objeto de Python de </w:t>
      </w:r>
      <w:proofErr w:type="spellStart"/>
      <w:r>
        <w:t>WeasyPrint</w:t>
      </w:r>
      <w:proofErr w:type="spellEnd"/>
      <w:r>
        <w:t xml:space="preserve">, el cual compila instantáneamente un documento PDF corporativo con una apariencia que excede sistemáticamente en pulcritud y claridad visual a la competencia (como </w:t>
      </w:r>
      <w:proofErr w:type="spellStart"/>
      <w:r>
        <w:t>CounterGo</w:t>
      </w:r>
      <w:proofErr w:type="spellEnd"/>
      <w:r>
        <w:t xml:space="preserve"> o </w:t>
      </w:r>
      <w:proofErr w:type="spellStart"/>
      <w:r>
        <w:t>Quote</w:t>
      </w:r>
      <w:proofErr w:type="spellEnd"/>
      <w:r>
        <w:t xml:space="preserve"> </w:t>
      </w:r>
      <w:proofErr w:type="spellStart"/>
      <w:r>
        <w:t>Countertops</w:t>
      </w:r>
      <w:proofErr w:type="spellEnd"/>
      <w:r>
        <w:t xml:space="preserve">), preparado para adjuntarse y entregarse vía </w:t>
      </w:r>
      <w:proofErr w:type="spellStart"/>
      <w:r>
        <w:t>WhatsApp.Desglose</w:t>
      </w:r>
      <w:proofErr w:type="spellEnd"/>
      <w:r>
        <w:t xml:space="preserve"> Exhaustivo de Infraestructura y Viabilidad </w:t>
      </w:r>
      <w:proofErr w:type="spellStart"/>
      <w:r>
        <w:t>FinancieraEl</w:t>
      </w:r>
      <w:proofErr w:type="spellEnd"/>
      <w:r>
        <w:t xml:space="preserve"> diseño financiero del SaaS autónomo contrasta fuertemente con la contabilidad de una empresa tradicional. La S.A.S. Costo360 desplaza sus Gastos Operativos (OPEX) asociados a la nómina humana, la seguridad social y el arrendamiento de instalaciones corporativas físicas, reemplazándolos con costos </w:t>
      </w:r>
      <w:proofErr w:type="spellStart"/>
      <w:r>
        <w:t>hiper-escalables</w:t>
      </w:r>
      <w:proofErr w:type="spellEnd"/>
      <w:r>
        <w:t xml:space="preserve"> de computación en la nube (Cloud CAPEX/OPEX), llamadas de Interfaz de Programación de Aplicaciones (API) y consumos estocásticos de modelos </w:t>
      </w:r>
      <w:proofErr w:type="spellStart"/>
      <w:r>
        <w:t>LLM.El</w:t>
      </w:r>
      <w:proofErr w:type="spellEnd"/>
      <w:r>
        <w:t xml:space="preserve"> siguiente es un modelado exhaustivo de costos fijos y variables para el sostenimiento del ecosistema en su fase de tracción temprana (estimando un flujo transaccional de 1,000 cotizaciones B2B procesadas, depuradas y facturadas mensualmente):Categoría </w:t>
      </w:r>
      <w:proofErr w:type="spellStart"/>
      <w:r>
        <w:t>TecnológicaHerramienta</w:t>
      </w:r>
      <w:proofErr w:type="spellEnd"/>
      <w:r>
        <w:t xml:space="preserve"> / Estrategia </w:t>
      </w:r>
      <w:proofErr w:type="spellStart"/>
      <w:r>
        <w:t>RecomendadaDescripción</w:t>
      </w:r>
      <w:proofErr w:type="spellEnd"/>
      <w:r>
        <w:t xml:space="preserve"> de Arquitectura y Costo </w:t>
      </w:r>
      <w:proofErr w:type="spellStart"/>
      <w:r>
        <w:t>RelativoPresupuesto</w:t>
      </w:r>
      <w:proofErr w:type="spellEnd"/>
      <w:r>
        <w:t xml:space="preserve"> Mensual Estimado (USD)Modelos Fundacionales (</w:t>
      </w:r>
      <w:proofErr w:type="spellStart"/>
      <w:r>
        <w:t>LLMs</w:t>
      </w:r>
      <w:proofErr w:type="spellEnd"/>
      <w:r>
        <w:t>)</w:t>
      </w:r>
      <w:proofErr w:type="spellStart"/>
      <w:r>
        <w:t>Anthropic</w:t>
      </w:r>
      <w:proofErr w:type="spellEnd"/>
      <w:r>
        <w:t xml:space="preserve"> (Claude 3.5 Sonnet) / </w:t>
      </w:r>
      <w:proofErr w:type="spellStart"/>
      <w:r>
        <w:t>OpenAI</w:t>
      </w:r>
      <w:proofErr w:type="spellEnd"/>
      <w:r>
        <w:t xml:space="preserve"> (GPT-4o)Los costos se basan en el conteo iterativo de "tokens" procesados. Para sistemas deterministas de </w:t>
      </w:r>
      <w:proofErr w:type="spellStart"/>
      <w:r>
        <w:t>LangGraph</w:t>
      </w:r>
      <w:proofErr w:type="spellEnd"/>
      <w:r>
        <w:t xml:space="preserve">, donde el volumen de iteración conversacional es bajo (~4.2 llamadas por flujo), Claude 3.5 Sonnet proporciona una inferencia </w:t>
      </w:r>
      <w:proofErr w:type="spellStart"/>
      <w:r>
        <w:t>ultra-rápida</w:t>
      </w:r>
      <w:proofErr w:type="spellEnd"/>
      <w:r>
        <w:t xml:space="preserve"> (aprox. $0.003 por mensaje procesado). GPT-4o actúa como reserva cognitiva de alto nivel para problemas matemáticos no estructurados.$25.00 -$ 60.00Servidores de Aplicaciones (VPS)</w:t>
      </w:r>
      <w:proofErr w:type="spellStart"/>
      <w:r>
        <w:t>Railway</w:t>
      </w:r>
      <w:proofErr w:type="spellEnd"/>
      <w:r>
        <w:t xml:space="preserve"> / </w:t>
      </w:r>
      <w:proofErr w:type="spellStart"/>
      <w:r>
        <w:t>DigitalOcean</w:t>
      </w:r>
      <w:proofErr w:type="spellEnd"/>
      <w:r>
        <w:t xml:space="preserve"> / </w:t>
      </w:r>
      <w:proofErr w:type="spellStart"/>
      <w:r>
        <w:t>DonwebEl</w:t>
      </w:r>
      <w:proofErr w:type="spellEnd"/>
      <w:r>
        <w:t xml:space="preserve"> hardware requerido para alojar contenedores Docker de la lógica Python (</w:t>
      </w:r>
      <w:proofErr w:type="spellStart"/>
      <w:r>
        <w:t>WeasyPrint</w:t>
      </w:r>
      <w:proofErr w:type="spellEnd"/>
      <w:r>
        <w:t xml:space="preserve">, </w:t>
      </w:r>
      <w:proofErr w:type="spellStart"/>
      <w:r>
        <w:t>LangGraph</w:t>
      </w:r>
      <w:proofErr w:type="spellEnd"/>
      <w:r>
        <w:t xml:space="preserve">) y el servidor WhatsApp. Un Servidor </w:t>
      </w:r>
      <w:r>
        <w:lastRenderedPageBreak/>
        <w:t xml:space="preserve">Privado Virtual (VPS) de rendimiento equilibrado provee resiliencia; se recomienda iniciar con nodos que cuestan entre 5 y 10 USD antes del hiper-escalamiento.$15.00 -$ 40.00Observabilidad y Rastreo de </w:t>
      </w:r>
      <w:proofErr w:type="spellStart"/>
      <w:r>
        <w:t>AgentesLangfuse</w:t>
      </w:r>
      <w:proofErr w:type="spellEnd"/>
      <w:r>
        <w:t xml:space="preserve"> (</w:t>
      </w:r>
      <w:proofErr w:type="spellStart"/>
      <w:r>
        <w:t>Autoalojado</w:t>
      </w:r>
      <w:proofErr w:type="spellEnd"/>
      <w:r>
        <w:t xml:space="preserve"> vía Docker)Es imperativo monitorear los fallos en </w:t>
      </w:r>
      <w:proofErr w:type="spellStart"/>
      <w:r>
        <w:t>LangGraph</w:t>
      </w:r>
      <w:proofErr w:type="spellEnd"/>
      <w:r>
        <w:t xml:space="preserve"> y </w:t>
      </w:r>
      <w:proofErr w:type="spellStart"/>
      <w:r>
        <w:t>CrewAI</w:t>
      </w:r>
      <w:proofErr w:type="spellEnd"/>
      <w:r>
        <w:t xml:space="preserve">. Alternativas licenciadas como </w:t>
      </w:r>
      <w:proofErr w:type="spellStart"/>
      <w:r>
        <w:t>LangSmith</w:t>
      </w:r>
      <w:proofErr w:type="spellEnd"/>
      <w:r>
        <w:t xml:space="preserve"> (desde $39/usuario) resultan costosas. </w:t>
      </w:r>
      <w:proofErr w:type="spellStart"/>
      <w:r>
        <w:t>Langfuse</w:t>
      </w:r>
      <w:proofErr w:type="spellEnd"/>
      <w:r>
        <w:t xml:space="preserve"> ofrece rastreo de código abierto avanzado mediante contenedores, consumiendo únicamente el costo base del servidor.$ 0.00 (Licencia de Software Abierta)Persistencia Transaccional (Bases de Datos)PostgreSQL Gestionada (</w:t>
      </w:r>
      <w:proofErr w:type="spellStart"/>
      <w:r>
        <w:t>DBaaS</w:t>
      </w:r>
      <w:proofErr w:type="spellEnd"/>
      <w:r>
        <w:t xml:space="preserve">)Es fundamental que las máquinas de estado de </w:t>
      </w:r>
      <w:proofErr w:type="spellStart"/>
      <w:r>
        <w:t>LangGraph</w:t>
      </w:r>
      <w:proofErr w:type="spellEnd"/>
      <w:r>
        <w:t xml:space="preserve"> posean un "</w:t>
      </w:r>
      <w:proofErr w:type="spellStart"/>
      <w:r>
        <w:t>checkpointer</w:t>
      </w:r>
      <w:proofErr w:type="spellEnd"/>
      <w:r>
        <w:t xml:space="preserve">" relacional robusto como </w:t>
      </w:r>
      <w:proofErr w:type="spellStart"/>
      <w:r>
        <w:t>Postgres</w:t>
      </w:r>
      <w:proofErr w:type="spellEnd"/>
      <w:r>
        <w:t>. Asegura que los agentes puedan retomar el contexto en caso de una falla del sistema sin pérdida de memoria.$15.00 -$ 25.00Canales de Mensajería (WhatsApp)</w:t>
      </w:r>
      <w:proofErr w:type="spellStart"/>
      <w:r>
        <w:t>Evolution</w:t>
      </w:r>
      <w:proofErr w:type="spellEnd"/>
      <w:r>
        <w:t xml:space="preserve"> API (Transición a Cloud API)El costo de mantener el contenedor de emulación </w:t>
      </w:r>
      <w:proofErr w:type="spellStart"/>
      <w:r>
        <w:t>Baileys</w:t>
      </w:r>
      <w:proofErr w:type="spellEnd"/>
      <w:r>
        <w:t xml:space="preserve"> en el VPS. Si se utilizan las 1,000 conversaciones de servicio gratuitas de la API de Meta, el costo inicial es cero; exceder ese límite incurre en tarifas por conversación impuestas por la matriz Meta.$0.00 -$ 25.00Suite Contable y Facturación </w:t>
      </w:r>
      <w:proofErr w:type="spellStart"/>
      <w:r>
        <w:t>DIANAlegra</w:t>
      </w:r>
      <w:proofErr w:type="spellEnd"/>
      <w:r>
        <w:t xml:space="preserve"> </w:t>
      </w:r>
      <w:proofErr w:type="spellStart"/>
      <w:r>
        <w:t>APISuscripción</w:t>
      </w:r>
      <w:proofErr w:type="spellEnd"/>
      <w:r>
        <w:t xml:space="preserve"> a la plataforma contable con derechos de acceso a </w:t>
      </w:r>
      <w:proofErr w:type="spellStart"/>
      <w:r>
        <w:t>endpoints</w:t>
      </w:r>
      <w:proofErr w:type="spellEnd"/>
      <w:r>
        <w:t xml:space="preserve"> API REST para automatizar el alta de clientes, la sincronización de facturación electrónica con el estándar UBL 2.1 y la generación de recibos XML y PDF para el adquirente.$40.00 -$ 80.00Obligaciones Tributarias y </w:t>
      </w:r>
      <w:proofErr w:type="spellStart"/>
      <w:r>
        <w:t>RetencionesRégimen</w:t>
      </w:r>
      <w:proofErr w:type="spellEnd"/>
      <w:r>
        <w:t xml:space="preserve"> Simple (RST) y Alcaldía de </w:t>
      </w:r>
      <w:proofErr w:type="spellStart"/>
      <w:r>
        <w:t>BarranquillaCosto</w:t>
      </w:r>
      <w:proofErr w:type="spellEnd"/>
      <w:r>
        <w:t xml:space="preserve"> Estructural Variable. Consolidación del impuesto unificado de renta, y los tributos de industria y comercio territorial (ICA). Tarifas aplicables del 1.2% al 14.5% de ingresos brutos anuales, sin carga transaccional de IVA del 19% por exención </w:t>
      </w:r>
      <w:proofErr w:type="spellStart"/>
      <w:r>
        <w:t>gubernamental.Porcentaje</w:t>
      </w:r>
      <w:proofErr w:type="spellEnd"/>
      <w:r>
        <w:t xml:space="preserve"> proporcional sobre los ingresos </w:t>
      </w:r>
      <w:proofErr w:type="spellStart"/>
      <w:r>
        <w:t>generados.Costo</w:t>
      </w:r>
      <w:proofErr w:type="spellEnd"/>
      <w:r>
        <w:t xml:space="preserve"> Total Operativo Estimado (TCO)Infraestructura Core </w:t>
      </w:r>
      <w:proofErr w:type="spellStart"/>
      <w:r>
        <w:t>MensualEste</w:t>
      </w:r>
      <w:proofErr w:type="spellEnd"/>
      <w:r>
        <w:t xml:space="preserve"> desembolso permite sostener un ecosistema de agentes que equivaldría al trabajo simultáneo de un diseñador CAD, un analista de ventas y un auxiliar contable humano.$95.00 -$ 230.00Conclusiones sobre la Operatividad Autónoma de Costo360La concepción teórica y técnica de Costo360 no solo se alinea con la vanguardia de la ingeniería de software aplicada, sino que reconfigura drásticamente los modelos económicos de penetración de mercado en el sector latinoamericano de la construcción y marmolería. La viabilidad de una corporación operada al cien por ciento por inteligencia artificial depende de tres pilares arquitectónicos que deben interactuar sin fricción: el control estricto de los flujos del sistema subyacente, la optimización intensiva de los canales de comunicación y el cumplimiento incuestionable del ecosistema jurídico del país de </w:t>
      </w:r>
      <w:proofErr w:type="spellStart"/>
      <w:r>
        <w:t>operación.Desde</w:t>
      </w:r>
      <w:proofErr w:type="spellEnd"/>
      <w:r>
        <w:t xml:space="preserve"> la vertiente arquitectónica, la amalgama de un diseño </w:t>
      </w:r>
      <w:proofErr w:type="spellStart"/>
      <w:r>
        <w:t>multi-agente</w:t>
      </w:r>
      <w:proofErr w:type="spellEnd"/>
      <w:r>
        <w:t xml:space="preserve"> híbrido ofrece la resiliencia obligatoria para software de misión crítica corporativa. La elección de delegar el enrutamiento transaccional, el estado global y las recuperaciones de fallo al determinismo algorítmico de </w:t>
      </w:r>
      <w:proofErr w:type="spellStart"/>
      <w:r>
        <w:t>LangGraph</w:t>
      </w:r>
      <w:proofErr w:type="spellEnd"/>
      <w:r>
        <w:t xml:space="preserve"> mitiga las deficiencias impredecibles inherentes a los modelos conversacionales que caracterizan al "Agente Dios" monolítico, asegurando altas tasas de recuperación y eficiencia computacional. Al mismo tiempo, la inserción de las jerarquías de trabajo especializadas (marketing, prospección activa y ventas en frío a arquitectos) diseñadas bajo </w:t>
      </w:r>
      <w:proofErr w:type="spellStart"/>
      <w:r>
        <w:t>CrewAI</w:t>
      </w:r>
      <w:proofErr w:type="spellEnd"/>
      <w:r>
        <w:t xml:space="preserve"> provee a la compañía de capacidades generativas con baja latencia en diseño y despliegue rápido, modelando de manera fidedigna los esquemas de transferencia de contexto corporativo </w:t>
      </w:r>
      <w:proofErr w:type="spellStart"/>
      <w:r>
        <w:t>humano.A</w:t>
      </w:r>
      <w:proofErr w:type="spellEnd"/>
      <w:r>
        <w:t xml:space="preserve"> nivel del núcleo funcional del producto (el Agente de Producto Específico), la plataforma sustituye herramientas tradicionales engorrosas dependientes del trabajo manual. Al integrar matemática estadística pura en forma de modelos de aprendizaje no supervisado (K-Means </w:t>
      </w:r>
      <w:proofErr w:type="spellStart"/>
      <w:r>
        <w:t>Clustering</w:t>
      </w:r>
      <w:proofErr w:type="spellEnd"/>
      <w:r>
        <w:t xml:space="preserve"> y su subsecuente paso de blanqueamiento de datos espaciales), la empresa automatiza la extracción forense de colores corporativos. La combinación sinérgica con algoritmos perceptuales obligatorios definidos en el estándar WCAG 2.1 —mediante la conversión </w:t>
      </w:r>
      <w:proofErr w:type="spellStart"/>
      <w:r>
        <w:t>sRGB</w:t>
      </w:r>
      <w:proofErr w:type="spellEnd"/>
      <w:r>
        <w:t xml:space="preserve"> a RGB Lineal para la estipulación </w:t>
      </w:r>
      <w:proofErr w:type="gramStart"/>
      <w:r>
        <w:t>del ratio</w:t>
      </w:r>
      <w:proofErr w:type="gramEnd"/>
      <w:r>
        <w:t xml:space="preserve"> de luminancia— asegura que los reportes autogenerados sean infaliblemente legibles y accesibles. Estos reportes, construidos a través del motor de impresión fotográfica de alta escalabilidad </w:t>
      </w:r>
      <w:proofErr w:type="spellStart"/>
      <w:r>
        <w:t>WeasyPrint</w:t>
      </w:r>
      <w:proofErr w:type="spellEnd"/>
      <w:r>
        <w:t xml:space="preserve"> de Python, erradican la necesidad de intermediación de un diseñador de interfaces humano y de editores </w:t>
      </w:r>
      <w:proofErr w:type="spellStart"/>
      <w:r>
        <w:t>engorrosos.Finalmente</w:t>
      </w:r>
      <w:proofErr w:type="spellEnd"/>
      <w:r>
        <w:t xml:space="preserve">, la integración ininterrumpida de estas tuberías tecnológicas en el marco normativo de la ciudad de Barranquilla (integración transparente con la Dirección de Impuestos y Aduanas Nacionales y la Secretaría de Hacienda distrital a través de la API de Alegra y el marco legal unificado del Régimen Simple de Tributación) otorga una infraestructura de facturación automatizada que, debido a la catalogación rigurosa de Costo360 como proveedor de computación en la nube (Cloud Computing), elude el recargo oneroso del 19% del IVA. Esto confiere una estructura de costos operativa altamente disruptiva, anclada en consumos de nube variables con desembolsos mínimos por parte de la empresa (inferiores a los 230 USD mensuales para 1,000 interacciones comerciales). Las reducciones sistemáticas en la barrera de tiempo para la generación de diseño estructural y la escalabilidad teóricamente infinita de la capacidad concurrente de las </w:t>
      </w:r>
      <w:proofErr w:type="spellStart"/>
      <w:r>
        <w:t>APIs</w:t>
      </w:r>
      <w:proofErr w:type="spellEnd"/>
      <w:r>
        <w:t xml:space="preserve"> posicionan a la empresa autónoma como un paradigma factible, disruptivo y profundamente resiliente frente a los modelos clásicos en la industria colombiana de insumos constructivos y pétreos.</w:t>
      </w:r>
    </w:p>
    <w:sectPr w:rsidR="0065763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8E0B" w14:textId="77777777" w:rsidR="00D629D5" w:rsidRDefault="00D629D5">
      <w:r>
        <w:separator/>
      </w:r>
    </w:p>
  </w:endnote>
  <w:endnote w:type="continuationSeparator" w:id="0">
    <w:p w14:paraId="29BADFD1" w14:textId="77777777" w:rsidR="00D629D5" w:rsidRDefault="00D62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03D4" w14:textId="77777777" w:rsidR="00F816F7" w:rsidRDefault="00000000">
    <w:pPr>
      <w:jc w:val="right"/>
    </w:pPr>
    <w:r>
      <w:rPr>
        <w:rFonts w:ascii="Calibri" w:eastAsia="Calibri" w:hAnsi="Calibri" w:cs="Calibri"/>
        <w:color w:val="64748B"/>
        <w:sz w:val="18"/>
        <w:szCs w:val="18"/>
      </w:rPr>
      <w:t xml:space="preserve">Costo360 S.A.S. - Investigación de Agentes IA  |  Página </w:t>
    </w:r>
    <w:r>
      <w:rPr>
        <w:rFonts w:ascii="Calibri" w:eastAsia="Calibri" w:hAnsi="Calibri" w:cs="Calibri"/>
        <w:color w:val="64748B"/>
        <w:sz w:val="18"/>
        <w:szCs w:val="18"/>
      </w:rPr>
      <w:fldChar w:fldCharType="begin"/>
    </w:r>
    <w:r>
      <w:rPr>
        <w:rFonts w:ascii="Calibri" w:eastAsia="Calibri" w:hAnsi="Calibri" w:cs="Calibri"/>
        <w:color w:val="64748B"/>
        <w:sz w:val="18"/>
        <w:szCs w:val="18"/>
      </w:rPr>
      <w:instrText>PAGE</w:instrText>
    </w:r>
    <w:r>
      <w:rPr>
        <w:rFonts w:ascii="Calibri" w:eastAsia="Calibri" w:hAnsi="Calibri" w:cs="Calibri"/>
        <w:color w:val="64748B"/>
        <w:sz w:val="18"/>
        <w:szCs w:val="18"/>
      </w:rPr>
      <w:fldChar w:fldCharType="separate"/>
    </w:r>
    <w:r w:rsidR="00657635">
      <w:rPr>
        <w:rFonts w:ascii="Calibri" w:eastAsia="Calibri" w:hAnsi="Calibri" w:cs="Calibri"/>
        <w:noProof/>
        <w:color w:val="64748B"/>
        <w:sz w:val="18"/>
        <w:szCs w:val="18"/>
      </w:rPr>
      <w:t>1</w:t>
    </w:r>
    <w:r>
      <w:rPr>
        <w:rFonts w:ascii="Calibri" w:eastAsia="Calibri" w:hAnsi="Calibri" w:cs="Calibri"/>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3724B" w14:textId="77777777" w:rsidR="00D629D5" w:rsidRDefault="00D629D5">
      <w:r>
        <w:separator/>
      </w:r>
    </w:p>
  </w:footnote>
  <w:footnote w:type="continuationSeparator" w:id="0">
    <w:p w14:paraId="31180E36" w14:textId="77777777" w:rsidR="00D629D5" w:rsidRDefault="00D629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170DC"/>
    <w:multiLevelType w:val="hybridMultilevel"/>
    <w:tmpl w:val="360CC730"/>
    <w:lvl w:ilvl="0" w:tplc="38488F86">
      <w:start w:val="1"/>
      <w:numFmt w:val="bullet"/>
      <w:lvlText w:val="●"/>
      <w:lvlJc w:val="left"/>
      <w:pPr>
        <w:ind w:left="720" w:hanging="360"/>
      </w:pPr>
    </w:lvl>
    <w:lvl w:ilvl="1" w:tplc="8EC6AFA6">
      <w:start w:val="1"/>
      <w:numFmt w:val="bullet"/>
      <w:lvlText w:val="○"/>
      <w:lvlJc w:val="left"/>
      <w:pPr>
        <w:ind w:left="1440" w:hanging="360"/>
      </w:pPr>
    </w:lvl>
    <w:lvl w:ilvl="2" w:tplc="E0802F10">
      <w:start w:val="1"/>
      <w:numFmt w:val="bullet"/>
      <w:lvlText w:val="■"/>
      <w:lvlJc w:val="left"/>
      <w:pPr>
        <w:ind w:left="2160" w:hanging="360"/>
      </w:pPr>
    </w:lvl>
    <w:lvl w:ilvl="3" w:tplc="FB8AA330">
      <w:start w:val="1"/>
      <w:numFmt w:val="bullet"/>
      <w:lvlText w:val="●"/>
      <w:lvlJc w:val="left"/>
      <w:pPr>
        <w:ind w:left="2880" w:hanging="360"/>
      </w:pPr>
    </w:lvl>
    <w:lvl w:ilvl="4" w:tplc="DCDC985A">
      <w:start w:val="1"/>
      <w:numFmt w:val="bullet"/>
      <w:lvlText w:val="○"/>
      <w:lvlJc w:val="left"/>
      <w:pPr>
        <w:ind w:left="3600" w:hanging="360"/>
      </w:pPr>
    </w:lvl>
    <w:lvl w:ilvl="5" w:tplc="3800C088">
      <w:start w:val="1"/>
      <w:numFmt w:val="bullet"/>
      <w:lvlText w:val="■"/>
      <w:lvlJc w:val="left"/>
      <w:pPr>
        <w:ind w:left="4320" w:hanging="360"/>
      </w:pPr>
    </w:lvl>
    <w:lvl w:ilvl="6" w:tplc="B300809A">
      <w:start w:val="1"/>
      <w:numFmt w:val="bullet"/>
      <w:lvlText w:val="●"/>
      <w:lvlJc w:val="left"/>
      <w:pPr>
        <w:ind w:left="5040" w:hanging="360"/>
      </w:pPr>
    </w:lvl>
    <w:lvl w:ilvl="7" w:tplc="00C4A160">
      <w:start w:val="1"/>
      <w:numFmt w:val="bullet"/>
      <w:lvlText w:val="●"/>
      <w:lvlJc w:val="left"/>
      <w:pPr>
        <w:ind w:left="5760" w:hanging="360"/>
      </w:pPr>
    </w:lvl>
    <w:lvl w:ilvl="8" w:tplc="60667DE8">
      <w:start w:val="1"/>
      <w:numFmt w:val="bullet"/>
      <w:lvlText w:val="●"/>
      <w:lvlJc w:val="left"/>
      <w:pPr>
        <w:ind w:left="6480" w:hanging="360"/>
      </w:pPr>
    </w:lvl>
  </w:abstractNum>
  <w:num w:numId="1" w16cid:durableId="1235505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6F7"/>
    <w:rsid w:val="004C30C0"/>
    <w:rsid w:val="00657635"/>
    <w:rsid w:val="00D629D5"/>
    <w:rsid w:val="00F816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BA461"/>
  <w15:docId w15:val="{97194C9C-C900-4710-83F5-2AD0B112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rFonts w:ascii="Calibri" w:eastAsia="Calibri" w:hAnsi="Calibri" w:cs="Calibri"/>
      <w:b/>
      <w:bCs/>
      <w:color w:val="0F172A"/>
      <w:sz w:val="32"/>
      <w:szCs w:val="32"/>
    </w:rPr>
  </w:style>
  <w:style w:type="paragraph" w:styleId="Ttulo2">
    <w:name w:val="heading 2"/>
    <w:uiPriority w:val="9"/>
    <w:unhideWhenUsed/>
    <w:qFormat/>
    <w:pPr>
      <w:spacing w:before="180" w:after="80"/>
      <w:outlineLvl w:val="1"/>
    </w:pPr>
    <w:rPr>
      <w:rFonts w:ascii="Calibri" w:eastAsia="Calibri" w:hAnsi="Calibri" w:cs="Calibri"/>
      <w:b/>
      <w:bCs/>
      <w:color w:val="0284C7"/>
      <w:sz w:val="24"/>
      <w:szCs w:val="24"/>
    </w:rPr>
  </w:style>
  <w:style w:type="paragraph" w:styleId="Ttulo3">
    <w:name w:val="heading 3"/>
    <w:uiPriority w:val="9"/>
    <w:semiHidden/>
    <w:unhideWhenUsed/>
    <w:qFormat/>
    <w:pPr>
      <w:spacing w:before="120" w:after="60"/>
      <w:outlineLvl w:val="2"/>
    </w:pPr>
    <w:rPr>
      <w:rFonts w:ascii="Calibri" w:eastAsia="Calibri" w:hAnsi="Calibri" w:cs="Calibri"/>
      <w:b/>
      <w:bCs/>
      <w:color w:val="0F172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7375</Words>
  <Characters>40565</Characters>
  <Application>Microsoft Office Word</Application>
  <DocSecurity>0</DocSecurity>
  <Lines>338</Lines>
  <Paragraphs>95</Paragraphs>
  <ScaleCrop>false</ScaleCrop>
  <Company/>
  <LinksUpToDate>false</LinksUpToDate>
  <CharactersWithSpaces>47845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Collante</cp:lastModifiedBy>
  <cp:revision>2</cp:revision>
  <dcterms:created xsi:type="dcterms:W3CDTF">2026-08-16T02:16:00Z</dcterms:created>
  <dcterms:modified xsi:type="dcterms:W3CDTF">2026-08-16T02:18:00Z</dcterms:modified>
</cp:coreProperties>
</file>