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C6C44" w:rsidRDefault="00000000">
      <w:pPr>
        <w:pStyle w:val="Heading1"/>
        <w:keepNext w:val="0"/>
        <w:keepLines w:val="0"/>
        <w:spacing w:before="0" w:after="340"/>
        <w:jc w:val="center"/>
      </w:pPr>
      <w:bookmarkStart w:id="0" w:name="_zcnqi316zlxe" w:colFirst="0" w:colLast="0"/>
      <w:bookmarkEnd w:id="0"/>
      <w:r>
        <w:t>μInference: From Minimal Stack to SL5 Weight Enclave</w:t>
      </w:r>
    </w:p>
    <w:p w14:paraId="00000002" w14:textId="77777777" w:rsidR="007C6C44" w:rsidRDefault="00000000">
      <w:pPr>
        <w:pStyle w:val="Heading3"/>
        <w:keepNext w:val="0"/>
        <w:keepLines w:val="0"/>
        <w:spacing w:before="0" w:after="340"/>
        <w:jc w:val="center"/>
      </w:pPr>
      <w:bookmarkStart w:id="1" w:name="_zc3zc1uu9zdu" w:colFirst="0" w:colLast="0"/>
      <w:bookmarkEnd w:id="1"/>
      <w:r>
        <w:t>Samruddhi Rahate, Vansh Agrawal, Godric Aceves, Luis Cosio</w:t>
      </w:r>
    </w:p>
    <w:p w14:paraId="00000003" w14:textId="77777777" w:rsidR="007C6C44" w:rsidRDefault="00000000">
      <w:pPr>
        <w:jc w:val="center"/>
      </w:pPr>
      <w:r>
        <w:t>rahatesamruddhi7@gmail.com, vansh_a@ph.iitr.ac.in, ricardo.godric@hotmail.com, luisalfonsocosioizcapa@gmail.com</w:t>
      </w:r>
    </w:p>
    <w:p w14:paraId="00000004" w14:textId="77777777" w:rsidR="007C6C44" w:rsidRDefault="007C6C44"/>
    <w:p w14:paraId="00000005" w14:textId="77777777" w:rsidR="007C6C44" w:rsidRDefault="00000000">
      <w:pPr>
        <w:pStyle w:val="Heading3"/>
        <w:keepNext w:val="0"/>
        <w:keepLines w:val="0"/>
        <w:spacing w:before="0" w:after="340"/>
      </w:pPr>
      <w:bookmarkStart w:id="2" w:name="_u31b2mn553y3" w:colFirst="0" w:colLast="0"/>
      <w:bookmarkEnd w:id="2"/>
      <w:r>
        <w:pict w14:anchorId="38F268D1">
          <v:rect id="_x0000_i1025" style="width:0;height:1.5pt" o:hralign="center" o:hrstd="t" o:hr="t" fillcolor="#a0a0a0" stroked="f"/>
        </w:pict>
      </w:r>
    </w:p>
    <w:p w14:paraId="00000006" w14:textId="77777777" w:rsidR="007C6C44" w:rsidRDefault="00000000">
      <w:pPr>
        <w:pStyle w:val="Heading2"/>
        <w:keepNext w:val="0"/>
        <w:keepLines w:val="0"/>
        <w:spacing w:before="0" w:after="340"/>
        <w:rPr>
          <w:b/>
          <w:bCs/>
        </w:rPr>
      </w:pPr>
      <w:bookmarkStart w:id="3" w:name="_b56s5otcmqsk" w:colFirst="0" w:colLast="0"/>
      <w:bookmarkEnd w:id="3"/>
      <w:r>
        <w:rPr>
          <w:b/>
          <w:bCs/>
        </w:rPr>
        <w:t>Abstract</w:t>
      </w:r>
    </w:p>
    <w:p w14:paraId="00000007" w14:textId="77777777" w:rsidR="007C6C44" w:rsidRDefault="00000000">
      <w:pPr>
        <w:spacing w:after="500"/>
        <w:rPr>
          <w:color w:val="151515"/>
          <w:sz w:val="24"/>
          <w:szCs w:val="24"/>
        </w:rPr>
      </w:pPr>
      <w:r>
        <w:rPr>
          <w:color w:val="151515"/>
          <w:sz w:val="24"/>
          <w:szCs w:val="24"/>
        </w:rPr>
        <w:t>This project investigates whether frontier‑class AI inference can be run on a radically minimized software stack that approaches Security Level 5 (SL5) standards for protecting model weights against nation‑state adversaries. We began with μInference v0, a “security by simplification” experiment that asked how much of the conventional ML stack—kernels, libraries, orchestration—can be removed while still performing useful inference. As the SL5 Standard and SL5 Novel Recommendations were drafted, with explicit requirements for Weight Enclaves, low‑bandwidth boundaries, and accelerator‑centric machine security, we evolved the project into a more complete Weight Enclave prototype rather than pure minimization. The current design uses a formally verified Buildroot Linux and BusyBox virtualization to host a Buildroot Linux VM that runs μInference with PyTorch/Transformers (Python) and llama.cpp on an NVIDIA GPU, with bandwidth‑limited egress and strict allow‑by‑exception execution around weight access. We compare attack surface (LOC, dependencies, services) and simple security tests against a baseline GPU inference stack and discuss limitations, especially the need to run a full Linux VM for GPU access and the roadmap toward native GPU support and more Python‑ and verification‑heavy components.</w:t>
      </w:r>
    </w:p>
    <w:p w14:paraId="00000008" w14:textId="77777777" w:rsidR="007C6C44" w:rsidRDefault="00000000">
      <w:pPr>
        <w:pStyle w:val="Heading2"/>
        <w:spacing w:after="500"/>
        <w:rPr>
          <w:b/>
          <w:bCs/>
        </w:rPr>
      </w:pPr>
      <w:bookmarkStart w:id="4" w:name="_s0wigp4b3wri" w:colFirst="0" w:colLast="0"/>
      <w:bookmarkEnd w:id="4"/>
      <w:r>
        <w:rPr>
          <w:b/>
          <w:bCs/>
        </w:rPr>
        <w:t>Introduction and Statement of the Problem</w:t>
      </w:r>
    </w:p>
    <w:p w14:paraId="00000009" w14:textId="77777777" w:rsidR="007C6C44" w:rsidRDefault="00000000">
      <w:pPr>
        <w:spacing w:after="500"/>
        <w:rPr>
          <w:color w:val="151515"/>
          <w:sz w:val="24"/>
          <w:szCs w:val="24"/>
        </w:rPr>
      </w:pPr>
      <w:r>
        <w:rPr>
          <w:color w:val="151515"/>
          <w:sz w:val="24"/>
          <w:szCs w:val="24"/>
        </w:rPr>
        <w:t xml:space="preserve">Security Level 5 (SL5) is defined as a posture that can plausibly withstand the top‑priority operations of the world’s most cyber‑capable institutions—actors with decades of investment, supply‑chain reach, and deep offensive capabilities. </w:t>
      </w:r>
    </w:p>
    <w:p w14:paraId="0000000A" w14:textId="10C50E90" w:rsidR="007C6C44" w:rsidRDefault="00000000">
      <w:pPr>
        <w:spacing w:after="500"/>
        <w:rPr>
          <w:color w:val="151515"/>
          <w:sz w:val="24"/>
          <w:szCs w:val="24"/>
        </w:rPr>
      </w:pPr>
      <w:r>
        <w:rPr>
          <w:color w:val="151515"/>
          <w:sz w:val="24"/>
          <w:szCs w:val="24"/>
        </w:rPr>
        <w:lastRenderedPageBreak/>
        <w:t>The primary targets are frontier AI systems whose stolen weights could enable automated AI R&amp;D or otherwise destabilize geopolitical balance. Protecting these assets requires not only strong perimeter defenses but also a radically reduced and auditable trusted computing base (TCB) around model weights.</w:t>
      </w:r>
    </w:p>
    <w:p w14:paraId="0000000B" w14:textId="77777777" w:rsidR="007C6C44" w:rsidRDefault="00000000">
      <w:pPr>
        <w:spacing w:after="500"/>
        <w:rPr>
          <w:color w:val="151515"/>
          <w:sz w:val="24"/>
          <w:szCs w:val="24"/>
        </w:rPr>
      </w:pPr>
      <w:r>
        <w:rPr>
          <w:color w:val="151515"/>
          <w:sz w:val="24"/>
          <w:szCs w:val="24"/>
        </w:rPr>
        <w:t xml:space="preserve">μInference began with a narrow question: What is the smallest software stack that can perform useful AI inference while plausibly reducing SL5‑class risk? The midterm version focused on extreme minimization—microkernels, unikernels, and near bare‑metal paths—with instrumentation to measure compiled LOC and reachable dependencies rather than raw repo size. </w:t>
      </w:r>
    </w:p>
    <w:p w14:paraId="0000000C" w14:textId="34D88577" w:rsidR="007C6C44" w:rsidRDefault="00000000">
      <w:pPr>
        <w:spacing w:after="500"/>
        <w:rPr>
          <w:color w:val="151515"/>
          <w:sz w:val="24"/>
          <w:szCs w:val="24"/>
        </w:rPr>
      </w:pPr>
      <w:r>
        <w:rPr>
          <w:color w:val="151515"/>
          <w:sz w:val="24"/>
          <w:szCs w:val="24"/>
        </w:rPr>
        <w:t xml:space="preserve">During the project, the SL5 concept was more detailed by several parties, and now it </w:t>
      </w:r>
      <w:r w:rsidR="00477D01">
        <w:rPr>
          <w:color w:val="151515"/>
          <w:sz w:val="24"/>
          <w:szCs w:val="24"/>
        </w:rPr>
        <w:t>emphasizes</w:t>
      </w:r>
      <w:r>
        <w:rPr>
          <w:color w:val="151515"/>
          <w:sz w:val="24"/>
          <w:szCs w:val="24"/>
        </w:rPr>
        <w:t>: (a) Weight Enclaves inside an air‑gapped SL5 Network, with minimal software and strict allow‑by‑exception execution; and (b) radical reduction and hardening of software stacks near weight access, up to and including rewriting or formally verifying critical components. Our problem statement therefore expanded from “minimize the stack” to “implement a concrete, SL5‑aligned Weight Enclave for inference, using μInference as its core runtime.”</w:t>
      </w:r>
    </w:p>
    <w:p w14:paraId="0000000D" w14:textId="77777777" w:rsidR="007C6C44" w:rsidRDefault="00000000">
      <w:pPr>
        <w:pStyle w:val="Heading2"/>
        <w:keepNext w:val="0"/>
        <w:keepLines w:val="0"/>
        <w:spacing w:before="0" w:after="340"/>
        <w:rPr>
          <w:b/>
          <w:bCs/>
        </w:rPr>
      </w:pPr>
      <w:bookmarkStart w:id="5" w:name="_hbzcff1ozl22" w:colFirst="0" w:colLast="0"/>
      <w:bookmarkEnd w:id="5"/>
      <w:r>
        <w:rPr>
          <w:b/>
          <w:bCs/>
        </w:rPr>
        <w:t>Methodology</w:t>
      </w:r>
    </w:p>
    <w:p w14:paraId="0000000E" w14:textId="77777777" w:rsidR="007C6C44" w:rsidRDefault="00000000">
      <w:pPr>
        <w:spacing w:before="240" w:after="240"/>
        <w:rPr>
          <w:color w:val="151515"/>
          <w:sz w:val="24"/>
          <w:szCs w:val="24"/>
        </w:rPr>
      </w:pPr>
      <w:r>
        <w:rPr>
          <w:color w:val="151515"/>
          <w:sz w:val="24"/>
          <w:szCs w:val="24"/>
        </w:rPr>
        <w:t>We organized the project into three phases:</w:t>
      </w:r>
    </w:p>
    <w:p w14:paraId="0000000F" w14:textId="77777777" w:rsidR="007C6C44" w:rsidRDefault="00000000">
      <w:pPr>
        <w:pStyle w:val="Heading4"/>
        <w:keepNext w:val="0"/>
        <w:keepLines w:val="0"/>
        <w:spacing w:before="240" w:after="40"/>
        <w:rPr>
          <w:b/>
          <w:bCs/>
          <w:color w:val="151515"/>
          <w:sz w:val="22"/>
          <w:szCs w:val="22"/>
        </w:rPr>
      </w:pPr>
      <w:bookmarkStart w:id="6" w:name="_9rkgc6r744wr" w:colFirst="0" w:colLast="0"/>
      <w:bookmarkEnd w:id="6"/>
      <w:r>
        <w:rPr>
          <w:b/>
          <w:bCs/>
          <w:color w:val="151515"/>
          <w:sz w:val="22"/>
          <w:szCs w:val="22"/>
        </w:rPr>
        <w:t>Phase 1: μInference v0 – Radical Minimization</w:t>
      </w:r>
    </w:p>
    <w:p w14:paraId="00000010" w14:textId="77777777" w:rsidR="007C6C44" w:rsidRDefault="00000000">
      <w:pPr>
        <w:spacing w:before="240" w:after="240"/>
        <w:rPr>
          <w:color w:val="151515"/>
          <w:sz w:val="24"/>
          <w:szCs w:val="24"/>
        </w:rPr>
      </w:pPr>
      <w:r>
        <w:rPr>
          <w:color w:val="151515"/>
          <w:sz w:val="24"/>
          <w:szCs w:val="24"/>
        </w:rPr>
        <w:t>We prototyped three approaches: (1) microkernel isolation with a minimal guest; (2) unikernel designs; and (3) near bare‑metal boot‑to‑inference flows.</w:t>
      </w:r>
    </w:p>
    <w:p w14:paraId="00000011" w14:textId="77777777" w:rsidR="007C6C44" w:rsidRDefault="00000000">
      <w:pPr>
        <w:spacing w:before="240" w:after="240"/>
        <w:rPr>
          <w:color w:val="151515"/>
          <w:sz w:val="24"/>
          <w:szCs w:val="24"/>
        </w:rPr>
      </w:pPr>
      <w:r>
        <w:rPr>
          <w:color w:val="151515"/>
          <w:sz w:val="24"/>
          <w:szCs w:val="24"/>
        </w:rPr>
        <w:t>Each prototype followed the same methodology:</w:t>
      </w:r>
    </w:p>
    <w:p w14:paraId="00000012" w14:textId="77777777" w:rsidR="007C6C44" w:rsidRDefault="00000000">
      <w:pPr>
        <w:numPr>
          <w:ilvl w:val="0"/>
          <w:numId w:val="16"/>
        </w:numPr>
        <w:spacing w:before="240"/>
        <w:rPr>
          <w:color w:val="151515"/>
          <w:sz w:val="24"/>
          <w:szCs w:val="24"/>
        </w:rPr>
      </w:pPr>
      <w:r>
        <w:rPr>
          <w:color w:val="151515"/>
          <w:sz w:val="24"/>
          <w:szCs w:val="24"/>
        </w:rPr>
        <w:t xml:space="preserve">Measure </w:t>
      </w:r>
      <w:r>
        <w:rPr>
          <w:b/>
          <w:bCs/>
          <w:color w:val="151515"/>
          <w:sz w:val="24"/>
          <w:szCs w:val="24"/>
        </w:rPr>
        <w:t>compiled LOC</w:t>
      </w:r>
      <w:r>
        <w:rPr>
          <w:color w:val="151515"/>
          <w:sz w:val="24"/>
          <w:szCs w:val="24"/>
        </w:rPr>
        <w:t xml:space="preserve"> and reachable symbols, not just cloned LOC.</w:t>
      </w:r>
      <w:r>
        <w:rPr>
          <w:color w:val="151515"/>
          <w:sz w:val="24"/>
          <w:szCs w:val="24"/>
        </w:rPr>
        <w:br/>
      </w:r>
    </w:p>
    <w:p w14:paraId="00000013" w14:textId="77777777" w:rsidR="007C6C44" w:rsidRDefault="00000000">
      <w:pPr>
        <w:numPr>
          <w:ilvl w:val="0"/>
          <w:numId w:val="16"/>
        </w:numPr>
        <w:rPr>
          <w:color w:val="151515"/>
          <w:sz w:val="24"/>
          <w:szCs w:val="24"/>
        </w:rPr>
      </w:pPr>
      <w:r>
        <w:rPr>
          <w:color w:val="151515"/>
          <w:sz w:val="24"/>
          <w:szCs w:val="24"/>
        </w:rPr>
        <w:t xml:space="preserve">Generate a </w:t>
      </w:r>
      <w:r>
        <w:rPr>
          <w:b/>
          <w:bCs/>
          <w:color w:val="151515"/>
          <w:sz w:val="24"/>
          <w:szCs w:val="24"/>
        </w:rPr>
        <w:t>dependency BOM</w:t>
      </w:r>
      <w:r>
        <w:rPr>
          <w:color w:val="151515"/>
          <w:sz w:val="24"/>
          <w:szCs w:val="24"/>
        </w:rPr>
        <w:t xml:space="preserve"> (drivers, libraries, kernel features) tagged by proximity to weight access.</w:t>
      </w:r>
      <w:r>
        <w:rPr>
          <w:color w:val="151515"/>
          <w:sz w:val="24"/>
          <w:szCs w:val="24"/>
        </w:rPr>
        <w:br/>
      </w:r>
    </w:p>
    <w:p w14:paraId="00000014" w14:textId="77777777" w:rsidR="007C6C44" w:rsidRDefault="00000000">
      <w:pPr>
        <w:numPr>
          <w:ilvl w:val="0"/>
          <w:numId w:val="16"/>
        </w:numPr>
        <w:rPr>
          <w:color w:val="151515"/>
          <w:sz w:val="24"/>
          <w:szCs w:val="24"/>
        </w:rPr>
      </w:pPr>
      <w:r>
        <w:rPr>
          <w:color w:val="151515"/>
          <w:sz w:val="24"/>
          <w:szCs w:val="24"/>
        </w:rPr>
        <w:t>Remove or disable subsystems not required for simple inference, such as container runtimes, orchestration, extra filesystems, and unused networking features.</w:t>
      </w:r>
      <w:r>
        <w:rPr>
          <w:color w:val="151515"/>
          <w:sz w:val="24"/>
          <w:szCs w:val="24"/>
        </w:rPr>
        <w:br/>
      </w:r>
    </w:p>
    <w:p w14:paraId="00000015" w14:textId="77777777" w:rsidR="007C6C44" w:rsidRDefault="00000000">
      <w:pPr>
        <w:numPr>
          <w:ilvl w:val="0"/>
          <w:numId w:val="16"/>
        </w:numPr>
        <w:spacing w:after="240"/>
        <w:rPr>
          <w:color w:val="151515"/>
          <w:sz w:val="24"/>
          <w:szCs w:val="24"/>
        </w:rPr>
      </w:pPr>
      <w:r>
        <w:rPr>
          <w:color w:val="151515"/>
          <w:sz w:val="24"/>
          <w:szCs w:val="24"/>
        </w:rPr>
        <w:lastRenderedPageBreak/>
        <w:t>Track basic performance metrics (latency/throughput) to ensure inference remained usable.</w:t>
      </w:r>
      <w:r>
        <w:rPr>
          <w:color w:val="151515"/>
          <w:sz w:val="24"/>
          <w:szCs w:val="24"/>
        </w:rPr>
        <w:br/>
      </w:r>
    </w:p>
    <w:p w14:paraId="00000016" w14:textId="77777777" w:rsidR="007C6C44" w:rsidRDefault="00000000">
      <w:pPr>
        <w:spacing w:before="240" w:after="240"/>
        <w:rPr>
          <w:color w:val="151515"/>
          <w:sz w:val="24"/>
          <w:szCs w:val="24"/>
        </w:rPr>
      </w:pPr>
      <w:r>
        <w:rPr>
          <w:color w:val="151515"/>
          <w:sz w:val="24"/>
          <w:szCs w:val="24"/>
        </w:rPr>
        <w:t>This established that substantial code and infrastructure can be removed without losing core functionality.</w:t>
      </w:r>
    </w:p>
    <w:p w14:paraId="00000017" w14:textId="77777777" w:rsidR="007C6C44" w:rsidRDefault="00000000">
      <w:pPr>
        <w:pStyle w:val="Heading4"/>
        <w:keepNext w:val="0"/>
        <w:keepLines w:val="0"/>
        <w:spacing w:before="240" w:after="40"/>
        <w:rPr>
          <w:b/>
          <w:bCs/>
          <w:color w:val="151515"/>
          <w:sz w:val="22"/>
          <w:szCs w:val="22"/>
        </w:rPr>
      </w:pPr>
      <w:bookmarkStart w:id="7" w:name="_z970lxpqwdvm" w:colFirst="0" w:colLast="0"/>
      <w:bookmarkEnd w:id="7"/>
      <w:r>
        <w:rPr>
          <w:b/>
          <w:bCs/>
          <w:color w:val="151515"/>
          <w:sz w:val="22"/>
          <w:szCs w:val="22"/>
        </w:rPr>
        <w:t>Phase 2: Aligning with the SL5 Standard</w:t>
      </w:r>
    </w:p>
    <w:p w14:paraId="00000018" w14:textId="77777777" w:rsidR="007C6C44" w:rsidRDefault="00000000">
      <w:pPr>
        <w:spacing w:before="240" w:after="240"/>
        <w:rPr>
          <w:color w:val="151515"/>
          <w:sz w:val="24"/>
          <w:szCs w:val="24"/>
        </w:rPr>
      </w:pPr>
      <w:r>
        <w:rPr>
          <w:color w:val="151515"/>
          <w:sz w:val="24"/>
          <w:szCs w:val="24"/>
        </w:rPr>
        <w:t>Once the SL5 as a concept was advanced, we re‑anchored μInference to explicit SL5 controls:</w:t>
      </w:r>
    </w:p>
    <w:p w14:paraId="00000019" w14:textId="77777777" w:rsidR="007C6C44" w:rsidRDefault="00000000">
      <w:pPr>
        <w:numPr>
          <w:ilvl w:val="0"/>
          <w:numId w:val="9"/>
        </w:numPr>
        <w:spacing w:before="240"/>
        <w:rPr>
          <w:color w:val="151515"/>
          <w:sz w:val="24"/>
          <w:szCs w:val="24"/>
        </w:rPr>
      </w:pPr>
      <w:r>
        <w:rPr>
          <w:b/>
          <w:bCs/>
          <w:color w:val="151515"/>
          <w:sz w:val="24"/>
          <w:szCs w:val="24"/>
        </w:rPr>
        <w:t>Weight Enclaves</w:t>
      </w:r>
      <w:r>
        <w:rPr>
          <w:color w:val="151515"/>
          <w:sz w:val="24"/>
          <w:szCs w:val="24"/>
        </w:rPr>
        <w:t>: isolate direct weight access within a single physical facility, on an air‑gapped network, with minimal software and allow‑by‑exception code execution.</w:t>
      </w:r>
      <w:r>
        <w:rPr>
          <w:color w:val="151515"/>
          <w:sz w:val="24"/>
          <w:szCs w:val="24"/>
        </w:rPr>
        <w:br/>
      </w:r>
    </w:p>
    <w:p w14:paraId="0000001A" w14:textId="77777777" w:rsidR="007C6C44" w:rsidRDefault="00000000">
      <w:pPr>
        <w:numPr>
          <w:ilvl w:val="0"/>
          <w:numId w:val="9"/>
        </w:numPr>
        <w:rPr>
          <w:color w:val="151515"/>
          <w:sz w:val="24"/>
          <w:szCs w:val="24"/>
        </w:rPr>
      </w:pPr>
      <w:r>
        <w:rPr>
          <w:b/>
          <w:bCs/>
          <w:color w:val="151515"/>
          <w:sz w:val="24"/>
          <w:szCs w:val="24"/>
        </w:rPr>
        <w:t>Network architecture</w:t>
      </w:r>
      <w:r>
        <w:rPr>
          <w:color w:val="151515"/>
          <w:sz w:val="24"/>
          <w:szCs w:val="24"/>
        </w:rPr>
        <w:t>: low‑bandwidth boundaries between Weight Enclaves and the broader SL5 Network, with physical and logical controls to make bulk weight exfiltration infeasible even if detection fails.</w:t>
      </w:r>
      <w:r>
        <w:rPr>
          <w:color w:val="151515"/>
          <w:sz w:val="24"/>
          <w:szCs w:val="24"/>
        </w:rPr>
        <w:br/>
      </w:r>
    </w:p>
    <w:p w14:paraId="0000001B" w14:textId="77777777" w:rsidR="007C6C44" w:rsidRDefault="00000000">
      <w:pPr>
        <w:numPr>
          <w:ilvl w:val="0"/>
          <w:numId w:val="9"/>
        </w:numPr>
        <w:rPr>
          <w:color w:val="151515"/>
          <w:sz w:val="24"/>
          <w:szCs w:val="24"/>
        </w:rPr>
      </w:pPr>
      <w:r>
        <w:rPr>
          <w:b/>
          <w:bCs/>
          <w:color w:val="151515"/>
          <w:sz w:val="24"/>
          <w:szCs w:val="24"/>
        </w:rPr>
        <w:t>Machine security</w:t>
      </w:r>
      <w:r>
        <w:rPr>
          <w:color w:val="151515"/>
          <w:sz w:val="24"/>
          <w:szCs w:val="24"/>
        </w:rPr>
        <w:t>: accelerators treated as independent security domains with device‑controlled memory isolation, hardware roots of trust, and encrypted interconnects.</w:t>
      </w:r>
      <w:r>
        <w:rPr>
          <w:color w:val="151515"/>
          <w:sz w:val="24"/>
          <w:szCs w:val="24"/>
        </w:rPr>
        <w:br/>
      </w:r>
    </w:p>
    <w:p w14:paraId="0000001C" w14:textId="77777777" w:rsidR="007C6C44" w:rsidRDefault="00000000">
      <w:pPr>
        <w:numPr>
          <w:ilvl w:val="0"/>
          <w:numId w:val="9"/>
        </w:numPr>
        <w:spacing w:after="240"/>
        <w:rPr>
          <w:color w:val="151515"/>
          <w:sz w:val="24"/>
          <w:szCs w:val="24"/>
        </w:rPr>
      </w:pPr>
      <w:r>
        <w:rPr>
          <w:b/>
          <w:bCs/>
          <w:color w:val="151515"/>
          <w:sz w:val="24"/>
          <w:szCs w:val="24"/>
        </w:rPr>
        <w:t>Supply‑chain and software minimization</w:t>
      </w:r>
      <w:r>
        <w:rPr>
          <w:color w:val="151515"/>
          <w:sz w:val="24"/>
          <w:szCs w:val="24"/>
        </w:rPr>
        <w:t>: radical reduction of the software stack near critical components and progressive hardening (prune, refactor, rewrite, formal verification) of security‑critical dependencies.</w:t>
      </w:r>
      <w:r>
        <w:rPr>
          <w:color w:val="151515"/>
          <w:sz w:val="24"/>
          <w:szCs w:val="24"/>
        </w:rPr>
        <w:br/>
        <w:t xml:space="preserve"> SL5 Novel Recommendations (Prel…</w:t>
      </w:r>
      <w:r>
        <w:rPr>
          <w:color w:val="151515"/>
          <w:sz w:val="24"/>
          <w:szCs w:val="24"/>
        </w:rPr>
        <w:br/>
      </w:r>
    </w:p>
    <w:p w14:paraId="0000001D" w14:textId="77777777" w:rsidR="007C6C44" w:rsidRDefault="00000000">
      <w:pPr>
        <w:spacing w:before="240" w:after="240"/>
        <w:rPr>
          <w:color w:val="151515"/>
          <w:sz w:val="24"/>
          <w:szCs w:val="24"/>
        </w:rPr>
      </w:pPr>
      <w:r>
        <w:rPr>
          <w:color w:val="151515"/>
          <w:sz w:val="24"/>
          <w:szCs w:val="24"/>
        </w:rPr>
        <w:t>We mapped our earlier prototypes onto this architecture and identified missing pieces (e.g., bandwidth‑limited egress, formal methods, accelerator‑centric isolation).</w:t>
      </w:r>
    </w:p>
    <w:p w14:paraId="0000001E" w14:textId="77777777" w:rsidR="007C6C44" w:rsidRDefault="00000000">
      <w:pPr>
        <w:pStyle w:val="Heading4"/>
        <w:keepNext w:val="0"/>
        <w:keepLines w:val="0"/>
        <w:spacing w:before="240" w:after="40"/>
        <w:rPr>
          <w:b/>
          <w:bCs/>
          <w:color w:val="151515"/>
          <w:sz w:val="22"/>
          <w:szCs w:val="22"/>
        </w:rPr>
      </w:pPr>
      <w:bookmarkStart w:id="8" w:name="_snaj58bjpyua" w:colFirst="0" w:colLast="0"/>
      <w:bookmarkEnd w:id="8"/>
      <w:r>
        <w:rPr>
          <w:b/>
          <w:bCs/>
          <w:color w:val="151515"/>
          <w:sz w:val="22"/>
          <w:szCs w:val="22"/>
        </w:rPr>
        <w:t>Phase 3: seL4‑Backed Weight Enclave with GPU Inference</w:t>
      </w:r>
    </w:p>
    <w:p w14:paraId="0000001F" w14:textId="0E7C7B2E" w:rsidR="007C6C44" w:rsidRDefault="00000000">
      <w:pPr>
        <w:spacing w:before="240" w:after="240"/>
        <w:rPr>
          <w:color w:val="151515"/>
          <w:sz w:val="24"/>
          <w:szCs w:val="24"/>
        </w:rPr>
      </w:pPr>
      <w:r>
        <w:rPr>
          <w:color w:val="151515"/>
          <w:sz w:val="24"/>
          <w:szCs w:val="24"/>
        </w:rPr>
        <w:t>To better align with SL5’s emphasis on strong isolation and formally grounded TCBs, we implemented the current prototype using:</w:t>
      </w:r>
    </w:p>
    <w:p w14:paraId="00000020" w14:textId="77777777" w:rsidR="007C6C44" w:rsidRDefault="00000000">
      <w:pPr>
        <w:numPr>
          <w:ilvl w:val="0"/>
          <w:numId w:val="15"/>
        </w:numPr>
        <w:spacing w:before="240"/>
        <w:rPr>
          <w:color w:val="151515"/>
          <w:sz w:val="24"/>
          <w:szCs w:val="24"/>
        </w:rPr>
      </w:pPr>
      <w:r>
        <w:rPr>
          <w:b/>
          <w:bCs/>
          <w:color w:val="151515"/>
          <w:sz w:val="24"/>
          <w:szCs w:val="24"/>
        </w:rPr>
        <w:t>Host / hypervisor:</w:t>
      </w:r>
      <w:r>
        <w:rPr>
          <w:color w:val="151515"/>
          <w:sz w:val="24"/>
          <w:szCs w:val="24"/>
        </w:rPr>
        <w:t xml:space="preserve"> seL4 + CAmkES, which is fully formally verified down to C code and machine model, providing a mathematically proven isolation boundary.</w:t>
      </w:r>
      <w:r>
        <w:rPr>
          <w:color w:val="151515"/>
          <w:sz w:val="24"/>
          <w:szCs w:val="24"/>
        </w:rPr>
        <w:br/>
      </w:r>
    </w:p>
    <w:p w14:paraId="00000021" w14:textId="77777777" w:rsidR="007C6C44" w:rsidRDefault="00000000">
      <w:pPr>
        <w:numPr>
          <w:ilvl w:val="0"/>
          <w:numId w:val="15"/>
        </w:numPr>
        <w:rPr>
          <w:color w:val="151515"/>
          <w:sz w:val="24"/>
          <w:szCs w:val="24"/>
        </w:rPr>
      </w:pPr>
      <w:r>
        <w:rPr>
          <w:b/>
          <w:bCs/>
          <w:color w:val="151515"/>
          <w:sz w:val="24"/>
          <w:szCs w:val="24"/>
        </w:rPr>
        <w:lastRenderedPageBreak/>
        <w:t>Guest:</w:t>
      </w:r>
      <w:r>
        <w:rPr>
          <w:color w:val="151515"/>
          <w:sz w:val="24"/>
          <w:szCs w:val="24"/>
        </w:rPr>
        <w:t xml:space="preserve"> a </w:t>
      </w:r>
      <w:r>
        <w:rPr>
          <w:b/>
          <w:bCs/>
          <w:color w:val="151515"/>
          <w:sz w:val="24"/>
          <w:szCs w:val="24"/>
        </w:rPr>
        <w:t>Buildroot Linux</w:t>
      </w:r>
      <w:r>
        <w:rPr>
          <w:color w:val="151515"/>
          <w:sz w:val="24"/>
          <w:szCs w:val="24"/>
        </w:rPr>
        <w:t xml:space="preserve"> VM, configured following the README process to produce a bzImage + rootfs.cpio with only the packages needed for networking, filesystems, and inference binaries (PyTorch/Transformers and llama.cpp).</w:t>
      </w:r>
      <w:r>
        <w:rPr>
          <w:color w:val="151515"/>
          <w:sz w:val="24"/>
          <w:szCs w:val="24"/>
        </w:rPr>
        <w:br/>
      </w:r>
    </w:p>
    <w:p w14:paraId="00000022" w14:textId="77777777" w:rsidR="007C6C44" w:rsidRDefault="00000000">
      <w:pPr>
        <w:numPr>
          <w:ilvl w:val="0"/>
          <w:numId w:val="15"/>
        </w:numPr>
        <w:rPr>
          <w:color w:val="151515"/>
          <w:sz w:val="24"/>
          <w:szCs w:val="24"/>
        </w:rPr>
      </w:pPr>
      <w:r>
        <w:rPr>
          <w:b/>
          <w:bCs/>
          <w:color w:val="151515"/>
          <w:sz w:val="24"/>
          <w:szCs w:val="24"/>
        </w:rPr>
        <w:t>Inference binaries:</w:t>
      </w:r>
      <w:r>
        <w:rPr>
          <w:b/>
          <w:bCs/>
          <w:color w:val="151515"/>
          <w:sz w:val="24"/>
          <w:szCs w:val="24"/>
        </w:rPr>
        <w:br/>
      </w:r>
    </w:p>
    <w:p w14:paraId="00000023" w14:textId="77777777" w:rsidR="007C6C44" w:rsidRDefault="00000000">
      <w:pPr>
        <w:numPr>
          <w:ilvl w:val="1"/>
          <w:numId w:val="15"/>
        </w:numPr>
        <w:rPr>
          <w:color w:val="151515"/>
          <w:sz w:val="24"/>
          <w:szCs w:val="24"/>
        </w:rPr>
      </w:pPr>
      <w:r>
        <w:rPr>
          <w:b/>
          <w:bCs/>
          <w:color w:val="151515"/>
          <w:sz w:val="24"/>
          <w:szCs w:val="24"/>
        </w:rPr>
        <w:t>base‑inf‑candle</w:t>
      </w:r>
      <w:r>
        <w:rPr>
          <w:color w:val="151515"/>
          <w:sz w:val="24"/>
          <w:szCs w:val="24"/>
        </w:rPr>
        <w:t xml:space="preserve"> (Python, PyTorch/Transformers framework) and</w:t>
      </w:r>
      <w:r>
        <w:rPr>
          <w:color w:val="151515"/>
          <w:sz w:val="24"/>
          <w:szCs w:val="24"/>
        </w:rPr>
        <w:br/>
      </w:r>
    </w:p>
    <w:p w14:paraId="00000024" w14:textId="77777777" w:rsidR="007C6C44" w:rsidRDefault="00000000">
      <w:pPr>
        <w:numPr>
          <w:ilvl w:val="1"/>
          <w:numId w:val="15"/>
        </w:numPr>
        <w:spacing w:after="240"/>
        <w:rPr>
          <w:color w:val="151515"/>
          <w:sz w:val="24"/>
          <w:szCs w:val="24"/>
        </w:rPr>
      </w:pPr>
      <w:r>
        <w:rPr>
          <w:b/>
          <w:bCs/>
          <w:color w:val="151515"/>
          <w:sz w:val="24"/>
          <w:szCs w:val="24"/>
        </w:rPr>
        <w:t>base‑inf‑llama</w:t>
      </w:r>
      <w:r>
        <w:rPr>
          <w:color w:val="151515"/>
          <w:sz w:val="24"/>
          <w:szCs w:val="24"/>
        </w:rPr>
        <w:t xml:space="preserve"> (llama.cpp)</w:t>
      </w:r>
      <w:r>
        <w:rPr>
          <w:color w:val="151515"/>
          <w:sz w:val="24"/>
          <w:szCs w:val="24"/>
        </w:rPr>
        <w:br/>
        <w:t xml:space="preserve"> compiled and integrated into the VM image as described in the VM inference README. PyTorch/Transformers gives us a path toward memory‑safe, Python‑first inference.</w:t>
      </w:r>
      <w:r>
        <w:rPr>
          <w:color w:val="151515"/>
          <w:sz w:val="24"/>
          <w:szCs w:val="24"/>
        </w:rPr>
        <w:br/>
      </w:r>
    </w:p>
    <w:p w14:paraId="00000025" w14:textId="77777777" w:rsidR="007C6C44" w:rsidRDefault="00000000">
      <w:pPr>
        <w:spacing w:before="240" w:after="240"/>
        <w:rPr>
          <w:color w:val="151515"/>
          <w:sz w:val="24"/>
          <w:szCs w:val="24"/>
        </w:rPr>
      </w:pPr>
      <w:r>
        <w:rPr>
          <w:color w:val="151515"/>
          <w:sz w:val="24"/>
          <w:szCs w:val="24"/>
        </w:rPr>
        <w:t>The BusyBox application (</w:t>
      </w:r>
      <w:r>
        <w:rPr>
          <w:rFonts w:ascii="Roboto Mono" w:eastAsia="Roboto Mono" w:hAnsi="Roboto Mono" w:cs="Roboto Mono"/>
          <w:color w:val="188038"/>
          <w:sz w:val="24"/>
          <w:szCs w:val="24"/>
        </w:rPr>
        <w:t>vm_inference</w:t>
      </w:r>
      <w:r>
        <w:rPr>
          <w:color w:val="151515"/>
          <w:sz w:val="24"/>
          <w:szCs w:val="24"/>
        </w:rPr>
        <w:t xml:space="preserve">) defines the VM, file server, and connections; Buildroot‑produced images are placed under </w:t>
      </w:r>
      <w:r>
        <w:rPr>
          <w:rFonts w:ascii="Roboto Mono" w:eastAsia="Roboto Mono" w:hAnsi="Roboto Mono" w:cs="Roboto Mono"/>
          <w:color w:val="188038"/>
          <w:sz w:val="24"/>
          <w:szCs w:val="24"/>
        </w:rPr>
        <w:t>camkes-vm/linux/</w:t>
      </w:r>
      <w:r>
        <w:rPr>
          <w:color w:val="151515"/>
          <w:sz w:val="24"/>
          <w:szCs w:val="24"/>
        </w:rPr>
        <w:t xml:space="preserve"> and discovered automatically by the build system. The full setup process—system dependencies, repo tool, camkes‑vm manifest, Python env, Buildroot build, and BusyBox build—is captured in the README you provided and culminates in running </w:t>
      </w:r>
      <w:r>
        <w:rPr>
          <w:rFonts w:ascii="Roboto Mono" w:eastAsia="Roboto Mono" w:hAnsi="Roboto Mono" w:cs="Roboto Mono"/>
          <w:color w:val="188038"/>
          <w:sz w:val="24"/>
          <w:szCs w:val="24"/>
        </w:rPr>
        <w:t>./simulate</w:t>
      </w:r>
      <w:r>
        <w:rPr>
          <w:color w:val="151515"/>
          <w:sz w:val="24"/>
          <w:szCs w:val="24"/>
        </w:rPr>
        <w:t xml:space="preserve"> and then invoking </w:t>
      </w:r>
      <w:r>
        <w:rPr>
          <w:rFonts w:ascii="Roboto Mono" w:eastAsia="Roboto Mono" w:hAnsi="Roboto Mono" w:cs="Roboto Mono"/>
          <w:color w:val="188038"/>
          <w:sz w:val="24"/>
          <w:szCs w:val="24"/>
        </w:rPr>
        <w:t>/usr/bin/base-inf-*</w:t>
      </w:r>
      <w:r>
        <w:rPr>
          <w:color w:val="151515"/>
          <w:sz w:val="24"/>
          <w:szCs w:val="24"/>
        </w:rPr>
        <w:t xml:space="preserve"> inside the VM.</w:t>
      </w:r>
    </w:p>
    <w:p w14:paraId="00000026" w14:textId="77777777" w:rsidR="007C6C44" w:rsidRDefault="00000000">
      <w:pPr>
        <w:spacing w:before="240" w:after="240"/>
        <w:rPr>
          <w:color w:val="151515"/>
          <w:sz w:val="24"/>
          <w:szCs w:val="24"/>
        </w:rPr>
      </w:pPr>
      <w:r>
        <w:rPr>
          <w:color w:val="151515"/>
          <w:sz w:val="24"/>
          <w:szCs w:val="24"/>
        </w:rPr>
        <w:t xml:space="preserve">To align with SL5 network architecture, we conceptually treat this CAmkES VM as the </w:t>
      </w:r>
      <w:r>
        <w:rPr>
          <w:b/>
          <w:bCs/>
          <w:color w:val="151515"/>
          <w:sz w:val="24"/>
          <w:szCs w:val="24"/>
        </w:rPr>
        <w:t>Weight Enclave node</w:t>
      </w:r>
      <w:r>
        <w:rPr>
          <w:color w:val="151515"/>
          <w:sz w:val="24"/>
          <w:szCs w:val="24"/>
        </w:rPr>
        <w:t>:</w:t>
      </w:r>
    </w:p>
    <w:p w14:paraId="00000027" w14:textId="77777777" w:rsidR="007C6C44" w:rsidRDefault="00000000">
      <w:pPr>
        <w:numPr>
          <w:ilvl w:val="0"/>
          <w:numId w:val="1"/>
        </w:numPr>
        <w:spacing w:before="240"/>
        <w:rPr>
          <w:color w:val="151515"/>
          <w:sz w:val="24"/>
          <w:szCs w:val="24"/>
        </w:rPr>
      </w:pPr>
      <w:r>
        <w:rPr>
          <w:color w:val="151515"/>
          <w:sz w:val="24"/>
          <w:szCs w:val="24"/>
        </w:rPr>
        <w:t>Prompts and control messages arrive over a single narrow RPC channel.</w:t>
      </w:r>
      <w:r>
        <w:rPr>
          <w:color w:val="151515"/>
          <w:sz w:val="24"/>
          <w:szCs w:val="24"/>
        </w:rPr>
        <w:br/>
      </w:r>
    </w:p>
    <w:p w14:paraId="00000028" w14:textId="77777777" w:rsidR="007C6C44" w:rsidRDefault="00000000">
      <w:pPr>
        <w:numPr>
          <w:ilvl w:val="0"/>
          <w:numId w:val="1"/>
        </w:numPr>
        <w:rPr>
          <w:color w:val="151515"/>
          <w:sz w:val="24"/>
          <w:szCs w:val="24"/>
        </w:rPr>
      </w:pPr>
      <w:r>
        <w:rPr>
          <w:color w:val="151515"/>
          <w:sz w:val="24"/>
          <w:szCs w:val="24"/>
        </w:rPr>
        <w:t xml:space="preserve">A host‑side </w:t>
      </w:r>
      <w:r>
        <w:rPr>
          <w:b/>
          <w:bCs/>
          <w:color w:val="151515"/>
          <w:sz w:val="24"/>
          <w:szCs w:val="24"/>
        </w:rPr>
        <w:t>egress proxy</w:t>
      </w:r>
      <w:r>
        <w:rPr>
          <w:color w:val="151515"/>
          <w:sz w:val="24"/>
          <w:szCs w:val="24"/>
        </w:rPr>
        <w:t xml:space="preserve"> relays responses to clients but </w:t>
      </w:r>
      <w:r>
        <w:rPr>
          <w:b/>
          <w:bCs/>
          <w:color w:val="151515"/>
          <w:sz w:val="24"/>
          <w:szCs w:val="24"/>
        </w:rPr>
        <w:t>throttles them to a few KB/s of text</w:t>
      </w:r>
      <w:r>
        <w:rPr>
          <w:color w:val="151515"/>
          <w:sz w:val="24"/>
          <w:szCs w:val="24"/>
        </w:rPr>
        <w:t>.</w:t>
      </w:r>
      <w:r>
        <w:rPr>
          <w:color w:val="151515"/>
          <w:sz w:val="24"/>
          <w:szCs w:val="24"/>
        </w:rPr>
        <w:br/>
      </w:r>
    </w:p>
    <w:p w14:paraId="00000029" w14:textId="77777777" w:rsidR="007C6C44" w:rsidRDefault="00000000">
      <w:pPr>
        <w:numPr>
          <w:ilvl w:val="0"/>
          <w:numId w:val="1"/>
        </w:numPr>
        <w:spacing w:after="240"/>
        <w:rPr>
          <w:color w:val="151515"/>
          <w:sz w:val="24"/>
          <w:szCs w:val="24"/>
        </w:rPr>
      </w:pPr>
      <w:r>
        <w:rPr>
          <w:color w:val="151515"/>
          <w:sz w:val="24"/>
          <w:szCs w:val="24"/>
        </w:rPr>
        <w:t>Weight blobs or models are provided as encrypted files; decryption happens only inside the guest or GPU process.</w:t>
      </w:r>
      <w:r>
        <w:rPr>
          <w:color w:val="151515"/>
          <w:sz w:val="24"/>
          <w:szCs w:val="24"/>
        </w:rPr>
        <w:br/>
      </w:r>
    </w:p>
    <w:p w14:paraId="0000002A" w14:textId="77777777" w:rsidR="007C6C44" w:rsidRDefault="00000000">
      <w:pPr>
        <w:pStyle w:val="Heading4"/>
        <w:keepNext w:val="0"/>
        <w:keepLines w:val="0"/>
        <w:spacing w:before="240" w:after="40"/>
        <w:rPr>
          <w:b/>
          <w:bCs/>
          <w:color w:val="151515"/>
          <w:sz w:val="22"/>
          <w:szCs w:val="22"/>
        </w:rPr>
      </w:pPr>
      <w:bookmarkStart w:id="9" w:name="_5yzi80dujug6" w:colFirst="0" w:colLast="0"/>
      <w:bookmarkEnd w:id="9"/>
      <w:r>
        <w:rPr>
          <w:b/>
          <w:bCs/>
          <w:color w:val="151515"/>
          <w:sz w:val="22"/>
          <w:szCs w:val="22"/>
        </w:rPr>
        <w:t>Memory Safety and DARPA TRACTOR</w:t>
      </w:r>
    </w:p>
    <w:p w14:paraId="0000002D" w14:textId="15B7876D" w:rsidR="007C6C44" w:rsidRDefault="00000000">
      <w:pPr>
        <w:spacing w:before="240" w:after="240"/>
        <w:rPr>
          <w:color w:val="151515"/>
          <w:sz w:val="24"/>
          <w:szCs w:val="24"/>
        </w:rPr>
      </w:pPr>
      <w:r>
        <w:rPr>
          <w:color w:val="151515"/>
          <w:sz w:val="24"/>
          <w:szCs w:val="24"/>
        </w:rPr>
        <w:t>In line with the SL5 Novel Recommendations encouraging rewriting or refactoring security‑critical C into safe languages like Python, and leveraging formal verification where feasible,we prioritize:</w:t>
      </w:r>
    </w:p>
    <w:p w14:paraId="0000002E" w14:textId="77777777" w:rsidR="007C6C44" w:rsidRDefault="00000000">
      <w:pPr>
        <w:numPr>
          <w:ilvl w:val="0"/>
          <w:numId w:val="4"/>
        </w:numPr>
        <w:spacing w:before="240"/>
        <w:rPr>
          <w:color w:val="151515"/>
          <w:sz w:val="24"/>
          <w:szCs w:val="24"/>
        </w:rPr>
      </w:pPr>
      <w:r>
        <w:rPr>
          <w:color w:val="151515"/>
          <w:sz w:val="24"/>
          <w:szCs w:val="24"/>
        </w:rPr>
        <w:t xml:space="preserve">Using </w:t>
      </w:r>
      <w:r>
        <w:rPr>
          <w:b/>
          <w:bCs/>
          <w:color w:val="151515"/>
          <w:sz w:val="24"/>
          <w:szCs w:val="24"/>
        </w:rPr>
        <w:t>PyTorch/Transformers (Python)</w:t>
      </w:r>
      <w:r>
        <w:rPr>
          <w:color w:val="151515"/>
          <w:sz w:val="24"/>
          <w:szCs w:val="24"/>
        </w:rPr>
        <w:t xml:space="preserve"> for inference logic where practical.</w:t>
      </w:r>
      <w:r>
        <w:rPr>
          <w:color w:val="151515"/>
          <w:sz w:val="24"/>
          <w:szCs w:val="24"/>
        </w:rPr>
        <w:br/>
      </w:r>
    </w:p>
    <w:p w14:paraId="0000002F" w14:textId="77777777" w:rsidR="007C6C44" w:rsidRDefault="00000000">
      <w:pPr>
        <w:numPr>
          <w:ilvl w:val="0"/>
          <w:numId w:val="4"/>
        </w:numPr>
        <w:rPr>
          <w:color w:val="151515"/>
          <w:sz w:val="24"/>
          <w:szCs w:val="24"/>
        </w:rPr>
      </w:pPr>
      <w:r>
        <w:rPr>
          <w:color w:val="151515"/>
          <w:sz w:val="24"/>
          <w:szCs w:val="24"/>
        </w:rPr>
        <w:lastRenderedPageBreak/>
        <w:t>Treating Python components as scaffolding to be progressively migrated to Python.</w:t>
      </w:r>
      <w:r>
        <w:rPr>
          <w:color w:val="151515"/>
          <w:sz w:val="24"/>
          <w:szCs w:val="24"/>
        </w:rPr>
        <w:br/>
      </w:r>
    </w:p>
    <w:p w14:paraId="00000031" w14:textId="3BBCF459" w:rsidR="007C6C44" w:rsidRPr="001942DB" w:rsidRDefault="00000000" w:rsidP="001942DB">
      <w:pPr>
        <w:numPr>
          <w:ilvl w:val="0"/>
          <w:numId w:val="4"/>
        </w:numPr>
        <w:spacing w:after="240"/>
        <w:rPr>
          <w:color w:val="151515"/>
          <w:sz w:val="24"/>
          <w:szCs w:val="24"/>
        </w:rPr>
      </w:pPr>
      <w:r>
        <w:rPr>
          <w:color w:val="151515"/>
          <w:sz w:val="24"/>
          <w:szCs w:val="24"/>
        </w:rPr>
        <w:t xml:space="preserve">Using Buildroot Linux’s existing formal verification as a base and exploring how AI‑assisted tools and efforts like </w:t>
      </w:r>
      <w:r>
        <w:rPr>
          <w:b/>
          <w:bCs/>
          <w:color w:val="151515"/>
          <w:sz w:val="24"/>
          <w:szCs w:val="24"/>
        </w:rPr>
        <w:t>DARPA’s TRACTOR</w:t>
      </w:r>
      <w:r>
        <w:rPr>
          <w:color w:val="151515"/>
          <w:sz w:val="24"/>
          <w:szCs w:val="24"/>
        </w:rPr>
        <w:t xml:space="preserve"> can assist in translating legacy C into high‑quality Python that preserves semantics while eliminating entire classes of memory‑safety vulnerabilities.</w:t>
      </w:r>
    </w:p>
    <w:p w14:paraId="00000032" w14:textId="77777777" w:rsidR="007C6C44" w:rsidRDefault="00000000">
      <w:pPr>
        <w:pStyle w:val="Heading2"/>
        <w:keepNext w:val="0"/>
        <w:keepLines w:val="0"/>
        <w:spacing w:before="0" w:after="340"/>
        <w:rPr>
          <w:b/>
          <w:bCs/>
        </w:rPr>
      </w:pPr>
      <w:bookmarkStart w:id="10" w:name="_16e9fel0hmt1" w:colFirst="0" w:colLast="0"/>
      <w:bookmarkEnd w:id="10"/>
      <w:r>
        <w:rPr>
          <w:b/>
          <w:bCs/>
        </w:rPr>
        <w:t>Results</w:t>
      </w:r>
    </w:p>
    <w:p w14:paraId="00000033" w14:textId="77777777" w:rsidR="007C6C44" w:rsidRDefault="00000000">
      <w:pPr>
        <w:pStyle w:val="Heading4"/>
        <w:keepNext w:val="0"/>
        <w:keepLines w:val="0"/>
        <w:spacing w:before="240" w:after="40"/>
        <w:rPr>
          <w:b/>
          <w:bCs/>
          <w:color w:val="151515"/>
          <w:sz w:val="22"/>
          <w:szCs w:val="22"/>
          <w:highlight w:val="white"/>
        </w:rPr>
      </w:pPr>
      <w:bookmarkStart w:id="11" w:name="_z5sco8yt1t5a" w:colFirst="0" w:colLast="0"/>
      <w:bookmarkEnd w:id="11"/>
      <w:r>
        <w:rPr>
          <w:b/>
          <w:bCs/>
          <w:color w:val="151515"/>
          <w:sz w:val="22"/>
          <w:szCs w:val="22"/>
          <w:highlight w:val="white"/>
        </w:rPr>
        <w:t>1. From Minimal Stack to SL5 Weight Enclave</w:t>
      </w:r>
    </w:p>
    <w:p w14:paraId="00000034" w14:textId="77777777" w:rsidR="007C6C44" w:rsidRDefault="00000000">
      <w:pPr>
        <w:spacing w:before="240" w:after="240"/>
        <w:rPr>
          <w:color w:val="151515"/>
          <w:sz w:val="24"/>
          <w:szCs w:val="24"/>
          <w:highlight w:val="white"/>
        </w:rPr>
      </w:pPr>
      <w:r>
        <w:rPr>
          <w:color w:val="151515"/>
          <w:sz w:val="24"/>
          <w:szCs w:val="24"/>
          <w:highlight w:val="white"/>
        </w:rPr>
        <w:t>The original μInference PoC demonstrated that a useful inference stack could be realized with approximately ~1.1M compiled LOC, culling large portions of traditional ML infrastructure.</w:t>
      </w:r>
    </w:p>
    <w:p w14:paraId="00000036" w14:textId="77777777" w:rsidR="007C6C44" w:rsidRDefault="00000000">
      <w:pPr>
        <w:spacing w:before="240" w:after="240"/>
        <w:rPr>
          <w:color w:val="151515"/>
          <w:sz w:val="24"/>
          <w:szCs w:val="24"/>
          <w:highlight w:val="white"/>
        </w:rPr>
      </w:pPr>
      <w:r>
        <w:rPr>
          <w:color w:val="151515"/>
          <w:sz w:val="24"/>
          <w:szCs w:val="24"/>
          <w:highlight w:val="white"/>
        </w:rPr>
        <w:t>This validated the basic thesis of “security by simplification.”</w:t>
      </w:r>
    </w:p>
    <w:p w14:paraId="00000037" w14:textId="77777777" w:rsidR="007C6C44" w:rsidRDefault="00000000">
      <w:pPr>
        <w:spacing w:before="240" w:after="240"/>
        <w:rPr>
          <w:color w:val="151515"/>
          <w:sz w:val="24"/>
          <w:szCs w:val="24"/>
          <w:highlight w:val="white"/>
        </w:rPr>
      </w:pPr>
      <w:r>
        <w:rPr>
          <w:color w:val="151515"/>
          <w:sz w:val="24"/>
          <w:szCs w:val="24"/>
          <w:highlight w:val="white"/>
        </w:rPr>
        <w:t>The new seL4‑backed design retains the spirit of minimization while satisfying more of the SL5 architecture:</w:t>
      </w:r>
    </w:p>
    <w:p w14:paraId="00000038" w14:textId="77777777" w:rsidR="007C6C44" w:rsidRDefault="00000000">
      <w:pPr>
        <w:numPr>
          <w:ilvl w:val="0"/>
          <w:numId w:val="13"/>
        </w:numPr>
        <w:spacing w:before="240"/>
        <w:rPr>
          <w:color w:val="151515"/>
          <w:sz w:val="24"/>
          <w:szCs w:val="24"/>
          <w:highlight w:val="white"/>
        </w:rPr>
      </w:pPr>
      <w:r>
        <w:rPr>
          <w:color w:val="151515"/>
          <w:sz w:val="24"/>
          <w:szCs w:val="24"/>
          <w:highlight w:val="white"/>
        </w:rPr>
        <w:t>Weight access is confined to a small VM running on top of a formally verified microkernel.</w:t>
      </w:r>
      <w:r>
        <w:rPr>
          <w:color w:val="151515"/>
          <w:sz w:val="24"/>
          <w:szCs w:val="24"/>
          <w:highlight w:val="white"/>
        </w:rPr>
        <w:br/>
      </w:r>
    </w:p>
    <w:p w14:paraId="00000039" w14:textId="77777777" w:rsidR="007C6C44" w:rsidRDefault="00000000">
      <w:pPr>
        <w:numPr>
          <w:ilvl w:val="0"/>
          <w:numId w:val="13"/>
        </w:numPr>
        <w:rPr>
          <w:color w:val="151515"/>
          <w:sz w:val="24"/>
          <w:szCs w:val="24"/>
          <w:highlight w:val="white"/>
        </w:rPr>
      </w:pPr>
      <w:r>
        <w:rPr>
          <w:color w:val="151515"/>
          <w:sz w:val="24"/>
          <w:szCs w:val="24"/>
          <w:highlight w:val="white"/>
        </w:rPr>
        <w:t>The Buildroot guest eliminates generic distro bloat, leaving only the components required to run PyTorch/Transformers/llama.cpp.</w:t>
      </w:r>
      <w:r>
        <w:rPr>
          <w:color w:val="151515"/>
          <w:sz w:val="24"/>
          <w:szCs w:val="24"/>
          <w:highlight w:val="white"/>
        </w:rPr>
        <w:br/>
      </w:r>
    </w:p>
    <w:p w14:paraId="0000003A" w14:textId="77777777" w:rsidR="007C6C44" w:rsidRDefault="00000000">
      <w:pPr>
        <w:numPr>
          <w:ilvl w:val="0"/>
          <w:numId w:val="13"/>
        </w:numPr>
        <w:spacing w:after="240"/>
        <w:rPr>
          <w:color w:val="151515"/>
          <w:sz w:val="24"/>
          <w:szCs w:val="24"/>
          <w:highlight w:val="white"/>
        </w:rPr>
      </w:pPr>
      <w:r>
        <w:rPr>
          <w:color w:val="151515"/>
          <w:sz w:val="24"/>
          <w:szCs w:val="24"/>
          <w:highlight w:val="white"/>
        </w:rPr>
        <w:t>Egress is constrained to a single narrow RPC channel enforced by a bandwidth‑limiting proxy.</w:t>
      </w:r>
      <w:r>
        <w:rPr>
          <w:color w:val="151515"/>
          <w:sz w:val="24"/>
          <w:szCs w:val="24"/>
          <w:highlight w:val="white"/>
        </w:rPr>
        <w:br/>
      </w:r>
    </w:p>
    <w:p w14:paraId="0000003B" w14:textId="77777777" w:rsidR="007C6C44" w:rsidRDefault="00000000">
      <w:pPr>
        <w:pStyle w:val="Heading4"/>
        <w:keepNext w:val="0"/>
        <w:keepLines w:val="0"/>
        <w:spacing w:before="240" w:after="40"/>
        <w:rPr>
          <w:b/>
          <w:bCs/>
          <w:color w:val="151515"/>
          <w:sz w:val="22"/>
          <w:szCs w:val="22"/>
          <w:highlight w:val="white"/>
        </w:rPr>
      </w:pPr>
      <w:bookmarkStart w:id="12" w:name="_h0j58qsx614l" w:colFirst="0" w:colLast="0"/>
      <w:bookmarkEnd w:id="12"/>
      <w:r>
        <w:rPr>
          <w:b/>
          <w:bCs/>
          <w:color w:val="151515"/>
          <w:sz w:val="22"/>
          <w:szCs w:val="22"/>
          <w:highlight w:val="white"/>
        </w:rPr>
        <w:t>2. Attack Surface Metrics</w:t>
      </w:r>
    </w:p>
    <w:p w14:paraId="0000003C" w14:textId="77777777" w:rsidR="007C6C44" w:rsidRDefault="00000000">
      <w:pPr>
        <w:spacing w:before="240" w:after="240"/>
        <w:rPr>
          <w:color w:val="151515"/>
          <w:sz w:val="24"/>
          <w:szCs w:val="24"/>
          <w:highlight w:val="white"/>
        </w:rPr>
      </w:pPr>
      <w:r>
        <w:rPr>
          <w:color w:val="151515"/>
          <w:sz w:val="24"/>
          <w:szCs w:val="24"/>
          <w:highlight w:val="white"/>
        </w:rPr>
        <w:t>We implemented simple, reproducible quantitative comparisons:</w:t>
      </w:r>
    </w:p>
    <w:p w14:paraId="0000003D" w14:textId="77777777" w:rsidR="007C6C44" w:rsidRDefault="00000000">
      <w:pPr>
        <w:numPr>
          <w:ilvl w:val="0"/>
          <w:numId w:val="6"/>
        </w:numPr>
        <w:spacing w:before="240"/>
        <w:rPr>
          <w:color w:val="151515"/>
          <w:sz w:val="24"/>
          <w:szCs w:val="24"/>
          <w:highlight w:val="white"/>
        </w:rPr>
      </w:pPr>
      <w:r>
        <w:rPr>
          <w:b/>
          <w:bCs/>
          <w:color w:val="151515"/>
          <w:sz w:val="24"/>
          <w:szCs w:val="24"/>
          <w:highlight w:val="white"/>
        </w:rPr>
        <w:t>LOC &amp; dependencies:</w:t>
      </w:r>
      <w:r>
        <w:rPr>
          <w:color w:val="151515"/>
          <w:sz w:val="24"/>
          <w:szCs w:val="24"/>
          <w:highlight w:val="white"/>
        </w:rPr>
        <w:t xml:space="preserve"> using </w:t>
      </w:r>
      <w:r>
        <w:rPr>
          <w:rFonts w:ascii="Roboto Mono" w:eastAsia="Roboto Mono" w:hAnsi="Roboto Mono" w:cs="Roboto Mono"/>
          <w:color w:val="188038"/>
          <w:sz w:val="24"/>
          <w:szCs w:val="24"/>
          <w:highlight w:val="white"/>
        </w:rPr>
        <w:t>cloc</w:t>
      </w:r>
      <w:r>
        <w:rPr>
          <w:color w:val="151515"/>
          <w:sz w:val="24"/>
          <w:szCs w:val="24"/>
          <w:highlight w:val="white"/>
        </w:rPr>
        <w:t xml:space="preserve"> and build artifacts, we compare μInference’s </w:t>
      </w:r>
      <w:r>
        <w:rPr>
          <w:rFonts w:ascii="Roboto Mono" w:eastAsia="Roboto Mono" w:hAnsi="Roboto Mono" w:cs="Roboto Mono"/>
          <w:color w:val="188038"/>
          <w:sz w:val="24"/>
          <w:szCs w:val="24"/>
          <w:highlight w:val="white"/>
        </w:rPr>
        <w:t>camkes-app/vm_inference</w:t>
      </w:r>
      <w:r>
        <w:rPr>
          <w:color w:val="151515"/>
          <w:sz w:val="24"/>
          <w:szCs w:val="24"/>
          <w:highlight w:val="white"/>
        </w:rPr>
        <w:t xml:space="preserve"> + Buildroot overlays against a baseline “normal” gpt‑oss‑20B(high) GPU container (full Ubuntu + PyTorch stack). The μInference configuration shows a substantially smaller code footprint near weight access and far fewer transitive dependencies.</w:t>
      </w:r>
      <w:r>
        <w:rPr>
          <w:color w:val="151515"/>
          <w:sz w:val="24"/>
          <w:szCs w:val="24"/>
          <w:highlight w:val="white"/>
        </w:rPr>
        <w:br/>
      </w:r>
    </w:p>
    <w:p w14:paraId="0000003E" w14:textId="77777777" w:rsidR="007C6C44" w:rsidRDefault="00000000">
      <w:pPr>
        <w:numPr>
          <w:ilvl w:val="0"/>
          <w:numId w:val="6"/>
        </w:numPr>
        <w:rPr>
          <w:color w:val="151515"/>
          <w:sz w:val="24"/>
          <w:szCs w:val="24"/>
          <w:highlight w:val="white"/>
        </w:rPr>
      </w:pPr>
      <w:r>
        <w:rPr>
          <w:b/>
          <w:bCs/>
          <w:color w:val="151515"/>
          <w:sz w:val="24"/>
          <w:szCs w:val="24"/>
          <w:highlight w:val="white"/>
        </w:rPr>
        <w:lastRenderedPageBreak/>
        <w:t>Service surface:</w:t>
      </w:r>
      <w:r>
        <w:rPr>
          <w:color w:val="151515"/>
          <w:sz w:val="24"/>
          <w:szCs w:val="24"/>
          <w:highlight w:val="white"/>
        </w:rPr>
        <w:t xml:space="preserve"> using </w:t>
      </w:r>
      <w:r>
        <w:rPr>
          <w:rFonts w:ascii="Roboto Mono" w:eastAsia="Roboto Mono" w:hAnsi="Roboto Mono" w:cs="Roboto Mono"/>
          <w:color w:val="188038"/>
          <w:sz w:val="24"/>
          <w:szCs w:val="24"/>
          <w:highlight w:val="white"/>
        </w:rPr>
        <w:t>nmap</w:t>
      </w:r>
      <w:r>
        <w:rPr>
          <w:color w:val="151515"/>
          <w:sz w:val="24"/>
          <w:szCs w:val="24"/>
          <w:highlight w:val="white"/>
        </w:rPr>
        <w:t xml:space="preserve"> and </w:t>
      </w:r>
      <w:r>
        <w:rPr>
          <w:rFonts w:ascii="Roboto Mono" w:eastAsia="Roboto Mono" w:hAnsi="Roboto Mono" w:cs="Roboto Mono"/>
          <w:color w:val="188038"/>
          <w:sz w:val="24"/>
          <w:szCs w:val="24"/>
          <w:highlight w:val="white"/>
        </w:rPr>
        <w:t>ss -tulpn</w:t>
      </w:r>
      <w:r>
        <w:rPr>
          <w:color w:val="151515"/>
          <w:sz w:val="24"/>
          <w:szCs w:val="24"/>
          <w:highlight w:val="white"/>
        </w:rPr>
        <w:t>, we confirm that the μInference VM exposes a single listening service (the inference/RPC endpoint), while a baseline stack exposes multiple ports and daemons.</w:t>
      </w:r>
      <w:r>
        <w:rPr>
          <w:color w:val="151515"/>
          <w:sz w:val="24"/>
          <w:szCs w:val="24"/>
          <w:highlight w:val="white"/>
        </w:rPr>
        <w:br/>
      </w:r>
    </w:p>
    <w:p w14:paraId="0000003F" w14:textId="77777777" w:rsidR="007C6C44" w:rsidRDefault="00000000">
      <w:pPr>
        <w:numPr>
          <w:ilvl w:val="0"/>
          <w:numId w:val="6"/>
        </w:numPr>
        <w:spacing w:after="240"/>
        <w:rPr>
          <w:color w:val="151515"/>
          <w:sz w:val="24"/>
          <w:szCs w:val="24"/>
          <w:highlight w:val="white"/>
        </w:rPr>
      </w:pPr>
      <w:r>
        <w:rPr>
          <w:b/>
          <w:bCs/>
          <w:color w:val="151515"/>
          <w:sz w:val="24"/>
          <w:szCs w:val="24"/>
          <w:highlight w:val="white"/>
        </w:rPr>
        <w:t>Vulnerability scanning &amp; fuzzing:</w:t>
      </w:r>
      <w:r>
        <w:rPr>
          <w:color w:val="151515"/>
          <w:sz w:val="24"/>
          <w:szCs w:val="24"/>
          <w:highlight w:val="white"/>
        </w:rPr>
        <w:t xml:space="preserve"> light scans against both environments and basic fuzzing of the RPC protocol show fewer reachable services and simpler attack paths in the μInference configuration.</w:t>
      </w:r>
      <w:r>
        <w:rPr>
          <w:color w:val="151515"/>
          <w:sz w:val="24"/>
          <w:szCs w:val="24"/>
          <w:highlight w:val="white"/>
        </w:rPr>
        <w:br/>
      </w:r>
    </w:p>
    <w:p w14:paraId="00000040" w14:textId="77777777" w:rsidR="007C6C44" w:rsidRDefault="00000000">
      <w:pPr>
        <w:pStyle w:val="Heading4"/>
        <w:keepNext w:val="0"/>
        <w:keepLines w:val="0"/>
        <w:spacing w:before="240" w:after="40"/>
        <w:rPr>
          <w:b/>
          <w:bCs/>
          <w:color w:val="151515"/>
          <w:sz w:val="22"/>
          <w:szCs w:val="22"/>
          <w:highlight w:val="white"/>
        </w:rPr>
      </w:pPr>
      <w:bookmarkStart w:id="13" w:name="_gixoxxthip1i" w:colFirst="0" w:colLast="0"/>
      <w:bookmarkEnd w:id="13"/>
      <w:r>
        <w:rPr>
          <w:b/>
          <w:bCs/>
          <w:color w:val="151515"/>
          <w:sz w:val="22"/>
          <w:szCs w:val="22"/>
          <w:highlight w:val="white"/>
        </w:rPr>
        <w:t>3. Bandwidth-Limited Egress</w:t>
      </w:r>
    </w:p>
    <w:p w14:paraId="00000041" w14:textId="77777777" w:rsidR="007C6C44" w:rsidRDefault="00000000">
      <w:pPr>
        <w:spacing w:before="240" w:after="240"/>
        <w:rPr>
          <w:color w:val="151515"/>
          <w:sz w:val="24"/>
          <w:szCs w:val="24"/>
          <w:highlight w:val="white"/>
        </w:rPr>
      </w:pPr>
      <w:r>
        <w:rPr>
          <w:color w:val="151515"/>
          <w:sz w:val="24"/>
          <w:szCs w:val="24"/>
          <w:highlight w:val="white"/>
        </w:rPr>
        <w:t>We implemented a small host‑side proxy that:</w:t>
      </w:r>
    </w:p>
    <w:p w14:paraId="00000042" w14:textId="77777777" w:rsidR="007C6C44" w:rsidRDefault="00000000">
      <w:pPr>
        <w:numPr>
          <w:ilvl w:val="0"/>
          <w:numId w:val="18"/>
        </w:numPr>
        <w:spacing w:before="240"/>
        <w:rPr>
          <w:color w:val="151515"/>
          <w:sz w:val="24"/>
          <w:szCs w:val="24"/>
          <w:highlight w:val="white"/>
        </w:rPr>
      </w:pPr>
      <w:r>
        <w:rPr>
          <w:color w:val="151515"/>
          <w:sz w:val="24"/>
          <w:szCs w:val="24"/>
          <w:highlight w:val="white"/>
        </w:rPr>
        <w:t>Forwards prompts into the Weight Enclave at full speed.</w:t>
      </w:r>
      <w:r>
        <w:rPr>
          <w:color w:val="151515"/>
          <w:sz w:val="24"/>
          <w:szCs w:val="24"/>
          <w:highlight w:val="white"/>
        </w:rPr>
        <w:br/>
      </w:r>
    </w:p>
    <w:p w14:paraId="00000043" w14:textId="77777777" w:rsidR="007C6C44" w:rsidRDefault="00000000">
      <w:pPr>
        <w:numPr>
          <w:ilvl w:val="0"/>
          <w:numId w:val="18"/>
        </w:numPr>
        <w:spacing w:after="240"/>
        <w:rPr>
          <w:color w:val="151515"/>
          <w:sz w:val="24"/>
          <w:szCs w:val="24"/>
          <w:highlight w:val="white"/>
        </w:rPr>
      </w:pPr>
      <w:r>
        <w:rPr>
          <w:color w:val="151515"/>
          <w:sz w:val="24"/>
          <w:szCs w:val="24"/>
          <w:highlight w:val="white"/>
        </w:rPr>
        <w:t xml:space="preserve">Streams responses back at a fixed </w:t>
      </w:r>
      <w:r>
        <w:rPr>
          <w:b/>
          <w:bCs/>
          <w:color w:val="151515"/>
          <w:sz w:val="24"/>
          <w:szCs w:val="24"/>
          <w:highlight w:val="white"/>
        </w:rPr>
        <w:t>KB/s cap</w:t>
      </w:r>
      <w:r>
        <w:rPr>
          <w:color w:val="151515"/>
          <w:sz w:val="24"/>
          <w:szCs w:val="24"/>
          <w:highlight w:val="white"/>
        </w:rPr>
        <w:t>, simulating SL5’s “physical bandwidth limitation” for Weight Enclave boundaries.</w:t>
      </w:r>
      <w:r>
        <w:rPr>
          <w:color w:val="151515"/>
          <w:sz w:val="24"/>
          <w:szCs w:val="24"/>
          <w:highlight w:val="white"/>
        </w:rPr>
        <w:br/>
      </w:r>
    </w:p>
    <w:p w14:paraId="00000044" w14:textId="77777777" w:rsidR="007C6C44" w:rsidRDefault="00000000">
      <w:pPr>
        <w:spacing w:before="240" w:after="240"/>
        <w:rPr>
          <w:color w:val="151515"/>
          <w:sz w:val="24"/>
          <w:szCs w:val="24"/>
          <w:highlight w:val="white"/>
        </w:rPr>
      </w:pPr>
      <w:r>
        <w:rPr>
          <w:color w:val="151515"/>
          <w:sz w:val="24"/>
          <w:szCs w:val="24"/>
          <w:highlight w:val="white"/>
        </w:rPr>
        <w:t>Exfiltration experiments show that:</w:t>
      </w:r>
    </w:p>
    <w:p w14:paraId="00000045" w14:textId="77777777" w:rsidR="007C6C44" w:rsidRDefault="00000000">
      <w:pPr>
        <w:numPr>
          <w:ilvl w:val="0"/>
          <w:numId w:val="11"/>
        </w:numPr>
        <w:spacing w:before="240"/>
        <w:rPr>
          <w:color w:val="151515"/>
          <w:sz w:val="24"/>
          <w:szCs w:val="24"/>
          <w:highlight w:val="white"/>
        </w:rPr>
      </w:pPr>
      <w:r>
        <w:rPr>
          <w:color w:val="151515"/>
          <w:sz w:val="24"/>
          <w:szCs w:val="24"/>
          <w:highlight w:val="white"/>
        </w:rPr>
        <w:t xml:space="preserve">Exfiltrating a </w:t>
      </w:r>
      <w:r>
        <w:rPr>
          <w:b/>
          <w:bCs/>
          <w:color w:val="151515"/>
          <w:sz w:val="24"/>
          <w:szCs w:val="24"/>
          <w:highlight w:val="white"/>
        </w:rPr>
        <w:t>tens‑of‑GB</w:t>
      </w:r>
      <w:r>
        <w:rPr>
          <w:color w:val="151515"/>
          <w:sz w:val="24"/>
          <w:szCs w:val="24"/>
          <w:highlight w:val="white"/>
        </w:rPr>
        <w:t xml:space="preserve"> model (e.g. gpt‑oss‑20B‑high order of magnitude) would take </w:t>
      </w:r>
      <w:r>
        <w:rPr>
          <w:b/>
          <w:bCs/>
          <w:color w:val="151515"/>
          <w:sz w:val="24"/>
          <w:szCs w:val="24"/>
          <w:highlight w:val="white"/>
        </w:rPr>
        <w:t>months</w:t>
      </w:r>
      <w:r>
        <w:rPr>
          <w:color w:val="151515"/>
          <w:sz w:val="24"/>
          <w:szCs w:val="24"/>
          <w:highlight w:val="white"/>
        </w:rPr>
        <w:t xml:space="preserve"> at 1–5 KB/s of text.</w:t>
      </w:r>
      <w:r>
        <w:rPr>
          <w:color w:val="151515"/>
          <w:sz w:val="24"/>
          <w:szCs w:val="24"/>
          <w:highlight w:val="white"/>
        </w:rPr>
        <w:br/>
      </w:r>
    </w:p>
    <w:p w14:paraId="00000046" w14:textId="77777777" w:rsidR="007C6C44" w:rsidRDefault="00000000">
      <w:pPr>
        <w:numPr>
          <w:ilvl w:val="0"/>
          <w:numId w:val="11"/>
        </w:numPr>
        <w:spacing w:after="240"/>
        <w:rPr>
          <w:color w:val="151515"/>
          <w:sz w:val="24"/>
          <w:szCs w:val="24"/>
          <w:highlight w:val="white"/>
        </w:rPr>
      </w:pPr>
      <w:r>
        <w:rPr>
          <w:color w:val="151515"/>
          <w:sz w:val="24"/>
          <w:szCs w:val="24"/>
          <w:highlight w:val="white"/>
        </w:rPr>
        <w:t xml:space="preserve">Exfiltrating a </w:t>
      </w:r>
      <w:r>
        <w:rPr>
          <w:b/>
          <w:bCs/>
          <w:color w:val="151515"/>
          <w:sz w:val="24"/>
          <w:szCs w:val="24"/>
          <w:highlight w:val="white"/>
        </w:rPr>
        <w:t>multi‑TB frontier‑scale model</w:t>
      </w:r>
      <w:r>
        <w:rPr>
          <w:color w:val="151515"/>
          <w:sz w:val="24"/>
          <w:szCs w:val="24"/>
          <w:highlight w:val="white"/>
        </w:rPr>
        <w:t xml:space="preserve"> would take </w:t>
      </w:r>
      <w:r>
        <w:rPr>
          <w:b/>
          <w:bCs/>
          <w:color w:val="151515"/>
          <w:sz w:val="24"/>
          <w:szCs w:val="24"/>
          <w:highlight w:val="white"/>
        </w:rPr>
        <w:t>decades to a century+</w:t>
      </w:r>
      <w:r>
        <w:rPr>
          <w:color w:val="151515"/>
          <w:sz w:val="24"/>
          <w:szCs w:val="24"/>
          <w:highlight w:val="white"/>
        </w:rPr>
        <w:t>, effectively useless for an attacker unless they can bypass or reconfigure the proxy.</w:t>
      </w:r>
      <w:r>
        <w:rPr>
          <w:color w:val="151515"/>
          <w:sz w:val="24"/>
          <w:szCs w:val="24"/>
          <w:highlight w:val="white"/>
        </w:rPr>
        <w:br/>
      </w:r>
    </w:p>
    <w:p w14:paraId="00000047" w14:textId="77777777" w:rsidR="007C6C44" w:rsidRDefault="00000000">
      <w:pPr>
        <w:spacing w:before="240" w:after="240"/>
        <w:rPr>
          <w:color w:val="151515"/>
          <w:sz w:val="24"/>
          <w:szCs w:val="24"/>
          <w:highlight w:val="white"/>
        </w:rPr>
      </w:pPr>
      <w:r>
        <w:rPr>
          <w:color w:val="151515"/>
          <w:sz w:val="24"/>
          <w:szCs w:val="24"/>
          <w:highlight w:val="white"/>
        </w:rPr>
        <w:t>This matches the intended SL5 defense: even if detection fails, the bandwidth‑limited guard makes large‑scale weight theft operationally infeasible.</w:t>
      </w:r>
    </w:p>
    <w:p w14:paraId="0000006B" w14:textId="77777777" w:rsidR="007C6C44" w:rsidRDefault="00000000">
      <w:pPr>
        <w:pStyle w:val="Heading3"/>
        <w:keepNext w:val="0"/>
        <w:keepLines w:val="0"/>
        <w:spacing w:before="280"/>
        <w:rPr>
          <w:b/>
          <w:bCs/>
          <w:color w:val="151515"/>
          <w:sz w:val="26"/>
          <w:szCs w:val="26"/>
          <w:highlight w:val="white"/>
        </w:rPr>
      </w:pPr>
      <w:bookmarkStart w:id="14" w:name="_4tsc240dhn" w:colFirst="0" w:colLast="0"/>
      <w:bookmarkStart w:id="15" w:name="_rwi0tlpx5la7" w:colFirst="0" w:colLast="0"/>
      <w:bookmarkEnd w:id="14"/>
      <w:bookmarkEnd w:id="15"/>
      <w:r>
        <w:rPr>
          <w:b/>
          <w:bCs/>
          <w:color w:val="151515"/>
          <w:sz w:val="26"/>
          <w:szCs w:val="26"/>
          <w:highlight w:val="white"/>
        </w:rPr>
        <w:t>Discussion</w:t>
      </w:r>
    </w:p>
    <w:p w14:paraId="0000006C" w14:textId="77777777" w:rsidR="007C6C44" w:rsidRDefault="00000000">
      <w:pPr>
        <w:pStyle w:val="Heading4"/>
        <w:keepNext w:val="0"/>
        <w:keepLines w:val="0"/>
        <w:spacing w:before="240" w:after="40"/>
        <w:rPr>
          <w:b/>
          <w:bCs/>
          <w:color w:val="151515"/>
          <w:sz w:val="22"/>
          <w:szCs w:val="22"/>
          <w:highlight w:val="white"/>
        </w:rPr>
      </w:pPr>
      <w:bookmarkStart w:id="16" w:name="_o65238fymmcc" w:colFirst="0" w:colLast="0"/>
      <w:bookmarkEnd w:id="16"/>
      <w:r>
        <w:rPr>
          <w:b/>
          <w:bCs/>
          <w:color w:val="151515"/>
          <w:sz w:val="22"/>
          <w:szCs w:val="22"/>
          <w:highlight w:val="white"/>
        </w:rPr>
        <w:t>From “Security by Reduction” to SL5 Weight Enclave</w:t>
      </w:r>
    </w:p>
    <w:p w14:paraId="0000006D" w14:textId="77777777" w:rsidR="007C6C44" w:rsidRDefault="00000000">
      <w:pPr>
        <w:spacing w:before="240" w:after="240"/>
        <w:rPr>
          <w:color w:val="151515"/>
          <w:sz w:val="24"/>
          <w:szCs w:val="24"/>
          <w:highlight w:val="white"/>
        </w:rPr>
      </w:pPr>
      <w:r>
        <w:rPr>
          <w:color w:val="151515"/>
          <w:sz w:val="24"/>
          <w:szCs w:val="24"/>
          <w:highlight w:val="white"/>
        </w:rPr>
        <w:t>Our midterm μInference work showed that extreme stack minimization is feasible and useful as a defense, but on its own does not guarantee SL5: there was no explicit network architecture, no formal Weight Enclave boundary, and incomplete handling of accelerator‑centric machine security.</w:t>
      </w:r>
    </w:p>
    <w:p w14:paraId="0000006E" w14:textId="77777777" w:rsidR="007C6C44" w:rsidRDefault="00000000">
      <w:pPr>
        <w:spacing w:before="240" w:after="240"/>
        <w:rPr>
          <w:color w:val="151515"/>
          <w:sz w:val="24"/>
          <w:szCs w:val="24"/>
          <w:highlight w:val="white"/>
        </w:rPr>
      </w:pPr>
      <w:r>
        <w:rPr>
          <w:color w:val="151515"/>
          <w:sz w:val="24"/>
          <w:szCs w:val="24"/>
          <w:highlight w:val="white"/>
        </w:rPr>
        <w:t>The updated SL5 documents pushed us toward a more holistic design:</w:t>
      </w:r>
    </w:p>
    <w:p w14:paraId="0000006F" w14:textId="77777777" w:rsidR="007C6C44" w:rsidRDefault="00000000">
      <w:pPr>
        <w:numPr>
          <w:ilvl w:val="0"/>
          <w:numId w:val="12"/>
        </w:numPr>
        <w:spacing w:before="240"/>
        <w:rPr>
          <w:color w:val="151515"/>
          <w:sz w:val="24"/>
          <w:szCs w:val="24"/>
          <w:highlight w:val="white"/>
        </w:rPr>
      </w:pPr>
      <w:r>
        <w:rPr>
          <w:b/>
          <w:bCs/>
          <w:color w:val="151515"/>
          <w:sz w:val="24"/>
          <w:szCs w:val="24"/>
          <w:highlight w:val="white"/>
        </w:rPr>
        <w:lastRenderedPageBreak/>
        <w:t>Network architecture:</w:t>
      </w:r>
      <w:r>
        <w:rPr>
          <w:color w:val="151515"/>
          <w:sz w:val="24"/>
          <w:szCs w:val="24"/>
          <w:highlight w:val="white"/>
        </w:rPr>
        <w:t xml:space="preserve"> we now treat the μInference VM as part of a conceptual </w:t>
      </w:r>
      <w:r>
        <w:rPr>
          <w:b/>
          <w:bCs/>
          <w:color w:val="151515"/>
          <w:sz w:val="24"/>
          <w:szCs w:val="24"/>
          <w:highlight w:val="white"/>
        </w:rPr>
        <w:t>Weight Enclave</w:t>
      </w:r>
      <w:r>
        <w:rPr>
          <w:color w:val="151515"/>
          <w:sz w:val="24"/>
          <w:szCs w:val="24"/>
          <w:highlight w:val="white"/>
        </w:rPr>
        <w:t xml:space="preserve"> within an air‑gapped SL5 Network, with low‑bandwidth egress and staging isolation for external data.</w:t>
      </w:r>
      <w:r>
        <w:rPr>
          <w:color w:val="151515"/>
          <w:sz w:val="24"/>
          <w:szCs w:val="24"/>
          <w:highlight w:val="white"/>
        </w:rPr>
        <w:br/>
      </w:r>
    </w:p>
    <w:p w14:paraId="00000070" w14:textId="77777777" w:rsidR="007C6C44" w:rsidRDefault="00000000">
      <w:pPr>
        <w:numPr>
          <w:ilvl w:val="0"/>
          <w:numId w:val="12"/>
        </w:numPr>
        <w:rPr>
          <w:color w:val="151515"/>
          <w:sz w:val="24"/>
          <w:szCs w:val="24"/>
          <w:highlight w:val="white"/>
        </w:rPr>
      </w:pPr>
      <w:r>
        <w:rPr>
          <w:b/>
          <w:bCs/>
          <w:color w:val="151515"/>
          <w:sz w:val="24"/>
          <w:szCs w:val="24"/>
          <w:highlight w:val="white"/>
        </w:rPr>
        <w:t>Machine security:</w:t>
      </w:r>
      <w:r>
        <w:rPr>
          <w:color w:val="151515"/>
          <w:sz w:val="24"/>
          <w:szCs w:val="24"/>
          <w:highlight w:val="white"/>
        </w:rPr>
        <w:t xml:space="preserve"> although we cannot yet implement full accelerator‑as‑independent‑domain semantics (no on‑chip RoT for weight decryption, no accelerator‑controlled IOMMU), we intentionally structure the system so that GPU‑adjacent code is separated from broader R&amp;D stacks and lives behind Buildroot Linux‑enforced isolation.</w:t>
      </w:r>
      <w:r>
        <w:rPr>
          <w:color w:val="151515"/>
          <w:sz w:val="24"/>
          <w:szCs w:val="24"/>
          <w:highlight w:val="white"/>
        </w:rPr>
        <w:br/>
      </w:r>
    </w:p>
    <w:p w14:paraId="00000071" w14:textId="77777777" w:rsidR="007C6C44" w:rsidRDefault="00000000">
      <w:pPr>
        <w:numPr>
          <w:ilvl w:val="0"/>
          <w:numId w:val="12"/>
        </w:numPr>
        <w:spacing w:after="240"/>
        <w:rPr>
          <w:color w:val="151515"/>
          <w:sz w:val="24"/>
          <w:szCs w:val="24"/>
          <w:highlight w:val="white"/>
        </w:rPr>
      </w:pPr>
      <w:r>
        <w:rPr>
          <w:b/>
          <w:bCs/>
          <w:color w:val="151515"/>
          <w:sz w:val="24"/>
          <w:szCs w:val="24"/>
          <w:highlight w:val="white"/>
        </w:rPr>
        <w:t>Supply chain &amp; software minimization:</w:t>
      </w:r>
      <w:r>
        <w:rPr>
          <w:color w:val="151515"/>
          <w:sz w:val="24"/>
          <w:szCs w:val="24"/>
          <w:highlight w:val="white"/>
        </w:rPr>
        <w:t xml:space="preserve"> Buildroot and BusyBox let us drastically reduce the amount of untrusted software that can touch weights, aligned with SL5’s recommendation to radically reduce and harden software near critical actions.</w:t>
      </w:r>
      <w:r>
        <w:rPr>
          <w:color w:val="151515"/>
          <w:sz w:val="24"/>
          <w:szCs w:val="24"/>
          <w:highlight w:val="white"/>
        </w:rPr>
        <w:br/>
      </w:r>
    </w:p>
    <w:p w14:paraId="00000072" w14:textId="77777777" w:rsidR="007C6C44" w:rsidRDefault="00000000">
      <w:pPr>
        <w:pStyle w:val="Heading4"/>
        <w:keepNext w:val="0"/>
        <w:keepLines w:val="0"/>
        <w:spacing w:before="240" w:after="40"/>
        <w:rPr>
          <w:b/>
          <w:bCs/>
          <w:color w:val="151515"/>
          <w:sz w:val="22"/>
          <w:szCs w:val="22"/>
          <w:highlight w:val="white"/>
        </w:rPr>
      </w:pPr>
      <w:bookmarkStart w:id="17" w:name="_c9dg15kiavhq" w:colFirst="0" w:colLast="0"/>
      <w:bookmarkEnd w:id="17"/>
      <w:r>
        <w:rPr>
          <w:b/>
          <w:bCs/>
          <w:color w:val="151515"/>
          <w:sz w:val="22"/>
          <w:szCs w:val="22"/>
          <w:highlight w:val="white"/>
        </w:rPr>
        <w:t>Buildroot Linux and PyTorch/Transformers: Toward Verified, Memory-Safe Inference</w:t>
      </w:r>
    </w:p>
    <w:p w14:paraId="00000073" w14:textId="77777777" w:rsidR="007C6C44" w:rsidRDefault="00000000">
      <w:pPr>
        <w:spacing w:before="240" w:after="240"/>
        <w:rPr>
          <w:color w:val="151515"/>
          <w:sz w:val="24"/>
          <w:szCs w:val="24"/>
          <w:highlight w:val="white"/>
        </w:rPr>
      </w:pPr>
      <w:r>
        <w:rPr>
          <w:color w:val="151515"/>
          <w:sz w:val="24"/>
          <w:szCs w:val="24"/>
          <w:highlight w:val="white"/>
        </w:rPr>
        <w:t>Buildroot Linux’s formal verification gives us a rare, mathematically proven component in the stack: the microkernel that enforces process isolation and capabilities. This is an excellent anchor for SL5‑class designs, where the cost of bugs in privileged code can be catastrophic.</w:t>
      </w:r>
    </w:p>
    <w:p w14:paraId="00000074" w14:textId="77777777" w:rsidR="007C6C44" w:rsidRDefault="00000000">
      <w:pPr>
        <w:spacing w:before="240" w:after="240"/>
        <w:rPr>
          <w:color w:val="151515"/>
          <w:sz w:val="24"/>
          <w:szCs w:val="24"/>
          <w:highlight w:val="white"/>
        </w:rPr>
      </w:pPr>
      <w:r>
        <w:rPr>
          <w:color w:val="151515"/>
          <w:sz w:val="24"/>
          <w:szCs w:val="24"/>
          <w:highlight w:val="white"/>
        </w:rPr>
        <w:t xml:space="preserve">PyTorch/Transformers, implemented in Python, offers a path to </w:t>
      </w:r>
      <w:r>
        <w:rPr>
          <w:b/>
          <w:bCs/>
          <w:color w:val="151515"/>
          <w:sz w:val="24"/>
          <w:szCs w:val="24"/>
          <w:highlight w:val="white"/>
        </w:rPr>
        <w:t>memory‑safe inference code</w:t>
      </w:r>
      <w:r>
        <w:rPr>
          <w:color w:val="151515"/>
          <w:sz w:val="24"/>
          <w:szCs w:val="24"/>
          <w:highlight w:val="white"/>
        </w:rPr>
        <w:t>, aligning with both SL5’s call to “refactor, rewrite, or formally verify security‑critical software” and DARPA’s TRACTOR philosophy that safe languages (e.g. Python) are preferable to decades of endless bug‑hunting in C/C++. Python also dovetails naturally with potential AI‑assisted rewriting and verification efforts—the same kinds of tooling TRACTOR is attempting to systematize.</w:t>
      </w:r>
    </w:p>
    <w:p w14:paraId="00000075" w14:textId="77777777" w:rsidR="007C6C44" w:rsidRDefault="00000000">
      <w:pPr>
        <w:pStyle w:val="Heading4"/>
        <w:keepNext w:val="0"/>
        <w:keepLines w:val="0"/>
        <w:spacing w:before="240" w:after="40"/>
        <w:rPr>
          <w:b/>
          <w:bCs/>
          <w:color w:val="151515"/>
          <w:sz w:val="22"/>
          <w:szCs w:val="22"/>
          <w:highlight w:val="white"/>
        </w:rPr>
      </w:pPr>
      <w:bookmarkStart w:id="18" w:name="_jy04zwld0n0a" w:colFirst="0" w:colLast="0"/>
      <w:bookmarkEnd w:id="18"/>
      <w:r>
        <w:rPr>
          <w:b/>
          <w:bCs/>
          <w:color w:val="151515"/>
          <w:sz w:val="22"/>
          <w:szCs w:val="22"/>
          <w:highlight w:val="white"/>
        </w:rPr>
        <w:t>The GPU Limitation</w:t>
      </w:r>
    </w:p>
    <w:p w14:paraId="00000076" w14:textId="77777777" w:rsidR="007C6C44" w:rsidRDefault="00000000">
      <w:pPr>
        <w:spacing w:before="240" w:after="240"/>
        <w:rPr>
          <w:color w:val="151515"/>
          <w:sz w:val="24"/>
          <w:szCs w:val="24"/>
          <w:highlight w:val="white"/>
        </w:rPr>
      </w:pPr>
      <w:r>
        <w:rPr>
          <w:color w:val="151515"/>
          <w:sz w:val="24"/>
          <w:szCs w:val="24"/>
          <w:highlight w:val="white"/>
        </w:rPr>
        <w:t xml:space="preserve">The major limitation in our current design is </w:t>
      </w:r>
      <w:r>
        <w:rPr>
          <w:b/>
          <w:bCs/>
          <w:color w:val="151515"/>
          <w:sz w:val="24"/>
          <w:szCs w:val="24"/>
          <w:highlight w:val="white"/>
        </w:rPr>
        <w:t>GPU support</w:t>
      </w:r>
      <w:r>
        <w:rPr>
          <w:color w:val="151515"/>
          <w:sz w:val="24"/>
          <w:szCs w:val="24"/>
          <w:highlight w:val="white"/>
        </w:rPr>
        <w:t>:</w:t>
      </w:r>
    </w:p>
    <w:p w14:paraId="00000077" w14:textId="77777777" w:rsidR="007C6C44" w:rsidRDefault="00000000">
      <w:pPr>
        <w:numPr>
          <w:ilvl w:val="0"/>
          <w:numId w:val="5"/>
        </w:numPr>
        <w:spacing w:before="240"/>
        <w:rPr>
          <w:color w:val="151515"/>
          <w:sz w:val="24"/>
          <w:szCs w:val="24"/>
          <w:highlight w:val="white"/>
        </w:rPr>
      </w:pPr>
      <w:r>
        <w:rPr>
          <w:color w:val="151515"/>
          <w:sz w:val="24"/>
          <w:szCs w:val="24"/>
          <w:highlight w:val="white"/>
        </w:rPr>
        <w:t>SL5’s machine‑security memo envisions accelerators as independent security domains with their own roots of trust, device‑controlled memory isolation, and encrypted interconnects, enabling end‑to‑end encrypted data paths where weights only appear in cleartext inside the accelerator.</w:t>
      </w:r>
      <w:r>
        <w:rPr>
          <w:color w:val="151515"/>
          <w:sz w:val="24"/>
          <w:szCs w:val="24"/>
          <w:highlight w:val="white"/>
        </w:rPr>
        <w:br/>
      </w:r>
    </w:p>
    <w:p w14:paraId="00000078" w14:textId="77777777" w:rsidR="007C6C44" w:rsidRDefault="00000000">
      <w:pPr>
        <w:numPr>
          <w:ilvl w:val="0"/>
          <w:numId w:val="5"/>
        </w:numPr>
        <w:spacing w:after="240"/>
        <w:rPr>
          <w:color w:val="151515"/>
          <w:sz w:val="24"/>
          <w:szCs w:val="24"/>
          <w:highlight w:val="white"/>
        </w:rPr>
      </w:pPr>
      <w:r>
        <w:rPr>
          <w:color w:val="151515"/>
          <w:sz w:val="24"/>
          <w:szCs w:val="24"/>
          <w:highlight w:val="white"/>
        </w:rPr>
        <w:t xml:space="preserve">In practice, today’s NVIDIA GPUs expect a large Linux driver stack; seL4 cannot currently drive the GPU directly. To achieve acceptable performance on models like gpt‑oss‑20B‑high, we must host a </w:t>
      </w:r>
      <w:r>
        <w:rPr>
          <w:b/>
          <w:bCs/>
          <w:color w:val="151515"/>
          <w:sz w:val="24"/>
          <w:szCs w:val="24"/>
          <w:highlight w:val="white"/>
        </w:rPr>
        <w:t xml:space="preserve">Linux VM inside Buildroot Linux and </w:t>
      </w:r>
      <w:r>
        <w:rPr>
          <w:b/>
          <w:bCs/>
          <w:color w:val="151515"/>
          <w:sz w:val="24"/>
          <w:szCs w:val="24"/>
          <w:highlight w:val="white"/>
        </w:rPr>
        <w:lastRenderedPageBreak/>
        <w:t>pass the GPU through</w:t>
      </w:r>
      <w:r>
        <w:rPr>
          <w:color w:val="151515"/>
          <w:sz w:val="24"/>
          <w:szCs w:val="24"/>
          <w:highlight w:val="white"/>
        </w:rPr>
        <w:t>, as described in the CAmkES VM inference README.</w:t>
      </w:r>
      <w:r>
        <w:rPr>
          <w:color w:val="151515"/>
          <w:sz w:val="24"/>
          <w:szCs w:val="24"/>
          <w:highlight w:val="white"/>
        </w:rPr>
        <w:br/>
      </w:r>
    </w:p>
    <w:p w14:paraId="00000079" w14:textId="77777777" w:rsidR="007C6C44" w:rsidRDefault="00000000">
      <w:pPr>
        <w:spacing w:before="240" w:after="240"/>
        <w:rPr>
          <w:color w:val="151515"/>
          <w:sz w:val="24"/>
          <w:szCs w:val="24"/>
          <w:highlight w:val="white"/>
        </w:rPr>
      </w:pPr>
      <w:r>
        <w:rPr>
          <w:color w:val="151515"/>
          <w:sz w:val="24"/>
          <w:szCs w:val="24"/>
          <w:highlight w:val="white"/>
        </w:rPr>
        <w:t xml:space="preserve">This </w:t>
      </w:r>
      <w:r>
        <w:rPr>
          <w:b/>
          <w:bCs/>
          <w:color w:val="151515"/>
          <w:sz w:val="24"/>
          <w:szCs w:val="24"/>
          <w:highlight w:val="white"/>
        </w:rPr>
        <w:t>inflates the TCB</w:t>
      </w:r>
      <w:r>
        <w:rPr>
          <w:color w:val="151515"/>
          <w:sz w:val="24"/>
          <w:szCs w:val="24"/>
          <w:highlight w:val="white"/>
        </w:rPr>
        <w:t>: the guest kernel and GPU driver stack now sit in the weight‑touching ring, undoing some of the benefits of Buildroot Linux’s minimalism. While we can still prune and harden the Buildroot guest, it remains far larger and more complex than the ideal of “accelerator + tiny runtime.”</w:t>
      </w:r>
    </w:p>
    <w:p w14:paraId="0000007A" w14:textId="77777777" w:rsidR="007C6C44" w:rsidRDefault="00000000">
      <w:pPr>
        <w:spacing w:before="240" w:after="240"/>
        <w:rPr>
          <w:color w:val="151515"/>
          <w:sz w:val="24"/>
          <w:szCs w:val="24"/>
          <w:highlight w:val="white"/>
        </w:rPr>
      </w:pPr>
      <w:r>
        <w:rPr>
          <w:color w:val="151515"/>
          <w:sz w:val="24"/>
          <w:szCs w:val="24"/>
          <w:highlight w:val="white"/>
        </w:rPr>
        <w:t xml:space="preserve">This is not just a project‑specific limitation; it highlights a systemic gap between </w:t>
      </w:r>
      <w:r>
        <w:rPr>
          <w:b/>
          <w:bCs/>
          <w:color w:val="151515"/>
          <w:sz w:val="24"/>
          <w:szCs w:val="24"/>
          <w:highlight w:val="white"/>
        </w:rPr>
        <w:t>SL5 machine‑security aspirations</w:t>
      </w:r>
      <w:r>
        <w:rPr>
          <w:color w:val="151515"/>
          <w:sz w:val="24"/>
          <w:szCs w:val="24"/>
          <w:highlight w:val="white"/>
        </w:rPr>
        <w:t xml:space="preserve"> and current GPU ecosystems. Addressing it will require:</w:t>
      </w:r>
    </w:p>
    <w:p w14:paraId="0000007B" w14:textId="77777777" w:rsidR="007C6C44" w:rsidRDefault="00000000">
      <w:pPr>
        <w:numPr>
          <w:ilvl w:val="0"/>
          <w:numId w:val="3"/>
        </w:numPr>
        <w:spacing w:before="240"/>
        <w:rPr>
          <w:color w:val="151515"/>
          <w:sz w:val="24"/>
          <w:szCs w:val="24"/>
          <w:highlight w:val="white"/>
        </w:rPr>
      </w:pPr>
      <w:r>
        <w:rPr>
          <w:color w:val="151515"/>
          <w:sz w:val="24"/>
          <w:szCs w:val="24"/>
          <w:highlight w:val="white"/>
        </w:rPr>
        <w:t>seL4‑aware GPU drivers and IOMMU models.</w:t>
      </w:r>
      <w:r>
        <w:rPr>
          <w:color w:val="151515"/>
          <w:sz w:val="24"/>
          <w:szCs w:val="24"/>
          <w:highlight w:val="white"/>
        </w:rPr>
        <w:br/>
      </w:r>
    </w:p>
    <w:p w14:paraId="0000007C" w14:textId="77777777" w:rsidR="007C6C44" w:rsidRDefault="00000000">
      <w:pPr>
        <w:numPr>
          <w:ilvl w:val="0"/>
          <w:numId w:val="3"/>
        </w:numPr>
        <w:rPr>
          <w:color w:val="151515"/>
          <w:sz w:val="24"/>
          <w:szCs w:val="24"/>
          <w:highlight w:val="white"/>
        </w:rPr>
      </w:pPr>
      <w:r>
        <w:rPr>
          <w:color w:val="151515"/>
          <w:sz w:val="24"/>
          <w:szCs w:val="24"/>
          <w:highlight w:val="white"/>
        </w:rPr>
        <w:t>Stronger GPU confidential‑compute features that do not rely on CPU TEEs and that allow the accelerator to deny host memory access and manage its own secure key paths.</w:t>
      </w:r>
      <w:r>
        <w:rPr>
          <w:color w:val="151515"/>
          <w:sz w:val="24"/>
          <w:szCs w:val="24"/>
          <w:highlight w:val="white"/>
        </w:rPr>
        <w:br/>
      </w:r>
    </w:p>
    <w:p w14:paraId="0000007D" w14:textId="77777777" w:rsidR="007C6C44" w:rsidRDefault="00000000">
      <w:pPr>
        <w:numPr>
          <w:ilvl w:val="0"/>
          <w:numId w:val="3"/>
        </w:numPr>
        <w:spacing w:after="240"/>
        <w:rPr>
          <w:color w:val="151515"/>
          <w:sz w:val="24"/>
          <w:szCs w:val="24"/>
          <w:highlight w:val="white"/>
        </w:rPr>
      </w:pPr>
      <w:r>
        <w:rPr>
          <w:color w:val="151515"/>
          <w:sz w:val="24"/>
          <w:szCs w:val="24"/>
          <w:highlight w:val="white"/>
        </w:rPr>
        <w:t>Better hardware‑level support for task attestation and device‑controlled memory semantics.</w:t>
      </w:r>
      <w:r>
        <w:rPr>
          <w:color w:val="151515"/>
          <w:sz w:val="24"/>
          <w:szCs w:val="24"/>
          <w:highlight w:val="white"/>
        </w:rPr>
        <w:br/>
      </w:r>
    </w:p>
    <w:p w14:paraId="0000007E" w14:textId="77777777" w:rsidR="007C6C44" w:rsidRDefault="00000000">
      <w:pPr>
        <w:pStyle w:val="Heading4"/>
        <w:keepNext w:val="0"/>
        <w:keepLines w:val="0"/>
        <w:spacing w:before="240" w:after="40"/>
        <w:rPr>
          <w:b/>
          <w:bCs/>
          <w:color w:val="151515"/>
          <w:sz w:val="22"/>
          <w:szCs w:val="22"/>
          <w:highlight w:val="white"/>
        </w:rPr>
      </w:pPr>
      <w:bookmarkStart w:id="19" w:name="_39axcy5jz15q" w:colFirst="0" w:colLast="0"/>
      <w:bookmarkEnd w:id="19"/>
      <w:r>
        <w:rPr>
          <w:b/>
          <w:bCs/>
          <w:color w:val="151515"/>
          <w:sz w:val="22"/>
          <w:szCs w:val="22"/>
          <w:highlight w:val="white"/>
        </w:rPr>
        <w:t>Alignment with SL5 Novel Recommendations</w:t>
      </w:r>
    </w:p>
    <w:p w14:paraId="0000007F" w14:textId="77777777" w:rsidR="007C6C44" w:rsidRDefault="00000000">
      <w:pPr>
        <w:spacing w:before="240" w:after="240"/>
        <w:rPr>
          <w:color w:val="151515"/>
          <w:sz w:val="24"/>
          <w:szCs w:val="24"/>
          <w:highlight w:val="white"/>
        </w:rPr>
      </w:pPr>
      <w:r>
        <w:rPr>
          <w:color w:val="151515"/>
          <w:sz w:val="24"/>
          <w:szCs w:val="24"/>
          <w:highlight w:val="white"/>
        </w:rPr>
        <w:t>Our final architecture embodies several key SL5 Novel Recommendations:</w:t>
      </w:r>
    </w:p>
    <w:p w14:paraId="00000080" w14:textId="77777777" w:rsidR="007C6C44" w:rsidRDefault="00000000">
      <w:pPr>
        <w:numPr>
          <w:ilvl w:val="0"/>
          <w:numId w:val="14"/>
        </w:numPr>
        <w:spacing w:before="240"/>
        <w:rPr>
          <w:color w:val="151515"/>
          <w:sz w:val="24"/>
          <w:szCs w:val="24"/>
          <w:highlight w:val="white"/>
        </w:rPr>
      </w:pPr>
      <w:r>
        <w:rPr>
          <w:b/>
          <w:bCs/>
          <w:color w:val="151515"/>
          <w:sz w:val="24"/>
          <w:szCs w:val="24"/>
          <w:highlight w:val="white"/>
        </w:rPr>
        <w:t>Architectural isolation and progressive access restriction:</w:t>
      </w:r>
      <w:r>
        <w:rPr>
          <w:color w:val="151515"/>
          <w:sz w:val="24"/>
          <w:szCs w:val="24"/>
          <w:highlight w:val="white"/>
        </w:rPr>
        <w:t xml:space="preserve"> weight‑accessing components live in a small, heavily isolated environment, while broader R&amp;D retains more functionality but no direct weight access.</w:t>
      </w:r>
      <w:r>
        <w:rPr>
          <w:color w:val="151515"/>
          <w:sz w:val="24"/>
          <w:szCs w:val="24"/>
          <w:highlight w:val="white"/>
        </w:rPr>
        <w:br/>
      </w:r>
    </w:p>
    <w:p w14:paraId="00000081" w14:textId="77777777" w:rsidR="007C6C44" w:rsidRDefault="00000000">
      <w:pPr>
        <w:numPr>
          <w:ilvl w:val="0"/>
          <w:numId w:val="14"/>
        </w:numPr>
        <w:rPr>
          <w:color w:val="151515"/>
          <w:sz w:val="24"/>
          <w:szCs w:val="24"/>
          <w:highlight w:val="white"/>
        </w:rPr>
      </w:pPr>
      <w:r>
        <w:rPr>
          <w:b/>
          <w:bCs/>
          <w:color w:val="151515"/>
          <w:sz w:val="24"/>
          <w:szCs w:val="24"/>
          <w:highlight w:val="white"/>
        </w:rPr>
        <w:t>Radical reduction and hardening of critical software:</w:t>
      </w:r>
      <w:r>
        <w:rPr>
          <w:color w:val="151515"/>
          <w:sz w:val="24"/>
          <w:szCs w:val="24"/>
          <w:highlight w:val="white"/>
        </w:rPr>
        <w:t xml:space="preserve"> Buildroot and seL4 help shrink the stack; μInference’s approval pipeline for new dependencies can enforce stronger requirements the closer a component is to weight access.</w:t>
      </w:r>
      <w:r>
        <w:rPr>
          <w:color w:val="151515"/>
          <w:sz w:val="24"/>
          <w:szCs w:val="24"/>
          <w:highlight w:val="white"/>
        </w:rPr>
        <w:br/>
      </w:r>
    </w:p>
    <w:p w14:paraId="00000084" w14:textId="45E1691E" w:rsidR="007C6C44" w:rsidRDefault="00000000" w:rsidP="001942DB">
      <w:pPr>
        <w:numPr>
          <w:ilvl w:val="0"/>
          <w:numId w:val="14"/>
        </w:numPr>
        <w:spacing w:after="240"/>
        <w:rPr>
          <w:b/>
          <w:bCs/>
          <w:color w:val="151515"/>
          <w:sz w:val="26"/>
          <w:szCs w:val="26"/>
          <w:highlight w:val="white"/>
        </w:rPr>
      </w:pPr>
      <w:r>
        <w:rPr>
          <w:b/>
          <w:bCs/>
          <w:color w:val="151515"/>
          <w:sz w:val="24"/>
          <w:szCs w:val="24"/>
          <w:highlight w:val="white"/>
        </w:rPr>
        <w:t>Refactor / rewrite / formally verify critical code:</w:t>
      </w:r>
      <w:r>
        <w:rPr>
          <w:rFonts w:ascii="Arial Unicode MS" w:eastAsia="Arial Unicode MS" w:hAnsi="Arial Unicode MS" w:cs="Arial Unicode MS"/>
          <w:color w:val="151515"/>
          <w:sz w:val="24"/>
          <w:szCs w:val="24"/>
          <w:highlight w:val="white"/>
        </w:rPr>
        <w:t xml:space="preserve"> seL4 is already formally verified; we are piloting PyTorch/Transformers/Python for inference, and we see DARPA TRACTOR</w:t>
      </w:r>
      <w:r>
        <w:rPr>
          <w:rFonts w:ascii="Cambria Math" w:eastAsia="Arial Unicode MS" w:hAnsi="Cambria Math" w:cs="Cambria Math"/>
          <w:color w:val="151515"/>
          <w:sz w:val="24"/>
          <w:szCs w:val="24"/>
          <w:highlight w:val="white"/>
        </w:rPr>
        <w:t>‑</w:t>
      </w:r>
      <w:r>
        <w:rPr>
          <w:rFonts w:ascii="Arial Unicode MS" w:eastAsia="Arial Unicode MS" w:hAnsi="Arial Unicode MS" w:cs="Arial Unicode MS"/>
          <w:color w:val="151515"/>
          <w:sz w:val="24"/>
          <w:szCs w:val="24"/>
          <w:highlight w:val="white"/>
        </w:rPr>
        <w:t>style automated C</w:t>
      </w:r>
      <w:r>
        <w:rPr>
          <w:rFonts w:eastAsia="Arial Unicode MS"/>
          <w:color w:val="151515"/>
          <w:sz w:val="24"/>
          <w:szCs w:val="24"/>
          <w:highlight w:val="white"/>
        </w:rPr>
        <w:t>→</w:t>
      </w:r>
      <w:r>
        <w:rPr>
          <w:rFonts w:ascii="Arial Unicode MS" w:eastAsia="Arial Unicode MS" w:hAnsi="Arial Unicode MS" w:cs="Arial Unicode MS"/>
          <w:color w:val="151515"/>
          <w:sz w:val="24"/>
          <w:szCs w:val="24"/>
          <w:highlight w:val="white"/>
        </w:rPr>
        <w:t>Python rewriting as a promising future tool to further reduce memory</w:t>
      </w:r>
      <w:r>
        <w:rPr>
          <w:rFonts w:ascii="Cambria Math" w:eastAsia="Arial Unicode MS" w:hAnsi="Cambria Math" w:cs="Cambria Math"/>
          <w:color w:val="151515"/>
          <w:sz w:val="24"/>
          <w:szCs w:val="24"/>
          <w:highlight w:val="white"/>
        </w:rPr>
        <w:t>‑</w:t>
      </w:r>
      <w:r>
        <w:rPr>
          <w:rFonts w:ascii="Arial Unicode MS" w:eastAsia="Arial Unicode MS" w:hAnsi="Arial Unicode MS" w:cs="Arial Unicode MS"/>
          <w:color w:val="151515"/>
          <w:sz w:val="24"/>
          <w:szCs w:val="24"/>
          <w:highlight w:val="white"/>
        </w:rPr>
        <w:t>unsafety in remaining C components.</w:t>
      </w:r>
      <w:r>
        <w:rPr>
          <w:rFonts w:ascii="Arial Unicode MS" w:eastAsia="Arial Unicode MS" w:hAnsi="Arial Unicode MS" w:cs="Arial Unicode MS"/>
          <w:color w:val="151515"/>
          <w:sz w:val="24"/>
          <w:szCs w:val="24"/>
          <w:highlight w:val="white"/>
        </w:rPr>
        <w:br/>
      </w:r>
      <w:bookmarkStart w:id="20" w:name="_qichvuqnakzv" w:colFirst="0" w:colLast="0"/>
      <w:bookmarkEnd w:id="20"/>
      <w:r>
        <w:rPr>
          <w:b/>
          <w:bCs/>
          <w:color w:val="151515"/>
          <w:sz w:val="26"/>
          <w:szCs w:val="26"/>
          <w:highlight w:val="white"/>
        </w:rPr>
        <w:t>Limitations of the Study</w:t>
      </w:r>
    </w:p>
    <w:p w14:paraId="00000085" w14:textId="77777777" w:rsidR="007C6C44" w:rsidRDefault="00000000">
      <w:pPr>
        <w:numPr>
          <w:ilvl w:val="0"/>
          <w:numId w:val="7"/>
        </w:numPr>
        <w:spacing w:before="240"/>
        <w:rPr>
          <w:color w:val="151515"/>
          <w:sz w:val="24"/>
          <w:szCs w:val="24"/>
          <w:highlight w:val="white"/>
        </w:rPr>
      </w:pPr>
      <w:r>
        <w:rPr>
          <w:b/>
          <w:bCs/>
          <w:color w:val="151515"/>
          <w:sz w:val="24"/>
          <w:szCs w:val="24"/>
          <w:highlight w:val="white"/>
        </w:rPr>
        <w:t>GPU TCB bloat:</w:t>
      </w:r>
      <w:r>
        <w:rPr>
          <w:color w:val="151515"/>
          <w:sz w:val="24"/>
          <w:szCs w:val="24"/>
          <w:highlight w:val="white"/>
        </w:rPr>
        <w:t xml:space="preserve"> As discussed, we cannot yet realize an accelerator‑native Weight Enclave without a full Linux guest. This limits how far we can push TCB </w:t>
      </w:r>
      <w:r>
        <w:rPr>
          <w:color w:val="151515"/>
          <w:sz w:val="24"/>
          <w:szCs w:val="24"/>
          <w:highlight w:val="white"/>
        </w:rPr>
        <w:lastRenderedPageBreak/>
        <w:t>reduction in practice and leaves large, complex drivers inside the sensitive ring.</w:t>
      </w:r>
      <w:r>
        <w:rPr>
          <w:color w:val="151515"/>
          <w:sz w:val="24"/>
          <w:szCs w:val="24"/>
          <w:highlight w:val="white"/>
        </w:rPr>
        <w:br/>
      </w:r>
    </w:p>
    <w:p w14:paraId="00000086" w14:textId="77777777" w:rsidR="007C6C44" w:rsidRDefault="00000000">
      <w:pPr>
        <w:numPr>
          <w:ilvl w:val="0"/>
          <w:numId w:val="7"/>
        </w:numPr>
        <w:rPr>
          <w:color w:val="151515"/>
          <w:sz w:val="24"/>
          <w:szCs w:val="24"/>
          <w:highlight w:val="white"/>
        </w:rPr>
      </w:pPr>
      <w:r>
        <w:rPr>
          <w:b/>
          <w:bCs/>
          <w:color w:val="151515"/>
          <w:sz w:val="24"/>
          <w:szCs w:val="24"/>
          <w:highlight w:val="white"/>
        </w:rPr>
        <w:t>Inference only:</w:t>
      </w:r>
      <w:r>
        <w:rPr>
          <w:color w:val="151515"/>
          <w:sz w:val="24"/>
          <w:szCs w:val="24"/>
          <w:highlight w:val="white"/>
        </w:rPr>
        <w:t xml:space="preserve"> We focus on </w:t>
      </w:r>
      <w:r>
        <w:rPr>
          <w:b/>
          <w:bCs/>
          <w:color w:val="151515"/>
          <w:sz w:val="24"/>
          <w:szCs w:val="24"/>
          <w:highlight w:val="white"/>
        </w:rPr>
        <w:t>inference</w:t>
      </w:r>
      <w:r>
        <w:rPr>
          <w:color w:val="151515"/>
          <w:sz w:val="24"/>
          <w:szCs w:val="24"/>
          <w:highlight w:val="white"/>
        </w:rPr>
        <w:t>, not full SL5‑grade training infrastructure, which would require more extensive data‑pipeline and adversarial‑content controls.</w:t>
      </w:r>
      <w:r>
        <w:rPr>
          <w:color w:val="151515"/>
          <w:sz w:val="24"/>
          <w:szCs w:val="24"/>
          <w:highlight w:val="white"/>
        </w:rPr>
        <w:br/>
      </w:r>
    </w:p>
    <w:p w14:paraId="00000087" w14:textId="77777777" w:rsidR="007C6C44" w:rsidRDefault="00000000">
      <w:pPr>
        <w:numPr>
          <w:ilvl w:val="0"/>
          <w:numId w:val="7"/>
        </w:numPr>
        <w:rPr>
          <w:color w:val="151515"/>
          <w:sz w:val="24"/>
          <w:szCs w:val="24"/>
          <w:highlight w:val="white"/>
        </w:rPr>
      </w:pPr>
      <w:r>
        <w:rPr>
          <w:b/>
          <w:bCs/>
          <w:color w:val="151515"/>
          <w:sz w:val="24"/>
          <w:szCs w:val="24"/>
          <w:highlight w:val="white"/>
        </w:rPr>
        <w:t>Limited formal verification scope:</w:t>
      </w:r>
      <w:r>
        <w:rPr>
          <w:color w:val="151515"/>
          <w:sz w:val="24"/>
          <w:szCs w:val="24"/>
          <w:highlight w:val="white"/>
        </w:rPr>
        <w:t xml:space="preserve"> Outside seL4 itself, most components are not formally verified. PyTorch/Transformers is written in Python, but we do not yet have proofs; many drivers remain in C.</w:t>
      </w:r>
      <w:r>
        <w:rPr>
          <w:color w:val="151515"/>
          <w:sz w:val="24"/>
          <w:szCs w:val="24"/>
          <w:highlight w:val="white"/>
        </w:rPr>
        <w:br/>
      </w:r>
    </w:p>
    <w:p w14:paraId="0000008A" w14:textId="329FD79D" w:rsidR="007C6C44" w:rsidRDefault="00000000" w:rsidP="001942DB">
      <w:pPr>
        <w:numPr>
          <w:ilvl w:val="0"/>
          <w:numId w:val="7"/>
        </w:numPr>
        <w:spacing w:after="240"/>
        <w:rPr>
          <w:b/>
          <w:bCs/>
          <w:color w:val="151515"/>
          <w:sz w:val="26"/>
          <w:szCs w:val="26"/>
          <w:highlight w:val="white"/>
        </w:rPr>
      </w:pPr>
      <w:r>
        <w:rPr>
          <w:b/>
          <w:bCs/>
          <w:color w:val="151515"/>
          <w:sz w:val="24"/>
          <w:szCs w:val="24"/>
          <w:highlight w:val="white"/>
        </w:rPr>
        <w:t>Security testing scope:</w:t>
      </w:r>
      <w:r>
        <w:rPr>
          <w:color w:val="151515"/>
          <w:sz w:val="24"/>
          <w:szCs w:val="24"/>
          <w:highlight w:val="white"/>
        </w:rPr>
        <w:t xml:space="preserve"> Our security evaluation is deliberately lightweight (LOC, ports, simple fuzzing, basic scanning). SL5 systems would require continuous red</w:t>
      </w:r>
      <w:r>
        <w:rPr>
          <w:rFonts w:ascii="Cambria Math" w:hAnsi="Cambria Math" w:cs="Cambria Math"/>
          <w:color w:val="151515"/>
          <w:sz w:val="24"/>
          <w:szCs w:val="24"/>
          <w:highlight w:val="white"/>
        </w:rPr>
        <w:t>‑</w:t>
      </w:r>
      <w:r>
        <w:rPr>
          <w:color w:val="151515"/>
          <w:sz w:val="24"/>
          <w:szCs w:val="24"/>
          <w:highlight w:val="white"/>
        </w:rPr>
        <w:t>teaming and more advanced adversarial testing.</w:t>
      </w:r>
      <w:r>
        <w:rPr>
          <w:color w:val="151515"/>
          <w:sz w:val="24"/>
          <w:szCs w:val="24"/>
          <w:highlight w:val="white"/>
        </w:rPr>
        <w:br/>
      </w:r>
      <w:bookmarkStart w:id="21" w:name="_moblypu2zuis" w:colFirst="0" w:colLast="0"/>
      <w:bookmarkEnd w:id="21"/>
      <w:r>
        <w:rPr>
          <w:b/>
          <w:bCs/>
          <w:color w:val="151515"/>
          <w:sz w:val="26"/>
          <w:szCs w:val="26"/>
          <w:highlight w:val="white"/>
        </w:rPr>
        <w:t>Conclusion</w:t>
      </w:r>
    </w:p>
    <w:p w14:paraId="0000008B" w14:textId="77777777" w:rsidR="007C6C44" w:rsidRDefault="00000000">
      <w:pPr>
        <w:spacing w:before="240" w:after="240"/>
        <w:rPr>
          <w:b/>
          <w:bCs/>
          <w:color w:val="151515"/>
          <w:sz w:val="24"/>
          <w:szCs w:val="24"/>
          <w:highlight w:val="white"/>
        </w:rPr>
      </w:pPr>
      <w:r>
        <w:rPr>
          <w:color w:val="151515"/>
          <w:sz w:val="24"/>
          <w:szCs w:val="24"/>
          <w:highlight w:val="white"/>
        </w:rPr>
        <w:t xml:space="preserve">μInference started as a question about </w:t>
      </w:r>
      <w:r>
        <w:rPr>
          <w:b/>
          <w:bCs/>
          <w:color w:val="151515"/>
          <w:sz w:val="24"/>
          <w:szCs w:val="24"/>
          <w:highlight w:val="white"/>
        </w:rPr>
        <w:t>how small</w:t>
      </w:r>
      <w:r>
        <w:rPr>
          <w:color w:val="151515"/>
          <w:sz w:val="24"/>
          <w:szCs w:val="24"/>
          <w:highlight w:val="white"/>
        </w:rPr>
        <w:t xml:space="preserve"> an inference stack can be while remaining useful. The emergence of the SL5 Standard reframed that question: </w:t>
      </w:r>
      <w:r>
        <w:rPr>
          <w:b/>
          <w:bCs/>
          <w:color w:val="151515"/>
          <w:sz w:val="24"/>
          <w:szCs w:val="24"/>
          <w:highlight w:val="white"/>
        </w:rPr>
        <w:t>How can minimization and formal methods be combined to implement a concrete SL5 Weight Enclave, rather than just “small Linux”?</w:t>
      </w:r>
    </w:p>
    <w:p w14:paraId="0000008C" w14:textId="77777777" w:rsidR="007C6C44" w:rsidRDefault="00000000">
      <w:pPr>
        <w:spacing w:before="240" w:after="240"/>
        <w:rPr>
          <w:color w:val="151515"/>
          <w:sz w:val="24"/>
          <w:szCs w:val="24"/>
          <w:highlight w:val="white"/>
        </w:rPr>
      </w:pPr>
      <w:r>
        <w:rPr>
          <w:color w:val="151515"/>
          <w:sz w:val="24"/>
          <w:szCs w:val="24"/>
          <w:highlight w:val="white"/>
        </w:rPr>
        <w:t>Our final design demonstrates a plausible path:</w:t>
      </w:r>
    </w:p>
    <w:p w14:paraId="0000008D" w14:textId="77777777" w:rsidR="007C6C44" w:rsidRDefault="00000000">
      <w:pPr>
        <w:numPr>
          <w:ilvl w:val="0"/>
          <w:numId w:val="8"/>
        </w:numPr>
        <w:spacing w:before="240"/>
        <w:rPr>
          <w:color w:val="151515"/>
          <w:sz w:val="24"/>
          <w:szCs w:val="24"/>
          <w:highlight w:val="white"/>
        </w:rPr>
      </w:pPr>
      <w:r>
        <w:rPr>
          <w:color w:val="151515"/>
          <w:sz w:val="24"/>
          <w:szCs w:val="24"/>
          <w:highlight w:val="white"/>
        </w:rPr>
        <w:t xml:space="preserve">Anchor the system in a </w:t>
      </w:r>
      <w:r>
        <w:rPr>
          <w:b/>
          <w:bCs/>
          <w:color w:val="151515"/>
          <w:sz w:val="24"/>
          <w:szCs w:val="24"/>
          <w:highlight w:val="white"/>
        </w:rPr>
        <w:t>formally verified kernel (seL4)</w:t>
      </w:r>
      <w:r>
        <w:rPr>
          <w:color w:val="151515"/>
          <w:sz w:val="24"/>
          <w:szCs w:val="24"/>
          <w:highlight w:val="white"/>
        </w:rPr>
        <w:t>.</w:t>
      </w:r>
      <w:r>
        <w:rPr>
          <w:color w:val="151515"/>
          <w:sz w:val="24"/>
          <w:szCs w:val="24"/>
          <w:highlight w:val="white"/>
        </w:rPr>
        <w:br/>
      </w:r>
    </w:p>
    <w:p w14:paraId="0000008E" w14:textId="77777777" w:rsidR="007C6C44" w:rsidRDefault="00000000">
      <w:pPr>
        <w:numPr>
          <w:ilvl w:val="0"/>
          <w:numId w:val="8"/>
        </w:numPr>
        <w:rPr>
          <w:color w:val="151515"/>
          <w:sz w:val="24"/>
          <w:szCs w:val="24"/>
          <w:highlight w:val="white"/>
        </w:rPr>
      </w:pPr>
      <w:r>
        <w:rPr>
          <w:color w:val="151515"/>
          <w:sz w:val="24"/>
          <w:szCs w:val="24"/>
          <w:highlight w:val="white"/>
        </w:rPr>
        <w:t xml:space="preserve">Use </w:t>
      </w:r>
      <w:r>
        <w:rPr>
          <w:b/>
          <w:bCs/>
          <w:color w:val="151515"/>
          <w:sz w:val="24"/>
          <w:szCs w:val="24"/>
          <w:highlight w:val="white"/>
        </w:rPr>
        <w:t>architectural isolation</w:t>
      </w:r>
      <w:r>
        <w:rPr>
          <w:color w:val="151515"/>
          <w:sz w:val="24"/>
          <w:szCs w:val="24"/>
          <w:highlight w:val="white"/>
        </w:rPr>
        <w:t xml:space="preserve"> (CAmkES VM) to confine weight access to a small Buildroot Linux guest.</w:t>
      </w:r>
      <w:r>
        <w:rPr>
          <w:color w:val="151515"/>
          <w:sz w:val="24"/>
          <w:szCs w:val="24"/>
          <w:highlight w:val="white"/>
        </w:rPr>
        <w:br/>
      </w:r>
    </w:p>
    <w:p w14:paraId="0000008F" w14:textId="77777777" w:rsidR="007C6C44" w:rsidRDefault="00000000">
      <w:pPr>
        <w:numPr>
          <w:ilvl w:val="0"/>
          <w:numId w:val="8"/>
        </w:numPr>
        <w:rPr>
          <w:color w:val="151515"/>
          <w:sz w:val="24"/>
          <w:szCs w:val="24"/>
          <w:highlight w:val="white"/>
        </w:rPr>
      </w:pPr>
      <w:r>
        <w:rPr>
          <w:color w:val="151515"/>
          <w:sz w:val="24"/>
          <w:szCs w:val="24"/>
          <w:highlight w:val="white"/>
        </w:rPr>
        <w:t xml:space="preserve">Run inference with </w:t>
      </w:r>
      <w:r>
        <w:rPr>
          <w:b/>
          <w:bCs/>
          <w:color w:val="151515"/>
          <w:sz w:val="24"/>
          <w:szCs w:val="24"/>
          <w:highlight w:val="white"/>
        </w:rPr>
        <w:t>Python‑based PyTorch/Transformers</w:t>
      </w:r>
      <w:r>
        <w:rPr>
          <w:color w:val="151515"/>
          <w:sz w:val="24"/>
          <w:szCs w:val="24"/>
          <w:highlight w:val="white"/>
        </w:rPr>
        <w:t xml:space="preserve"> and minimal additional components, aligning with SL5’s calls for safer languages and, eventually, formal verification of critical code.</w:t>
      </w:r>
      <w:r>
        <w:rPr>
          <w:color w:val="151515"/>
          <w:sz w:val="24"/>
          <w:szCs w:val="24"/>
          <w:highlight w:val="white"/>
        </w:rPr>
        <w:br/>
      </w:r>
    </w:p>
    <w:p w14:paraId="00000090" w14:textId="77777777" w:rsidR="007C6C44" w:rsidRDefault="00000000">
      <w:pPr>
        <w:numPr>
          <w:ilvl w:val="0"/>
          <w:numId w:val="8"/>
        </w:numPr>
        <w:spacing w:after="240"/>
        <w:rPr>
          <w:color w:val="151515"/>
          <w:sz w:val="24"/>
          <w:szCs w:val="24"/>
          <w:highlight w:val="white"/>
        </w:rPr>
      </w:pPr>
      <w:r>
        <w:rPr>
          <w:color w:val="151515"/>
          <w:sz w:val="24"/>
          <w:szCs w:val="24"/>
          <w:highlight w:val="white"/>
        </w:rPr>
        <w:t xml:space="preserve">Enforce </w:t>
      </w:r>
      <w:r>
        <w:rPr>
          <w:b/>
          <w:bCs/>
          <w:color w:val="151515"/>
          <w:sz w:val="24"/>
          <w:szCs w:val="24"/>
          <w:highlight w:val="white"/>
        </w:rPr>
        <w:t>bandwidth‑limited egress</w:t>
      </w:r>
      <w:r>
        <w:rPr>
          <w:color w:val="151515"/>
          <w:sz w:val="24"/>
          <w:szCs w:val="24"/>
          <w:highlight w:val="white"/>
        </w:rPr>
        <w:t xml:space="preserve"> so that even if a frontier‑scale model tries to exfiltrate itself, the text‑only channel is too slow to be operationally useful.</w:t>
      </w:r>
      <w:r>
        <w:rPr>
          <w:color w:val="151515"/>
          <w:sz w:val="24"/>
          <w:szCs w:val="24"/>
          <w:highlight w:val="white"/>
        </w:rPr>
        <w:br/>
      </w:r>
    </w:p>
    <w:p w14:paraId="00000091" w14:textId="77777777" w:rsidR="007C6C44" w:rsidRDefault="00000000">
      <w:pPr>
        <w:spacing w:before="240" w:after="240"/>
        <w:rPr>
          <w:color w:val="151515"/>
          <w:sz w:val="24"/>
          <w:szCs w:val="24"/>
          <w:highlight w:val="white"/>
        </w:rPr>
      </w:pPr>
      <w:r>
        <w:rPr>
          <w:color w:val="151515"/>
          <w:sz w:val="24"/>
          <w:szCs w:val="24"/>
          <w:highlight w:val="white"/>
        </w:rPr>
        <w:t xml:space="preserve">At the same time, the project surfaces a key limitation: </w:t>
      </w:r>
      <w:r>
        <w:rPr>
          <w:b/>
          <w:bCs/>
          <w:color w:val="151515"/>
          <w:sz w:val="24"/>
          <w:szCs w:val="24"/>
          <w:highlight w:val="white"/>
        </w:rPr>
        <w:t>GPU support is the hardest part of SL5 machine security</w:t>
      </w:r>
      <w:r>
        <w:rPr>
          <w:color w:val="151515"/>
          <w:sz w:val="24"/>
          <w:szCs w:val="24"/>
          <w:highlight w:val="white"/>
        </w:rPr>
        <w:t>. Until accelerators provide first‑class confidential‑compute semantics and Buildroot Linux‑compatible drivers, Weight Enclaves will depend on large, complex guest OSes to reach competitive performance.</w:t>
      </w:r>
    </w:p>
    <w:p w14:paraId="00000092" w14:textId="77777777" w:rsidR="007C6C44" w:rsidRDefault="00000000">
      <w:pPr>
        <w:spacing w:before="240" w:after="240"/>
        <w:rPr>
          <w:color w:val="151515"/>
          <w:sz w:val="24"/>
          <w:szCs w:val="24"/>
          <w:highlight w:val="white"/>
        </w:rPr>
      </w:pPr>
      <w:r>
        <w:rPr>
          <w:color w:val="151515"/>
          <w:sz w:val="24"/>
          <w:szCs w:val="24"/>
          <w:highlight w:val="white"/>
        </w:rPr>
        <w:t>Future work should therefore:</w:t>
      </w:r>
    </w:p>
    <w:p w14:paraId="00000093" w14:textId="77777777" w:rsidR="007C6C44" w:rsidRDefault="00000000">
      <w:pPr>
        <w:numPr>
          <w:ilvl w:val="0"/>
          <w:numId w:val="2"/>
        </w:numPr>
        <w:spacing w:before="240"/>
        <w:rPr>
          <w:color w:val="151515"/>
          <w:sz w:val="24"/>
          <w:szCs w:val="24"/>
          <w:highlight w:val="white"/>
        </w:rPr>
      </w:pPr>
      <w:r>
        <w:rPr>
          <w:color w:val="151515"/>
          <w:sz w:val="24"/>
          <w:szCs w:val="24"/>
          <w:highlight w:val="white"/>
        </w:rPr>
        <w:lastRenderedPageBreak/>
        <w:t xml:space="preserve">Push GPU vendors toward </w:t>
      </w:r>
      <w:r>
        <w:rPr>
          <w:b/>
          <w:bCs/>
          <w:color w:val="151515"/>
          <w:sz w:val="24"/>
          <w:szCs w:val="24"/>
          <w:highlight w:val="white"/>
        </w:rPr>
        <w:t>SL5‑aligned accelerator designs</w:t>
      </w:r>
      <w:r>
        <w:rPr>
          <w:color w:val="151515"/>
          <w:sz w:val="24"/>
          <w:szCs w:val="24"/>
          <w:highlight w:val="white"/>
        </w:rPr>
        <w:t xml:space="preserve"> with device‑controlled memory isolation, task attestation, and host‑independent roots of trust.</w:t>
      </w:r>
      <w:r>
        <w:rPr>
          <w:color w:val="151515"/>
          <w:sz w:val="24"/>
          <w:szCs w:val="24"/>
          <w:highlight w:val="white"/>
        </w:rPr>
        <w:br/>
      </w:r>
    </w:p>
    <w:p w14:paraId="00000094" w14:textId="77777777" w:rsidR="007C6C44" w:rsidRDefault="00000000">
      <w:pPr>
        <w:numPr>
          <w:ilvl w:val="0"/>
          <w:numId w:val="2"/>
        </w:numPr>
        <w:rPr>
          <w:color w:val="151515"/>
          <w:sz w:val="24"/>
          <w:szCs w:val="24"/>
          <w:highlight w:val="white"/>
        </w:rPr>
      </w:pPr>
      <w:r>
        <w:rPr>
          <w:color w:val="151515"/>
          <w:sz w:val="24"/>
          <w:szCs w:val="24"/>
          <w:highlight w:val="white"/>
        </w:rPr>
        <w:t>Expand μInference’s Python footprint and explore AI‑assisted rewriting/verification in the spirit of DARPA’s TRACTOR.</w:t>
      </w:r>
      <w:r>
        <w:rPr>
          <w:color w:val="151515"/>
          <w:sz w:val="24"/>
          <w:szCs w:val="24"/>
          <w:highlight w:val="white"/>
        </w:rPr>
        <w:br/>
      </w:r>
    </w:p>
    <w:p w14:paraId="00000095" w14:textId="77777777" w:rsidR="007C6C44" w:rsidRDefault="00000000">
      <w:pPr>
        <w:numPr>
          <w:ilvl w:val="0"/>
          <w:numId w:val="2"/>
        </w:numPr>
        <w:spacing w:after="240"/>
        <w:rPr>
          <w:color w:val="151515"/>
          <w:sz w:val="24"/>
          <w:szCs w:val="24"/>
          <w:highlight w:val="white"/>
        </w:rPr>
      </w:pPr>
      <w:r>
        <w:rPr>
          <w:color w:val="151515"/>
          <w:sz w:val="24"/>
          <w:szCs w:val="24"/>
          <w:highlight w:val="white"/>
        </w:rPr>
        <w:t>Integrate stronger adversarial‑data controls and continuous red‑teaming of the stack and processes.</w:t>
      </w:r>
      <w:r>
        <w:rPr>
          <w:color w:val="151515"/>
          <w:sz w:val="24"/>
          <w:szCs w:val="24"/>
          <w:highlight w:val="white"/>
        </w:rPr>
        <w:br/>
      </w:r>
    </w:p>
    <w:p w14:paraId="00000096" w14:textId="77777777" w:rsidR="007C6C44" w:rsidRDefault="00000000">
      <w:pPr>
        <w:spacing w:before="240" w:after="240"/>
      </w:pPr>
      <w:r>
        <w:rPr>
          <w:color w:val="151515"/>
          <w:sz w:val="24"/>
          <w:szCs w:val="24"/>
          <w:highlight w:val="white"/>
        </w:rPr>
        <w:t>If SL5 becomes a deployment requirement, we believe designs like μInference—minimal, formally grounded, and explicitly aligned with the Weight Enclave architecture—will be critical building blocks.</w:t>
      </w:r>
    </w:p>
    <w:sectPr w:rsidR="007C6C4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4AF66733-90A9-4548-9CB1-B5073902E456}"/>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2" w:fontKey="{52EAA465-1E5E-4E5B-A272-D392B4981C73}"/>
  </w:font>
  <w:font w:name="Calibri">
    <w:panose1 w:val="020F0502020204030204"/>
    <w:charset w:val="00"/>
    <w:family w:val="swiss"/>
    <w:pitch w:val="variable"/>
    <w:sig w:usb0="E4002EFF" w:usb1="C200247B" w:usb2="00000009" w:usb3="00000000" w:csb0="000001FF" w:csb1="00000000"/>
    <w:embedRegular r:id="rId3" w:fontKey="{4AF6A4F2-5E58-4068-BBCE-B9B239C84BBF}"/>
  </w:font>
  <w:font w:name="Cambria">
    <w:panose1 w:val="02040503050406030204"/>
    <w:charset w:val="00"/>
    <w:family w:val="roman"/>
    <w:pitch w:val="variable"/>
    <w:sig w:usb0="E00006FF" w:usb1="420024FF" w:usb2="02000000" w:usb3="00000000" w:csb0="0000019F" w:csb1="00000000"/>
    <w:embedRegular r:id="rId4" w:fontKey="{7D1D6D9E-488F-4DB8-A15E-18DBE9836DC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FF5"/>
    <w:multiLevelType w:val="multilevel"/>
    <w:tmpl w:val="C45ED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134FF2"/>
    <w:multiLevelType w:val="multilevel"/>
    <w:tmpl w:val="72E65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E97650"/>
    <w:multiLevelType w:val="multilevel"/>
    <w:tmpl w:val="4DA064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97C0CE1"/>
    <w:multiLevelType w:val="multilevel"/>
    <w:tmpl w:val="9AE4C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A83314"/>
    <w:multiLevelType w:val="multilevel"/>
    <w:tmpl w:val="706A0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0A83402"/>
    <w:multiLevelType w:val="multilevel"/>
    <w:tmpl w:val="C49C3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8551B4"/>
    <w:multiLevelType w:val="multilevel"/>
    <w:tmpl w:val="3B56C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7BD58E4"/>
    <w:multiLevelType w:val="multilevel"/>
    <w:tmpl w:val="BC348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98B2577"/>
    <w:multiLevelType w:val="multilevel"/>
    <w:tmpl w:val="1E202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301FA7"/>
    <w:multiLevelType w:val="multilevel"/>
    <w:tmpl w:val="E8F81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C53553E"/>
    <w:multiLevelType w:val="multilevel"/>
    <w:tmpl w:val="C54EC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6362473"/>
    <w:multiLevelType w:val="multilevel"/>
    <w:tmpl w:val="2C1E0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0673F1"/>
    <w:multiLevelType w:val="multilevel"/>
    <w:tmpl w:val="6D4A3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D5F5D73"/>
    <w:multiLevelType w:val="multilevel"/>
    <w:tmpl w:val="F2683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9EA70D6"/>
    <w:multiLevelType w:val="multilevel"/>
    <w:tmpl w:val="03203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BBE1A38"/>
    <w:multiLevelType w:val="multilevel"/>
    <w:tmpl w:val="2A603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DE06E25"/>
    <w:multiLevelType w:val="multilevel"/>
    <w:tmpl w:val="874C0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3A5641F"/>
    <w:multiLevelType w:val="multilevel"/>
    <w:tmpl w:val="9EA81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33391306">
    <w:abstractNumId w:val="13"/>
  </w:num>
  <w:num w:numId="2" w16cid:durableId="2037611034">
    <w:abstractNumId w:val="2"/>
  </w:num>
  <w:num w:numId="3" w16cid:durableId="1006135881">
    <w:abstractNumId w:val="11"/>
  </w:num>
  <w:num w:numId="4" w16cid:durableId="130053702">
    <w:abstractNumId w:val="1"/>
  </w:num>
  <w:num w:numId="5" w16cid:durableId="704211222">
    <w:abstractNumId w:val="12"/>
  </w:num>
  <w:num w:numId="6" w16cid:durableId="514540115">
    <w:abstractNumId w:val="0"/>
  </w:num>
  <w:num w:numId="7" w16cid:durableId="1783958479">
    <w:abstractNumId w:val="3"/>
  </w:num>
  <w:num w:numId="8" w16cid:durableId="803815249">
    <w:abstractNumId w:val="6"/>
  </w:num>
  <w:num w:numId="9" w16cid:durableId="1886403725">
    <w:abstractNumId w:val="4"/>
  </w:num>
  <w:num w:numId="10" w16cid:durableId="49043089">
    <w:abstractNumId w:val="10"/>
  </w:num>
  <w:num w:numId="11" w16cid:durableId="585580583">
    <w:abstractNumId w:val="14"/>
  </w:num>
  <w:num w:numId="12" w16cid:durableId="522666226">
    <w:abstractNumId w:val="15"/>
  </w:num>
  <w:num w:numId="13" w16cid:durableId="1266881967">
    <w:abstractNumId w:val="16"/>
  </w:num>
  <w:num w:numId="14" w16cid:durableId="1515067783">
    <w:abstractNumId w:val="7"/>
  </w:num>
  <w:num w:numId="15" w16cid:durableId="397628305">
    <w:abstractNumId w:val="5"/>
  </w:num>
  <w:num w:numId="16" w16cid:durableId="1274554904">
    <w:abstractNumId w:val="8"/>
  </w:num>
  <w:num w:numId="17" w16cid:durableId="1406494532">
    <w:abstractNumId w:val="9"/>
  </w:num>
  <w:num w:numId="18" w16cid:durableId="11837405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C44"/>
    <w:rsid w:val="000E4165"/>
    <w:rsid w:val="001942DB"/>
    <w:rsid w:val="00477D01"/>
    <w:rsid w:val="00617B1D"/>
    <w:rsid w:val="007C6C44"/>
    <w:rsid w:val="007D1348"/>
    <w:rsid w:val="00832931"/>
    <w:rsid w:val="00C03706"/>
    <w:rsid w:val="00FB0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BF4AB"/>
  <w15:docId w15:val="{2B9AAAFC-E92E-4E2B-8C67-B351A8BF6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16B6C-905B-4FD4-91A9-2C432042E88F}">
  <ds:schemaRefs>
    <ds:schemaRef ds:uri="http://schemas.openxmlformats.org/officeDocument/2006/bibliography"/>
  </ds:schemaRefs>
</ds:datastoreItem>
</file>

<file path=docMetadata/LabelInfo.xml><?xml version="1.0" encoding="utf-8"?>
<clbl:labelList xmlns:clbl="http://schemas.microsoft.com/office/2020/mipLabelMetadata">
  <clbl:label id="{af611b9f-07f9-4735-9f2f-45a599566f6b}" enabled="1" method="Standard" siteId="{261bc682-cd4a-4ee7-8ae4-9e82e1342e72}"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10</Pages>
  <Words>2304</Words>
  <Characters>14175</Characters>
  <Application>Microsoft Office Word</Application>
  <DocSecurity>0</DocSecurity>
  <Lines>315</Lines>
  <Paragraphs>121</Paragraphs>
  <ScaleCrop>false</ScaleCrop>
  <Company/>
  <LinksUpToDate>false</LinksUpToDate>
  <CharactersWithSpaces>16358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Cosio</cp:lastModifiedBy>
  <cp:revision>6</cp:revision>
  <dcterms:created xsi:type="dcterms:W3CDTF">2025-12-08T07:31:00Z</dcterms:created>
  <dcterms:modified xsi:type="dcterms:W3CDTF">2025-12-08T07:47:00Z</dcterms:modified>
</cp:coreProperties>
</file>