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28"/>
          <w:szCs w:val="28"/>
        </w:rPr>
        <w:t xml:space="preserve">INFORME OFICIAL DE VALIDACIÓN DE INSTRUMENTOS DE INVESTIGACIÓN</w:t>
      </w:r>
    </w:p>
    <w:p>
      <w:pPr>
        <w:spacing w:after="200"/>
        <w:jc w:val="center"/>
      </w:pPr>
      <w:r>
        <w:rPr>
          <w:rFonts w:ascii="Arial" w:cs="Arial" w:eastAsia="Arial" w:hAnsi="Arial"/>
          <w:b/>
          <w:bCs/>
          <w:color w:val="2B6CB0"/>
          <w:sz w:val="20"/>
          <w:szCs w:val="20"/>
        </w:rPr>
        <w:t xml:space="preserve">EVALUACIÓN DE VALIDEZ DE CONTENIDO MEDIANTE COEFICIENTE V DE AIKEN Y CVR DE LAWSHE</w:t>
      </w:r>
    </w:p>
    <w:p>
      <w:pPr>
        <w:spacing w:after="300"/>
      </w:pPr>
      <w:r>
        <w:rPr>
          <w:rFonts w:ascii="Arial" w:cs="Arial" w:eastAsia="Arial" w:hAnsi="Arial"/>
          <w:b/>
          <w:bCs/>
          <w:sz w:val="20"/>
          <w:szCs w:val="20"/>
        </w:rPr>
        <w:t xml:space="preserve">TÍTULO DE LA INVESTIGACIÓN: </w:t>
      </w:r>
      <w:r>
        <w:rPr>
          <w:rFonts w:ascii="Arial" w:cs="Arial" w:eastAsia="Arial" w:hAnsi="Arial"/>
          <w:sz w:val="20"/>
          <w:szCs w:val="20"/>
        </w:rPr>
        <w:t xml:space="preserve">Sistema Predictivo con Deep Learning para la Gestión de Riesgos en Proyectos de Infraestructura Pública registrados en INFOBRAS - Contraloría General de la República, Perú, 2020-2024</w:t>
      </w:r>
    </w:p>
    <w:p>
      <w:pPr>
        <w:spacing w:after="300"/>
        <w:jc w:val="left"/>
      </w:pPr>
      <w:r>
        <w:rPr>
          <w:rFonts w:ascii="Arial" w:cs="Arial" w:eastAsia="Arial" w:hAnsi="Arial"/>
          <w:b/>
          <w:bCs/>
          <w:sz w:val="20"/>
          <w:szCs w:val="20"/>
        </w:rPr>
        <w:t xml:space="preserve">AUTOR / INVESTIGADOR PRINCIPAL: </w:t>
      </w:r>
      <w:r>
        <w:rPr>
          <w:rFonts w:ascii="Arial" w:cs="Arial" w:eastAsia="Arial" w:hAnsi="Arial"/>
          <w:sz w:val="20"/>
          <w:szCs w:val="20"/>
        </w:rPr>
        <w:t xml:space="preserve">Luis Alfonso Cruz Gálvez</w:t>
      </w:r>
    </w:p>
    <w:p>
      <w:pPr>
        <w:pStyle w:val="Heading1"/>
        <w:spacing w:after="150" w:before="300"/>
      </w:pPr>
      <w:r>
        <w:rPr>
          <w:rFonts w:ascii="Arial" w:cs="Arial" w:eastAsia="Arial" w:hAnsi="Arial"/>
          <w:b/>
          <w:bCs/>
          <w:color w:val="1A365D"/>
          <w:sz w:val="24"/>
          <w:szCs w:val="24"/>
        </w:rPr>
        <w:t xml:space="preserve">SECCIÓN I: FICHAS DE VALIDACIÓN DEL CONTENIDO DEL INSTRUMENTO</w:t>
      </w:r>
    </w:p>
    <w:p>
      <w:pPr>
        <w:spacing w:after="200"/>
      </w:pPr>
      <w:r>
        <w:rPr>
          <w:rFonts w:ascii="Arial" w:cs="Arial" w:eastAsia="Arial" w:hAnsi="Arial"/>
          <w:sz w:val="20"/>
          <w:szCs w:val="20"/>
        </w:rPr>
        <w:t xml:space="preserve">A continuación se presentan las Fichas de Validación del Contenido suscritas por el cuadro de expertos validadores que participaron en la evaluación técnica de los instrumentos de medición:</w:t>
      </w:r>
    </w:p>
    <w:p>
      <w:pPr>
        <w:spacing w:after="100" w:before="200"/>
      </w:pPr>
      <w:r>
        <w:rPr>
          <w:rFonts w:ascii="Arial" w:cs="Arial" w:eastAsia="Arial" w:hAnsi="Arial"/>
          <w:b/>
          <w:bCs/>
          <w:color w:val="2D3748"/>
          <w:sz w:val="22"/>
          <w:szCs w:val="22"/>
        </w:rPr>
        <w:t xml:space="preserve">Ficha de Validación N° 1: Dr. Luis Alfonso Cruz Gálvez</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DF2F7" w:val="clear"/>
          </w:tcPr>
          <w:p>
            <w:r>
              <w:rPr>
                <w:rFonts w:ascii="Arial" w:cs="Arial" w:eastAsia="Arial" w:hAnsi="Arial"/>
                <w:b/>
                <w:bCs/>
                <w:sz w:val="18"/>
                <w:szCs w:val="18"/>
              </w:rPr>
              <w:t xml:space="preserve">Nombre del Instrumento</w:t>
            </w:r>
          </w:p>
        </w:tc>
        <w:tc>
          <w:tcPr>
            <w:tcW w:type="pct" w:w="70%"/>
          </w:tcPr>
          <w:p>
            <w:r>
              <w:rPr>
                <w:rFonts w:ascii="Arial" w:cs="Arial" w:eastAsia="Arial" w:hAnsi="Arial"/>
                <w:sz w:val="18"/>
                <w:szCs w:val="18"/>
              </w:rPr>
              <w:t xml:space="preserve">Validación del Sistema Predictivo con Deep Learning y Gestión de Riesgos INFOBRAS</w:t>
            </w:r>
          </w:p>
        </w:tc>
      </w:tr>
      <w:tr>
        <w:tc>
          <w:tcPr>
            <w:tcW w:type="pct" w:w="30%"/>
            <w:shd w:fill="EDF2F7" w:val="clear"/>
          </w:tcPr>
          <w:p>
            <w:r>
              <w:rPr>
                <w:rFonts w:ascii="Arial" w:cs="Arial" w:eastAsia="Arial" w:hAnsi="Arial"/>
                <w:b/>
                <w:bCs/>
                <w:sz w:val="18"/>
                <w:szCs w:val="18"/>
              </w:rPr>
              <w:t xml:space="preserve">Objetivo del Instrumento</w:t>
            </w:r>
          </w:p>
        </w:tc>
        <w:tc>
          <w:tcPr>
            <w:tcW w:type="pct" w:w="70%"/>
          </w:tcPr>
          <w:p>
            <w:r>
              <w:rPr>
                <w:rFonts w:ascii="Arial" w:cs="Arial" w:eastAsia="Arial" w:hAnsi="Arial"/>
                <w:sz w:val="18"/>
                <w:szCs w:val="18"/>
              </w:rPr>
              <w:t xml:space="preserve">Medir y evaluar la validez de contenido de la arquitectura predictiva y la gestión de riesgos en obras públicas.</w:t>
            </w:r>
          </w:p>
        </w:tc>
      </w:tr>
      <w:tr>
        <w:tc>
          <w:tcPr>
            <w:tcW w:type="pct" w:w="30%"/>
            <w:shd w:fill="EDF2F7" w:val="clear"/>
          </w:tcPr>
          <w:p>
            <w:r>
              <w:rPr>
                <w:rFonts w:ascii="Arial" w:cs="Arial" w:eastAsia="Arial" w:hAnsi="Arial"/>
                <w:b/>
                <w:bCs/>
                <w:sz w:val="18"/>
                <w:szCs w:val="18"/>
              </w:rPr>
              <w:t xml:space="preserve">Muestra Participante</w:t>
            </w:r>
          </w:p>
        </w:tc>
        <w:tc>
          <w:tcPr>
            <w:tcW w:type="pct" w:w="70%"/>
          </w:tcPr>
          <w:p>
            <w:r>
              <w:rPr>
                <w:rFonts w:ascii="Arial" w:cs="Arial" w:eastAsia="Arial" w:hAnsi="Arial"/>
                <w:sz w:val="18"/>
                <w:szCs w:val="18"/>
              </w:rPr>
              <w:t xml:space="preserve">Proyectos de Infraestructura Pública registrados en INFOBRAS (2020-2024)</w:t>
            </w:r>
          </w:p>
        </w:tc>
      </w:tr>
      <w:tr>
        <w:tc>
          <w:tcPr>
            <w:tcW w:type="pct" w:w="30%"/>
            <w:shd w:fill="EDF2F7" w:val="clear"/>
          </w:tcPr>
          <w:p>
            <w:r>
              <w:rPr>
                <w:rFonts w:ascii="Arial" w:cs="Arial" w:eastAsia="Arial" w:hAnsi="Arial"/>
                <w:b/>
                <w:bCs/>
                <w:sz w:val="18"/>
                <w:szCs w:val="18"/>
              </w:rPr>
              <w:t xml:space="preserve">Nombres y Apellidos del Experto</w:t>
            </w:r>
          </w:p>
        </w:tc>
        <w:tc>
          <w:tcPr>
            <w:tcW w:type="pct" w:w="70%"/>
          </w:tcPr>
          <w:p>
            <w:r>
              <w:rPr>
                <w:rFonts w:ascii="Arial" w:cs="Arial" w:eastAsia="Arial" w:hAnsi="Arial"/>
                <w:b/>
                <w:bCs/>
                <w:sz w:val="18"/>
                <w:szCs w:val="18"/>
              </w:rPr>
              <w:t xml:space="preserve">Dr. Luis Alfonso Cruz Gálvez</w:t>
            </w:r>
          </w:p>
        </w:tc>
      </w:tr>
      <w:tr>
        <w:tc>
          <w:tcPr>
            <w:tcW w:type="pct" w:w="30%"/>
            <w:shd w:fill="EDF2F7" w:val="clear"/>
          </w:tcPr>
          <w:p>
            <w:r>
              <w:rPr>
                <w:rFonts w:ascii="Arial" w:cs="Arial" w:eastAsia="Arial" w:hAnsi="Arial"/>
                <w:b/>
                <w:bCs/>
                <w:sz w:val="18"/>
                <w:szCs w:val="18"/>
              </w:rPr>
              <w:t xml:space="preserve">Título Profesional / Especialidad</w:t>
            </w:r>
          </w:p>
        </w:tc>
        <w:tc>
          <w:tcPr>
            <w:tcW w:type="pct" w:w="70%"/>
          </w:tcPr>
          <w:p>
            <w:r>
              <w:rPr>
                <w:rFonts w:ascii="Arial" w:cs="Arial" w:eastAsia="Arial" w:hAnsi="Arial"/>
                <w:sz w:val="18"/>
                <w:szCs w:val="18"/>
              </w:rPr>
              <w:t xml:space="preserve">Investigador Principal</w:t>
            </w:r>
          </w:p>
        </w:tc>
      </w:tr>
      <w:tr>
        <w:tc>
          <w:tcPr>
            <w:tcW w:type="pct" w:w="30%"/>
            <w:shd w:fill="EDF2F7" w:val="clear"/>
          </w:tcPr>
          <w:p>
            <w:r>
              <w:rPr>
                <w:rFonts w:ascii="Arial" w:cs="Arial" w:eastAsia="Arial" w:hAnsi="Arial"/>
                <w:b/>
                <w:bCs/>
                <w:sz w:val="18"/>
                <w:szCs w:val="18"/>
              </w:rPr>
              <w:t xml:space="preserve">Grado Académico</w:t>
            </w:r>
          </w:p>
        </w:tc>
        <w:tc>
          <w:tcPr>
            <w:tcW w:type="pct" w:w="70%"/>
          </w:tcPr>
          <w:p>
            <w:r>
              <w:rPr>
                <w:rFonts w:ascii="Arial" w:cs="Arial" w:eastAsia="Arial" w:hAnsi="Arial"/>
                <w:sz w:val="18"/>
                <w:szCs w:val="18"/>
              </w:rPr>
              <w:t xml:space="preserve">Doctor en Educación / Magíster en Ingeniería</w:t>
            </w:r>
          </w:p>
        </w:tc>
      </w:tr>
      <w:tr>
        <w:tc>
          <w:tcPr>
            <w:tcW w:type="pct" w:w="30%"/>
            <w:shd w:fill="EDF2F7" w:val="clear"/>
          </w:tcPr>
          <w:p>
            <w:r>
              <w:rPr>
                <w:rFonts w:ascii="Arial" w:cs="Arial" w:eastAsia="Arial" w:hAnsi="Arial"/>
                <w:b/>
                <w:bCs/>
                <w:sz w:val="18"/>
                <w:szCs w:val="18"/>
              </w:rPr>
              <w:t xml:space="preserve">Lugar y Fecha de Validación</w:t>
            </w:r>
          </w:p>
        </w:tc>
        <w:tc>
          <w:tcPr>
            <w:tcW w:type="pct" w:w="70%"/>
          </w:tcPr>
          <w:p>
            <w:r>
              <w:rPr>
                <w:rFonts w:ascii="Arial" w:cs="Arial" w:eastAsia="Arial" w:hAnsi="Arial"/>
                <w:sz w:val="18"/>
                <w:szCs w:val="18"/>
              </w:rPr>
              <w:t xml:space="preserve">Lima, 25 de julio del 2026</w:t>
            </w:r>
          </w:p>
        </w:tc>
      </w:tr>
      <w:tr>
        <w:tc>
          <w:tcPr>
            <w:tcW w:type="pct" w:w="30%"/>
            <w:shd w:fill="EDF2F7" w:val="clear"/>
          </w:tcPr>
          <w:p>
            <w:r>
              <w:rPr>
                <w:rFonts w:ascii="Arial" w:cs="Arial" w:eastAsia="Arial" w:hAnsi="Arial"/>
                <w:b/>
                <w:bCs/>
                <w:sz w:val="18"/>
                <w:szCs w:val="18"/>
              </w:rPr>
              <w:t xml:space="preserve">Firma del Experto</w:t>
            </w:r>
          </w:p>
        </w:tc>
        <w:tc>
          <w:tcPr>
            <w:tcW w:type="pct" w:w="70%"/>
          </w:tcPr>
          <w:p>
            <w:r>
              <w:rPr>
                <w:rFonts w:ascii="Arial" w:cs="Arial" w:eastAsia="Arial" w:hAnsi="Arial"/>
                <w:color w:val="718096"/>
                <w:sz w:val="16"/>
                <w:szCs w:val="16"/>
              </w:rPr>
              <w:t xml:space="preserve">[Firma Digital Registrada en Sistema]</w:t>
            </w:r>
          </w:p>
        </w:tc>
      </w:tr>
    </w:tbl>
    <w:p>
      <w:pPr>
        <w:spacing w:after="250"/>
      </w:pPr>
    </w:p>
    <w:p>
      <w:pPr>
        <w:pStyle w:val="Heading1"/>
        <w:spacing w:after="150" w:before="300"/>
      </w:pPr>
      <w:r>
        <w:rPr>
          <w:rFonts w:ascii="Arial" w:cs="Arial" w:eastAsia="Arial" w:hAnsi="Arial"/>
          <w:b/>
          <w:bCs/>
          <w:color w:val="1A365D"/>
          <w:sz w:val="24"/>
          <w:szCs w:val="24"/>
        </w:rPr>
        <w:t xml:space="preserve">SECCIÓN II: MATRIZ DE EVALUACIÓN COEFICIENTE V DE AIKEN (1 EVALUADORES IMPARES)</w:t>
      </w:r>
    </w:p>
    <w:p>
      <w:pPr>
        <w:spacing w:after="200"/>
      </w:pPr>
      <w:r>
        <w:rPr>
          <w:rFonts w:ascii="Arial" w:cs="Arial" w:eastAsia="Arial" w:hAnsi="Arial"/>
          <w:sz w:val="20"/>
          <w:szCs w:val="20"/>
        </w:rPr>
        <w:t xml:space="preserve">De acuerdo a la metodología estadística de validez de contenido, la matriz de evaluación y el cálculo del coeficiente V de Aiken se realiza estrictamente con un número IMPAR de jueces evaluadores (N = 1). Se evalúan 5 criterios por cada ítem: Redacción, Pertinencia, Coherencia, Adecuación y Comprensión: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tblGrid>
      <w:tr>
        <w:tc>
          <w:tcPr>
            <w:vMerge w:val="restart"/>
            <w:shd w:fill="1A365D" w:val="clear"/>
          </w:tcPr>
          <w:p>
            <w:pPr>
              <w:jc w:val="center"/>
            </w:pPr>
            <w:r>
              <w:rPr>
                <w:rFonts w:ascii="Arial" w:cs="Arial" w:eastAsia="Arial" w:hAnsi="Arial"/>
                <w:b/>
                <w:bCs/>
                <w:color w:val="FFFFFF"/>
                <w:sz w:val="16"/>
                <w:szCs w:val="16"/>
              </w:rPr>
              <w:t xml:space="preserve">Ítems</w:t>
            </w:r>
          </w:p>
        </w:tc>
        <w:tc>
          <w:tcPr>
            <w:vMerge w:val="restart"/>
            <w:shd w:fill="1A365D" w:val="clear"/>
          </w:tcPr>
          <w:p>
            <w:pPr>
              <w:jc w:val="center"/>
            </w:pPr>
            <w:r>
              <w:rPr>
                <w:rFonts w:ascii="Arial" w:cs="Arial" w:eastAsia="Arial" w:hAnsi="Arial"/>
                <w:b/>
                <w:bCs/>
                <w:color w:val="FFFFFF"/>
                <w:sz w:val="16"/>
                <w:szCs w:val="16"/>
              </w:rPr>
              <w:t xml:space="preserve">Criterios</w:t>
            </w:r>
          </w:p>
        </w:tc>
        <w:tc>
          <w:tcPr>
            <w:shd w:fill="1A365D" w:val="clear"/>
          </w:tcPr>
          <w:p>
            <w:pPr>
              <w:jc w:val="center"/>
            </w:pPr>
            <w:r>
              <w:rPr>
                <w:rFonts w:ascii="Arial" w:cs="Arial" w:eastAsia="Arial" w:hAnsi="Arial"/>
                <w:b/>
                <w:bCs/>
                <w:color w:val="FFFFFF"/>
                <w:sz w:val="16"/>
                <w:szCs w:val="16"/>
              </w:rPr>
              <w:t xml:space="preserve">Jueces Evaluadores (1)</w:t>
            </w:r>
          </w:p>
        </w:tc>
        <w:tc>
          <w:tcPr>
            <w:vMerge w:val="restart"/>
            <w:shd w:fill="1A365D" w:val="clear"/>
          </w:tcPr>
          <w:p>
            <w:pPr>
              <w:jc w:val="center"/>
            </w:pPr>
            <w:r>
              <w:rPr>
                <w:rFonts w:ascii="Arial" w:cs="Arial" w:eastAsia="Arial" w:hAnsi="Arial"/>
                <w:b/>
                <w:bCs/>
                <w:color w:val="FFFFFF"/>
                <w:sz w:val="16"/>
                <w:szCs w:val="16"/>
              </w:rPr>
              <w:t xml:space="preserve">Acuerdos</w:t>
            </w:r>
          </w:p>
        </w:tc>
        <w:tc>
          <w:tcPr>
            <w:vMerge w:val="restart"/>
            <w:shd w:fill="1A365D" w:val="clear"/>
          </w:tcPr>
          <w:p>
            <w:pPr>
              <w:jc w:val="center"/>
            </w:pPr>
            <w:r>
              <w:rPr>
                <w:rFonts w:ascii="Arial" w:cs="Arial" w:eastAsia="Arial" w:hAnsi="Arial"/>
                <w:b/>
                <w:bCs/>
                <w:color w:val="FFFFFF"/>
                <w:sz w:val="16"/>
                <w:szCs w:val="16"/>
              </w:rPr>
              <w:t xml:space="preserve">Aiken (V)</w:t>
            </w:r>
          </w:p>
        </w:tc>
        <w:tc>
          <w:tcPr>
            <w:vMerge w:val="restart"/>
            <w:shd w:fill="1A365D" w:val="clear"/>
          </w:tcPr>
          <w:p>
            <w:pPr>
              <w:jc w:val="center"/>
            </w:pPr>
            <w:r>
              <w:rPr>
                <w:rFonts w:ascii="Arial" w:cs="Arial" w:eastAsia="Arial" w:hAnsi="Arial"/>
                <w:b/>
                <w:bCs/>
                <w:color w:val="FFFFFF"/>
                <w:sz w:val="16"/>
                <w:szCs w:val="16"/>
              </w:rPr>
              <w:t xml:space="preserve">Sig. P &lt;0.05</w:t>
            </w:r>
          </w:p>
        </w:tc>
        <w:tc>
          <w:tcPr>
            <w:vMerge w:val="restart"/>
            <w:shd w:fill="1A365D" w:val="clear"/>
          </w:tcPr>
          <w:p>
            <w:pPr>
              <w:jc w:val="center"/>
            </w:pPr>
            <w:r>
              <w:rPr>
                <w:rFonts w:ascii="Arial" w:cs="Arial" w:eastAsia="Arial" w:hAnsi="Arial"/>
                <w:b/>
                <w:bCs/>
                <w:color w:val="FFFFFF"/>
                <w:sz w:val="16"/>
                <w:szCs w:val="16"/>
              </w:rPr>
              <w:t xml:space="preserve">Decisión Aiken</w:t>
            </w:r>
          </w:p>
        </w:tc>
        <w:tc>
          <w:tcPr>
            <w:vMerge w:val="restart"/>
            <w:shd w:fill="1A365D" w:val="clear"/>
          </w:tcPr>
          <w:p>
            <w:pPr>
              <w:jc w:val="center"/>
            </w:pPr>
            <w:r>
              <w:rPr>
                <w:rFonts w:ascii="Arial" w:cs="Arial" w:eastAsia="Arial" w:hAnsi="Arial"/>
                <w:b/>
                <w:bCs/>
                <w:color w:val="FFFFFF"/>
                <w:sz w:val="16"/>
                <w:szCs w:val="16"/>
              </w:rPr>
              <w:t xml:space="preserve">Lawshe (CVR)</w:t>
            </w:r>
          </w:p>
        </w:tc>
        <w:tc>
          <w:tcPr>
            <w:vMerge w:val="restart"/>
            <w:shd w:fill="1A365D" w:val="clear"/>
          </w:tcPr>
          <w:p>
            <w:pPr>
              <w:jc w:val="center"/>
            </w:pPr>
            <w:r>
              <w:rPr>
                <w:rFonts w:ascii="Arial" w:cs="Arial" w:eastAsia="Arial" w:hAnsi="Arial"/>
                <w:b/>
                <w:bCs/>
                <w:color w:val="FFFFFF"/>
                <w:sz w:val="16"/>
                <w:szCs w:val="16"/>
              </w:rPr>
              <w:t xml:space="preserve">Decisión Lawshe</w:t>
            </w:r>
          </w:p>
        </w:tc>
      </w:tr>
      <w:tr>
        <w:tc>
          <w:tcPr>
            <w:vMerge w:val="continue"/>
          </w:tcPr>
          <w:p/>
        </w:tc>
        <w:tc>
          <w:tcPr>
            <w:vMerge w:val="continue"/>
          </w:tcPr>
          <w:p/>
        </w:tc>
        <w:tc>
          <w:tcPr>
            <w:shd w:fill="2B6CB0" w:val="clear"/>
          </w:tcPr>
          <w:p>
            <w:pPr>
              <w:jc w:val="center"/>
            </w:pPr>
            <w:r>
              <w:rPr>
                <w:rFonts w:ascii="Arial" w:cs="Arial" w:eastAsia="Arial" w:hAnsi="Arial"/>
                <w:b/>
                <w:bCs/>
                <w:color w:val="FFFFFF"/>
                <w:sz w:val="16"/>
                <w:szCs w:val="16"/>
              </w:rPr>
              <w:t xml:space="preserve">J1</w:t>
            </w:r>
          </w:p>
        </w:tc>
        <w:tc>
          <w:tcPr>
            <w:vMerge w:val="continue"/>
          </w:tcPr>
          <w:p/>
        </w:tc>
        <w:tc>
          <w:tcPr>
            <w:vMerge w:val="continue"/>
          </w:tcPr>
          <w:p/>
        </w:tc>
        <w:tc>
          <w:tcPr>
            <w:vMerge w:val="continue"/>
          </w:tcPr>
          <w:p/>
        </w:tc>
        <w:tc>
          <w:tcPr>
            <w:vMerge w:val="continue"/>
          </w:tcPr>
          <w:p/>
        </w:tc>
        <w:tc>
          <w:tcPr>
            <w:vMerge w:val="continue"/>
          </w:tcPr>
          <w:p/>
        </w:tc>
        <w:tc>
          <w:tcPr>
            <w:vMerge w:val="continue"/>
          </w:tcPr>
          <w:p/>
        </w:tc>
      </w:tr>
      <w:tr>
        <w:tc>
          <w:tcPr>
            <w:tcW w:type="pct" w:w="25%"/>
            <w:vMerge w:val="restart"/>
          </w:tcPr>
          <w:p>
            <w:r>
              <w:rPr>
                <w:rFonts w:ascii="Arial" w:cs="Arial" w:eastAsia="Arial" w:hAnsi="Arial"/>
                <w:sz w:val="14"/>
                <w:szCs w:val="14"/>
              </w:rPr>
              <w:t xml:space="preserve">1. ¿Considera que la decisión metodológica de interconectar las bases de datos de ejecución presupuestal (MEF), procesos de contratación (SEACE), gestión de riesgos por desastres (INDECI) y avance físico (INFOBRAS), asegura que el sistema predictivo se alimente de un entorno de información oficial, multidimensional y verificable?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el éxito predictivo depende directamente de sus datos de entrada, ¿Considera que la información alojada en los repositorios gubernamentales (MEF, SEACE, INDECI e INFOBRAS) posee la suficiencia, completitud y veracidad necesarias para garantizar un entrenamiento algorítmico robusto y libre de sesgos?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centralizada de repositorios financieros y técnicos (MEF, SEACE, INFOBRAS e INDECI) en un único 'Data Warehouse' resulta indispensable para romper los silos de información del Estado y mitigar drásticamente el sesgo analítico al diagnosticar el estado real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entrenamiento algorítmico exclusivamente en plataformas gubernamentales oficiales (MEF, SEACE, INDECI e INFOBRAS) dota a las predicciones de la Inteligencia Artificial del sustento legal y la validez probatoria indispensables para respaldar las acciones de los órganos de control?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interoperabilidad y extracción sistemática de datos desde los repositorios oficiales garantiza un flujo continuo de información, asegurando que el modelo predictivo mantenga su vigencia operativa (y evite la obsolescencia) frente al dinamismo y los constantes cambios normativos de las contrataciones públicas?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 'features' seleccionadas (como variaciones presupuestales, plazos y ubicación) logra traducir a parámetros matemáticos medibles la complejidad estructural y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riguroso aplicar técnicas de selección de variables (Feature Selection) para descartar atributos irrelevantes, reduciendo la dimensionalidad de los datos y mitigando el ruido estadístico (información distorsionada o sin valor predictivo) que podría confundir a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hacer converger los indicadores de ejecución financiera (MEF) con el avance físico de la obra (INFOBRAS) provee la visión multidimensional indispensable para un perfilamiento de riesgo certero?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elegidas (tales como las desviaciones de presupuesto y plazo, la ubicación geográfica y el tipo de contratista) logran capturar integralmente los detonantes sistémicos y las causas subyacentes que históricamente han conducido a la paralización de obras en el Perú?</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extracción de factores clave (como el avance financiero, las adendas de plazo y el tipo de contratista) permite la parametrización de los expedientes técnicos, traduciendo toda su casuística legal hacia un entorno puramente procesable por algoritmos de Machine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¿Considera que la selección de algoritmos basados en la optimización del gradiente (específicamente XGBoost y LightGBM) constituye el enfoque de aprendizaje supervisado más idóneo para predecir probabilísticamente la paralización de una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Dado que las obras públicas combinan datos financieros, contractuales y geográficos, ¿Considera que utilizar modelos de 'Gradient Boosting' es el enfoque indicado para procesar la compleja naturaleza tabular de la información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implementación de algoritmos ensamblados (es decir, sistemas que combinan matemáticamente varios árboles de decisión para lograr un diagnóstico más exacto) ofrece una ventaja analítica abismal frente a la alta subjetividad de las matrices de riesgo tradicionales?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utilizar metodologías de exploración sistemática (como la técnica de Grid Search) para hallar la configuración algorítmica perfecta demuestra un alto rigor en el diseño experimental de la investigación?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correcta sintonización de los hiperparámetros resulta ser la medida metodológica definitiva para resolver el dilema del 'Trade-off entre Sesgo y Varianza', garantizando que el modelo no peque de excesiva simpleza (Underfitting) ni de memorización extrema (Overfitting)?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el conjunto definitivo de variables predictoras seleccionadas (tales como variaciones presupuestales, plazos y ubicación geográfica) logra representar paramétricamente la complejidad operativa de las obras del Estado?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metodológicamente imperativo aplicar técnicas de Ingeniería de Variables (Feature Engineering) para descartar información irrelevante y mitigar el ruido estadístico que degrada el modelo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que la integración simultánea de variables de ejecución financiera y avance físico dota al modelo algorítmico de una visión multidimensional indispensable para el análisis predictivo?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las variables predictoras seleccionadas (features) logran capturar los detonantes sistémicos y las causas subyacentes que históricamente conducen a la paralización de la obra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factores predictivos tempranos, como el recuento de dependencias, los días de retraso en el inicio y los scores de restricción logística, otorgan un margen de tiempo necesario para ejercer un Project Management preventivo y evitar la paralización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metodológicamente útil medir la Exactitud Global (Accuracy) como un primer indicador general para evaluar el porcentaje total de aciertos que alcanza el algoritmo al discriminar entre obras exitosas y proyectos paralizados?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científicamente válido utilizar el Accuracy como una 'línea base' (baseline) de rendimiento, proporcionando una interpretación rápida para los tomadores de decisiones antes de someter el modelo a métricas estadísticas más rigurosas?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¿Considera metodológicamente correcto reportar la Exactitud (Accuracy) del modelo, siempre y cuando se acompañe de otras métricas estadísticas para evitar conclusiones sesgadas?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calcular el Accuracy estrictamente sobre el conjunto de datos de prueba (Test Set) aporta una validación objetiva de su capacidad predictiva, demostrando que la Inteligencia Artificial logró aprender los patrones de riesgo en lugar de simplemente memorizar la información histórica?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apropiado incluir la Exactitud Global (Accuracy) en el reporte, siempre y cuando se precise metodológicamente que, en escenarios desbalanceados (muchas obras exitosas y pocos fracasos), esta métrica puede sobreestimar el verdadero rendimiento predictivo si el modelo simplemente opta por clasificar a favor de la clase mayoritaria?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Dado el fuerte desbalance de clases (abundancia de obras concluidas frente a escasas obras paralizadas), ¿Considera que exigir métricas estrictas como el F1-Score y el ROC-AUC garantiza una evaluación objetiva sobre el verdadero rendimiento predictivo del modelo?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2.¿Considera adecuado evaluar el modelo con el F1-Score, ya que esta métrica penaliza por igual dos errores graves: generar falsas alarmas (falsos positivos) y dejar pasar riesgos reales (falsos negativos)?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Dado que la curva ROC-AUC evalúa la capacidad de clasificación, ¿Considera que obtener un puntaje alto en esta métrica garantiza que la Inteligencia Artificial realmente aprendió a distinguir entre una obra riesgosa y una exitosa?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fundamentar el desempeño del algoritmo en métricas de evaluación robustas (F1-Score y ROC-AUC) dota a la investigación del rigor científico necesario para respaldar su viabilidad ante las entidades de control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metodológicamente imperativo priorizar el F1-Score y el ROC-AUC por encima de la Exactitud Global, considerando que el objetivo central del sistema es identificar proactivamente el reducido pero crítico porcentaje de proyectos que terminan en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útil que el sistema genere un ranking (usando la técnica matemática SHAP) para explicar claramente qué variables como las variaciones presupuestales, las ampliaciones de plazo o el avance físico tienen mayor impacto en el riesgo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A partir de la jerarquización de estas variables, ¿Considera que el modelo predictivo propuesto ayuda a mitigar la opacidad algorítmica, dándole al Estado la transparencia y trazabilidad que necesita para confiar en la Inteligencia Artificial?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Además de mitigar la opacidad algorítmica, ¿Considera que explicar matemáticamente el peso de los factores de riesgo detectados permite a los expertos validar si el sistema de Inteligencia Artificial realmente está razonando con los mismos criterios técnicos y operativos del sector construcción?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Una vez validada la lógica operativa del modelo predictivo propuesto, ¿Considera que la identificación explícita de los factores críticos de riesgo facilita que las instituciones públicas diseñen mejores políticas para prevenir la paralización de obras?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como respaldo a estas políticas de prevención, ¿Considera que el enfoque de Inteligencia Artificial Explicable (XAI) transforma los complejos cálculos predictivos en reportes justificados que pueden utilizarse como sustento técnico en una auditoría gubernamental?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Para dotar al gestor público de fundamentos técnicos precisos, ¿Considera indispensable que el modelo predictivo justifique sus predicciones entregando un desglose detallado de por qué alertó a una obra en particular?</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esta justificación individual (SHAP Local), ¿Considera que visualizar gráficamente el peso de las variables permite a los ingenieros corroborar de inmediato si la predicción algorítmica es coherente con la situación técnica del expediente?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Una vez que los especialistas corroboran que la predicción del modelo coincide con la realidad de la obra, ¿Considera que transparentar los motivos matemáticos de cada alerta a nivel individual mitiga drásticamente la desconfianza institucional y la resistencia al cambio tecnológico en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uperada la natural resistencia institucional al cambio tecnológico, ¿Considera que conocer las causas matemáticas exactas detectadas en un proyecto específico resulta vital para que la unidad ejecutora diseñe un plan de mitigación correctivo altamente focalizado?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más allá de solucionar los problemas de la obra, ¿Considera que la explicabilidad algorítmica individualizada provee a los expedientes del sustento documental técnico indispensable para enfrentar con éxito las acciones de control concurrente de la Contraloría General de la República?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medir estrictamente el tiempo de respuesta en milisegundos (latencia) del servidor backend es una prueba técnica esencial para validar la solidez de la infraestructura computacional del sistema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 base en los resultados de velocidad del servidor backend, ¿Considera que mantener una latencia extremadamente baja resulta indispensable para brindar una experiencia de consulta ágil y fluida a los gestores públicos que interactúan con el Dashboard?</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Habiendo validado la latencia mínima en peticiones unitarias, ¿Considera que la medición técnica de los tiempos de procesamiento certifica la escalabilidad de la arquitectura computacional para soportar una concurrencia masiva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alcanzar esta escalabilidad nacional, ¿Considera que la entrega de predicciones de riesgo casi en tiempo real faculta a las entidades gubernamentales con una agilidad analítica inalcanzable mediante los procesos de revisión manuales convencionales?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Como corolario de estos óptimos resultados de latencia y escalabilidad, ¿Considera que la velocidad de inferencia demostrada ratifica la viabilidad operativa del sistema predictivo propuesto para ser implementado de manera definitiva como política de modernización en la gestión pública?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Para garantizar el máximo rigor tecnológico,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Para evaluar la resiliencia del modelo ante datos corruptos, ¿Considera válido diseñar pruebas de estrés (inyectando intencionalmente ruido estadístico y valores nulos) para medir la sensibilidad del sistema predictivo propuesto?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Frente a este escenario deliberado de registros nulos en parámetros críticos (como los plazos y modificaciones presupuestales), ¿Considera que medir la caída en el rendimiento del F1-Score ante dicha inyección de ruido estadístico permite certificar si la arquitectura algorítmica es verdaderamente sólida?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Al mantener un alto rendimiento tras estas pruebas de estrés, ¿Considera que un modelo capaz de predecir correctamente el riesgo a pesar de recibir parámetros vacíos demuestra una estabilidad tecnológica indispensable para el sector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Finalmente, para garantizar que el modelo mantenga su alta precisión predictiva con el paso de los años, ¿Considera que planificar pruebas periódicas de Data Drift resulta estrictamente necesario para asegurar la confiabilidad a largo plazo de las predicciones en futuras auditorías?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¿En qué medida considera que el modelo predictivo supera al enfoque de supervisión tradicional al lograr detectar amenazas estructurales antes de que se concrete la paralización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¿Considera que el tiempo de anticipación brindado por las alertas algorítmicas es suficiente para que la entidad gubernamental logre diseñar e implementar una estrategia correctiva viable?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evalúa la capacidad matemática del sistema para discriminar eficazmente los riesgos reales, evitando saturar operativamente a los supervisores con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¿En qué grado cree que esta reducción de falsas alarmas permite a las entidades focalizar sus recursos (presupuesto e inspectores físicos) exclusivamente en el núcleo de proyectos críticos?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la combinación sistemática de detección temprana y focalización de recursos logrará disminuir estadísticamente el índice nacional de obras públicas paralizadas?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¿Considera que la arquitectura predictiva discrimina con precisión entre desviaciones críticas que llevarán a la paralización y aquellas variaciones tolerables propias de la holgura del proyecto, reduciendo así la emisión de falsas alarmas?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cree que esta priorización basada en datos evita la sobrecarga operativa de los inspectores, al dirigir sus esfuerzos de supervisión únicamente hacia las obras con riesgo Alto y Crítico?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¿Cómo califica la utilidad del sistema predictivo para ayudar a los directivos a priorizar la asignación presupuestal y de inspectores físicos sobre un portafolio masivo de infraestructura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¿Considera que el sistema logra depurar eficientemente el exceso de información rutinaria de las obras, permitiendo a la entidad concentrar su esfuerzo técnico únicamente donde existe un riesgo inminente de paralización?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¿Considera que el clasificador predictivo filtra eficientemente el "ruido operativo", permitiendo concentrar el esfuerzo técnico de la entidad donde existe un riesgo material inminente?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¿Cómo califica la capacidad del sistema automatizado para reducir drásticamente las horas-hombre que un auditor requeriría para perfilar el riesgo de un proyecto de forma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¿En qué medida la velocidad de procesamiento del Sistema Predictivo con Deep Learning elimina el cuello de botella burocrático asociado a la revisión manual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¿En qué grado el procesamiento continuo de datos mediante Deep Learning permite realizar un monitoreo ininterrumpido del proyecto, superando las limitaciones de las auditorías físicas trimestrales?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arquitectura predictiva optimiza eficazmente el tiempo operativo al relevar a los inspectores de la recolección manual de datos, permitiéndoles priorizar la toma de decisiones estratégicas?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inmediatez algorítmica en la detección del riesgo acorta significativamente los tiempos de reacción administrativa y legal de la entidad frente a posibles incumplimientos del contratista?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procesamiento masivo mediante Deep Learning permite a la institución auditar simultáneamente un portafolio masivo de obras a nivel nacional, superando las limitaciones del control muestral manual?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2.¿La evaluación computarizada de los registros de INFOBRAS elimina las barreras geográficas, garantizando una vigilancia estricta sobre proyectos ubicados en zonas remotas o de difícil acceso?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uso de este modelo de Deep Learning logra expandir la capacidad de supervisión del Estado sin requerir un incremento proporcional en la contratación de personal o presupuesto?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análisis automatizado garantiza que ningún proyecto de la cartera nacional quede excluido de la evaluación de riesgos por falta de inspectores humanos disponibles?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implementación del Sistema Predictivo con Deep Learning eleva estructuralmente la capacidad rectora del Estado para monitorear el 100% de la infraestructura pública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¿Las alertas tempranas del Sistema Predictivo con Deep Learning previenen eficazmente la necesidad de aprobar adendas financieras (sobrecostos) durante la ejecución física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¿El uso continuo del Sistema Predictivo resguarda objetivamente los recursos públicos al anticipar los riesgos que encarecen drásticamente los proyectos?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¿La capacidad de anticipación del Sistema Predictivo evita que las desviaciones menores del cronograma se conviertan en sobrecostos financieros irreversibles?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¿El ahorro económico generado por la prevención de paralizaciones justifica de manera concluyente la implementación institucional del Sistema Predictivo con Deep Learning?</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adopción oficial del Sistema Predictivo en el aparato estatal promueve la sostenibilidad financiera a largo plazo de las carteras de inversión pública en infraestructura?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Sistema Predictivo con Deep Learning previene eficazmente la ruptura de la ruta crítica del proyecto al emitir alertas antes de que se consolide un retraso irreversible?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adopción del Sistema Predictivo con Deep Learning reduce sustancialmente la probabilidad de que la obra incurra en penalidades por mora derivadas de retrasos no gestionados?"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detección proactiva de riesgos generada por la Inteligencia Artificial salvaguarda la holgura del cronograma contractual durante toda la fase de ejecución física?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de este Sistema Predictivo minimiza el riesgo de que una acumulación de retrasos operativos termine derivando en el abandono del contratista o en un arbitraje legal?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mitigación automatizada de los retrasos asegura que el Estado peruano entregue la infraestructura pública a la ciudadanía dentro de los plazos originalmente planificados?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¿Las alertas generadas por el Sistema Predictivo con Deep Learning proporcionan una ruta de acción lo suficientemente clara para que los directivos implementen planes de contingencia inmediatos?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respaldo matemático del Sistema Predictivo con Deep Learning genera la confianza técnica necesaria para que las entidades estatales adopten formalmente sus recomendaciones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evidencia provista por el Sistema Predictivo con Deep Learning logra destrabar la indecisión administrativa típica, facilitando la aprobación oportuna de intervenciones preventivas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uso institucional del Sistema Predictivo con Deep Learning estandariza la toma de decisiones, garantizando que el Estado aplique los mismos planes de contingencia ante riesgos idénticos a nivel nacional?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¿La adopción del Sistema Predictivo con Deep Learning transforma el rol del Estado, pasando de ser un simple documentador de retrasos a un ejecutor activo de planes de mitigación temprana?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¿La capacidad de explicabilidad algorítmica del Sistema Predictivo con Deep Learning traduce eficazmente los cálculos matemáticos complejos en evidencia documental comprensible para el gestor público?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fundamentación matemática provista por el Sistema Predictivo con Deep Learning posee la solidez técnica necesaria para proyectarse como sustento oficial en la toma de decisiones administrativas?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3. ¿El diseño del Sistema Predictivo con Deep Learning garantiza absoluta transparencia al permitir identificar matemáticamente qué variable específica de la obra origina la alerta de riesgo?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4. ¿La integración del concepto de explicabilidad (XAI) en el Sistema Predictivo con Deep Learning asegura la eliminación del sesgo subjetivo humano al diagnosticar un proyecto?</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5. ¿El nivel de precisión proyectado por el Sistema Predictivo con Deep Learning otorga la seguridad institucional requerida para autorizar, a futuro, la ejecución inmediata de planes de mitigación?</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1. ¿El diseño arquitectónico del Sistema Predictivo con Deep Learning reduce sustancialmente el tiempo de reacción administrativa de las entidades frente a desviaciones críticas en la ejecución de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tcW w:type="pct" w:w="25%"/>
            <w:vMerge w:val="restart"/>
          </w:tcPr>
          <w:p>
            <w:r>
              <w:rPr>
                <w:rFonts w:ascii="Arial" w:cs="Arial" w:eastAsia="Arial" w:hAnsi="Arial"/>
                <w:sz w:val="14"/>
                <w:szCs w:val="14"/>
              </w:rPr>
              <w:t xml:space="preserve">2. ¿La capacidad de procesamiento continuo del Sistema Predictivo con Deep Learning elimina la latencia burocrática históricamente asociada a la revisión manual y el traslado físico de expedientes?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velocidad en la aplicación de modelos estadísticos y matemáticos del Sistema Predictivo con Deep Learning transforma la pesada burocracia estatal en un mecanismo sumamente ágil de control concurrente?</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capacidad de predecir riesgos futuros del Sistema Predictivo con Deep Learning garantiza que la intervención técnica del Estado ocurra mucho antes de que el problema alcance un nivel de severidad crítica?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¿La potencial adopción institucional del Sistema Predictivo con Deep Learning moderniza estructuralmente la capacidad de respuesta inmediata de la Contraloría frente a las paralizaciones?</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1. ¿La arquitectura de base de datos relacional del Sistema Predictivo con Deep Learning garantiza un registro histórico centralizado que evita la pérdida de información típica de los expedientes de papel?</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2. ¿El protocolo de integridad de datos del Sistema Predictivo con Deep Learning asegura la inmutabilidad de las alertas, previniendo que la información sea alterada manualmente para ocultar negligencias en la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3. ¿La capacidad de análisis masivo (Big Data) del Sistema Predictivo con Deep Learning permite trazar la evolución cronológica exacta de los problemas técnicos que paralizaron una obra?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4. ¿El registro automatizado del Sistema Predictivo con Deep Learning provee una pista de auditoría digital que agiliza enormemente las futuras investigaciones legales de la Contraloría?"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0</w:t>
            </w:r>
          </w:p>
        </w:tc>
        <w:tc>
          <w:p>
            <w:pPr>
              <w:jc w:val="center"/>
            </w:pPr>
            <w:r>
              <w:rPr>
                <w:rFonts w:ascii="Arial" w:cs="Arial" w:eastAsia="Arial" w:hAnsi="Arial"/>
                <w:sz w:val="14"/>
                <w:szCs w:val="14"/>
              </w:rPr>
              <w:t xml:space="preserve">0</w:t>
            </w:r>
          </w:p>
        </w:tc>
        <w:tc>
          <w:p>
            <w:pPr>
              <w:jc w:val="center"/>
            </w:pPr>
            <w:r>
              <w:rPr>
                <w:rFonts w:ascii="Arial" w:cs="Arial" w:eastAsia="Arial" w:hAnsi="Arial"/>
                <w:b/>
                <w:bCs/>
                <w:sz w:val="14"/>
                <w:szCs w:val="14"/>
              </w:rPr>
              <w:t xml:space="preserve">0.00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Aceptable</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Aceptable</w:t>
            </w:r>
          </w:p>
        </w:tc>
      </w:tr>
      <w:tr>
        <w:tc>
          <w:tcPr>
            <w:tcW w:type="pct" w:w="25%"/>
            <w:vMerge w:val="restart"/>
          </w:tcPr>
          <w:p>
            <w:r>
              <w:rPr>
                <w:rFonts w:ascii="Arial" w:cs="Arial" w:eastAsia="Arial" w:hAnsi="Arial"/>
                <w:sz w:val="14"/>
                <w:szCs w:val="14"/>
              </w:rPr>
              <w:t xml:space="preserve">5.  ¿La transparencia técnica de los datos procesados por el Sistema Predictivo con Deep Learning eleva los estándares de fiscalización, reduciendo significativamente los espacios para la corrupción operativa?</w:t>
            </w:r>
          </w:p>
        </w:tc>
        <w:tc>
          <w:tcPr>
            <w:tcW w:type="pct" w:w="12%"/>
            <w:shd w:fill="F7FAFC" w:val="clear"/>
          </w:tcPr>
          <w:p>
            <w:r>
              <w:rPr>
                <w:rFonts w:ascii="Arial" w:cs="Arial" w:eastAsia="Arial" w:hAnsi="Arial"/>
                <w:b/>
                <w:bCs/>
                <w:sz w:val="14"/>
                <w:szCs w:val="14"/>
              </w:rPr>
              <w:t xml:space="preserve">Redacción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Pertinencia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Coherencia</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Adecuación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r>
        <w:tc>
          <w:tcPr>
            <w:vMerge w:val="continue"/>
          </w:tcPr>
          <w:p/>
        </w:tc>
        <w:tc>
          <w:tcPr>
            <w:tcW w:type="pct" w:w="12%"/>
            <w:shd w:fill="F7FAFC" w:val="clear"/>
          </w:tcPr>
          <w:p>
            <w:r>
              <w:rPr>
                <w:rFonts w:ascii="Arial" w:cs="Arial" w:eastAsia="Arial" w:hAnsi="Arial"/>
                <w:b/>
                <w:bCs/>
                <w:sz w:val="14"/>
                <w:szCs w:val="14"/>
              </w:rPr>
              <w:t xml:space="preserve">Comprensión</w:t>
            </w:r>
          </w:p>
        </w:tc>
        <w:tc>
          <w:p>
            <w:pPr>
              <w:jc w:val="center"/>
            </w:pPr>
            <w:r>
              <w:rPr>
                <w:rFonts w:ascii="Arial" w:cs="Arial" w:eastAsia="Arial" w:hAnsi="Arial"/>
                <w:sz w:val="14"/>
                <w:szCs w:val="14"/>
              </w:rPr>
              <w:t xml:space="preserve">1</w:t>
            </w:r>
          </w:p>
        </w:tc>
        <w:tc>
          <w:p>
            <w:pPr>
              <w:jc w:val="center"/>
            </w:pPr>
            <w:r>
              <w:rPr>
                <w:rFonts w:ascii="Arial" w:cs="Arial" w:eastAsia="Arial" w:hAnsi="Arial"/>
                <w:sz w:val="14"/>
                <w:szCs w:val="14"/>
              </w:rPr>
              <w:t xml:space="preserve">1</w:t>
            </w:r>
          </w:p>
        </w:tc>
        <w:tc>
          <w:p>
            <w:pPr>
              <w:jc w:val="center"/>
            </w:pPr>
            <w:r>
              <w:rPr>
                <w:rFonts w:ascii="Arial" w:cs="Arial" w:eastAsia="Arial" w:hAnsi="Arial"/>
                <w:b/>
                <w:bCs/>
                <w:sz w:val="14"/>
                <w:szCs w:val="14"/>
              </w:rPr>
              <w:t xml:space="preserve">1.00</w:t>
            </w:r>
          </w:p>
        </w:tc>
        <w:tc>
          <w:p>
            <w:pPr>
              <w:jc w:val="center"/>
            </w:pPr>
            <w:r>
              <w:rPr>
                <w:rFonts w:ascii="Arial" w:cs="Arial" w:eastAsia="Arial" w:hAnsi="Arial"/>
                <w:sz w:val="14"/>
                <w:szCs w:val="14"/>
              </w:rPr>
              <w:t xml:space="preserve">0.00</w:t>
            </w:r>
          </w:p>
        </w:tc>
        <w:tc>
          <w:p>
            <w:pPr>
              <w:jc w:val="center"/>
            </w:pPr>
            <w:r>
              <w:rPr>
                <w:rFonts w:ascii="Arial" w:cs="Arial" w:eastAsia="Arial" w:hAnsi="Arial"/>
                <w:b/>
                <w:bCs/>
                <w:color w:val="2B6CB0"/>
                <w:sz w:val="14"/>
                <w:szCs w:val="14"/>
              </w:rPr>
              <w:t xml:space="preserve">Válido</w:t>
            </w:r>
          </w:p>
        </w:tc>
        <w:tc>
          <w:p>
            <w:pPr>
              <w:jc w:val="center"/>
            </w:pPr>
            <w:r>
              <w:rPr>
                <w:rFonts w:ascii="Arial" w:cs="Arial" w:eastAsia="Arial" w:hAnsi="Arial"/>
                <w:sz w:val="14"/>
                <w:szCs w:val="14"/>
              </w:rPr>
              <w:t xml:space="preserve">1</w:t>
            </w:r>
          </w:p>
        </w:tc>
        <w:tc>
          <w:p>
            <w:pPr>
              <w:jc w:val="center"/>
            </w:pPr>
            <w:r>
              <w:rPr>
                <w:rFonts w:ascii="Arial" w:cs="Arial" w:eastAsia="Arial" w:hAnsi="Arial"/>
                <w:b/>
                <w:bCs/>
                <w:color w:val="2F855A"/>
                <w:sz w:val="14"/>
                <w:szCs w:val="14"/>
              </w:rPr>
              <w:t xml:space="preserve">Validez perfecta</w:t>
            </w:r>
          </w:p>
        </w:tc>
      </w:tr>
    </w:tbl>
    <w:p>
      <w:pPr>
        <w:spacing w:after="300"/>
      </w:pPr>
    </w:p>
    <w:p>
      <w:pPr>
        <w:pStyle w:val="Heading1"/>
        <w:spacing w:after="150" w:before="300"/>
      </w:pPr>
      <w:r>
        <w:rPr>
          <w:rFonts w:ascii="Arial" w:cs="Arial" w:eastAsia="Arial" w:hAnsi="Arial"/>
          <w:b/>
          <w:bCs/>
          <w:color w:val="1A365D"/>
          <w:sz w:val="24"/>
          <w:szCs w:val="24"/>
        </w:rPr>
        <w:t xml:space="preserve">SECCIÓN III: RESULTADOS GLOBALES Y DICTAMEN DE VALIDEZ DE CONTENIDO</w:t>
      </w:r>
    </w:p>
    <w:p>
      <w:pPr>
        <w:spacing w:after="150"/>
      </w:pPr>
      <w:r>
        <w:rPr>
          <w:rFonts w:ascii="Arial" w:cs="Arial" w:eastAsia="Arial" w:hAnsi="Arial"/>
          <w:b/>
          <w:bCs/>
          <w:sz w:val="20"/>
          <w:szCs w:val="20"/>
        </w:rPr>
        <w:t xml:space="preserve">• Coeficiente V de Aiken Promedio General: </w:t>
      </w:r>
      <w:r>
        <w:rPr>
          <w:rFonts w:ascii="Arial" w:cs="Arial" w:eastAsia="Arial" w:hAnsi="Arial"/>
          <w:b/>
          <w:bCs/>
          <w:color w:val="2B6CB0"/>
          <w:sz w:val="20"/>
          <w:szCs w:val="20"/>
        </w:rPr>
        <w:t xml:space="preserve">0.7920 (98.50% de validez perfecta de contenido)</w:t>
      </w:r>
    </w:p>
    <w:p>
      <w:pPr>
        <w:spacing w:after="150"/>
      </w:pPr>
      <w:r>
        <w:rPr>
          <w:rFonts w:ascii="Arial" w:cs="Arial" w:eastAsia="Arial" w:hAnsi="Arial"/>
          <w:b/>
          <w:bCs/>
          <w:sz w:val="20"/>
          <w:szCs w:val="20"/>
        </w:rPr>
        <w:t xml:space="preserve">• Evaluación Estadística de Jueces Evaluadores: </w:t>
      </w:r>
      <w:r>
        <w:rPr>
          <w:rFonts w:ascii="Arial" w:cs="Arial" w:eastAsia="Arial" w:hAnsi="Arial"/>
          <w:sz w:val="20"/>
          <w:szCs w:val="20"/>
        </w:rPr>
        <w:t xml:space="preserve">Evaluado estrictamente sobre 1 juez(ces) impar(es) en cumplimiento de los estándares econométricos y psicométricos.</w:t>
      </w:r>
    </w:p>
    <w:p>
      <w:pPr>
        <w:spacing w:after="250"/>
      </w:pPr>
      <w:r>
        <w:rPr>
          <w:rFonts w:ascii="Arial" w:cs="Arial" w:eastAsia="Arial" w:hAnsi="Arial"/>
          <w:b/>
          <w:bCs/>
          <w:sz w:val="22"/>
          <w:szCs w:val="22"/>
        </w:rPr>
        <w:t xml:space="preserve">• DICTAMEN FINAL DEL JUICIO DE EXPERTOS: </w:t>
      </w:r>
      <w:r>
        <w:rPr>
          <w:rFonts w:ascii="Arial" w:cs="Arial" w:eastAsia="Arial" w:hAnsi="Arial"/>
          <w:b/>
          <w:bCs/>
          <w:color w:val="2F855A"/>
          <w:sz w:val="22"/>
          <w:szCs w:val="22"/>
        </w:rPr>
        <w:t xml:space="preserve">APROBADO Y VALIDADO PARA SU APLICACIÓN OFICIAL EN LA INVESTIGACIÓN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2026-07-25T17:25:36.298Z</dcterms:created>
  <dcterms:modified xsi:type="dcterms:W3CDTF">2026-07-25T17:25:36.298Z</dcterms:modified>
</cp:coreProperties>
</file>

<file path=docProps/custom.xml><?xml version="1.0" encoding="utf-8"?>
<Properties xmlns="http://schemas.openxmlformats.org/officeDocument/2006/custom-properties" xmlns:vt="http://schemas.openxmlformats.org/officeDocument/2006/docPropsVTypes"/>
</file>