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65D"/>
          <w:sz w:val="28"/>
          <w:szCs w:val="28"/>
        </w:rPr>
        <w:t xml:space="preserve">INFORME OFICIAL DE VALIDACIÓN DE INSTRUMENTOS DE INVESTIGACIÓN</w:t>
      </w:r>
    </w:p>
    <w:p>
      <w:pPr>
        <w:spacing w:after="200"/>
        <w:jc w:val="center"/>
      </w:pPr>
      <w:r>
        <w:rPr>
          <w:rFonts w:ascii="Arial" w:cs="Arial" w:eastAsia="Arial" w:hAnsi="Arial"/>
          <w:b/>
          <w:bCs/>
          <w:color w:val="2B6CB0"/>
          <w:sz w:val="20"/>
          <w:szCs w:val="20"/>
        </w:rPr>
        <w:t xml:space="preserve">EVALUACIÓN DE VALIDEZ DE CONTENIDO MEDIANTE COEFICIENTE V DE AIKEN Y CVR DE LAWSHE</w:t>
      </w:r>
    </w:p>
    <w:p>
      <w:pPr>
        <w:spacing w:after="150"/>
      </w:pPr>
      <w:r>
        <w:rPr>
          <w:rFonts w:ascii="Arial" w:cs="Arial" w:eastAsia="Arial" w:hAnsi="Arial"/>
          <w:b/>
          <w:bCs/>
          <w:sz w:val="20"/>
          <w:szCs w:val="20"/>
        </w:rPr>
        <w:t xml:space="preserve">TÍTULO DE LA INVESTIGACIÓN: </w:t>
      </w:r>
      <w:r>
        <w:rPr>
          <w:rFonts w:ascii="Arial" w:cs="Arial" w:eastAsia="Arial" w:hAnsi="Arial"/>
          <w:sz w:val="20"/>
          <w:szCs w:val="20"/>
        </w:rPr>
        <w:t xml:space="preserve">Sistema Predictivo con Deep Learning para la Gestión de Riesgos en Proyectos de Infraestructura Pública registrados en INFOBRAS - Contraloría General de la República, Perú, 2020-2024</w:t>
      </w:r>
    </w:p>
    <w:p>
      <w:pPr>
        <w:spacing w:after="300"/>
        <w:jc w:val="left"/>
      </w:pPr>
      <w:r>
        <w:rPr>
          <w:rFonts w:ascii="Arial" w:cs="Arial" w:eastAsia="Arial" w:hAnsi="Arial"/>
          <w:b/>
          <w:bCs/>
          <w:sz w:val="20"/>
          <w:szCs w:val="20"/>
        </w:rPr>
        <w:t xml:space="preserve">AUTOR / INVESTIGADOR PRINCIPAL: </w:t>
      </w:r>
      <w:r>
        <w:rPr>
          <w:rFonts w:ascii="Arial" w:cs="Arial" w:eastAsia="Arial" w:hAnsi="Arial"/>
          <w:sz w:val="20"/>
          <w:szCs w:val="20"/>
        </w:rPr>
        <w:t xml:space="preserve">Luis Alfonso Cruz Gálvez</w:t>
      </w:r>
    </w:p>
    <w:p>
      <w:pPr>
        <w:pStyle w:val="Heading1"/>
        <w:spacing w:after="150" w:before="300"/>
      </w:pPr>
      <w:r>
        <w:rPr>
          <w:rFonts w:ascii="Arial" w:cs="Arial" w:eastAsia="Arial" w:hAnsi="Arial"/>
          <w:b/>
          <w:bCs/>
          <w:color w:val="1A365D"/>
          <w:sz w:val="24"/>
          <w:szCs w:val="24"/>
        </w:rPr>
        <w:t xml:space="preserve">FUNDAMENTACIÓN METODOLÓGICA Y FÓRMULAS DE CÁLCULO (V DE AIKEN Y LAWSHE)</w:t>
      </w:r>
    </w:p>
    <w:p>
      <w:pPr>
        <w:spacing w:after="150"/>
      </w:pPr>
      <w:r>
        <w:rPr>
          <w:rFonts w:ascii="Arial" w:cs="Arial" w:eastAsia="Arial" w:hAnsi="Arial"/>
          <w:sz w:val="20"/>
          <w:szCs w:val="20"/>
        </w:rPr>
        <w:t xml:space="preserve">La validez de contenido determina la representatividad teórica y técnica de los reactivos que conforman los instrumentos de evaluación del Sistema Predictivo con Deep Learning. Para ello se aplican los coeficientes V de Aiken y CVR de Lawshe:</w:t>
      </w:r>
    </w:p>
    <w:p>
      <w:pPr>
        <w:spacing w:after="100" w:before="150"/>
      </w:pPr>
      <w:r>
        <w:rPr>
          <w:rFonts w:ascii="Arial" w:cs="Arial" w:eastAsia="Arial" w:hAnsi="Arial"/>
          <w:b/>
          <w:bCs/>
          <w:color w:val="2B6CB0"/>
          <w:sz w:val="20"/>
          <w:szCs w:val="20"/>
        </w:rPr>
        <w:t xml:space="preserve">1. COEFICIENTE V DE AIKEN (Aiken, 1980, 1985):</w:t>
      </w:r>
    </w:p>
    <w:p>
      <w:pPr>
        <w:spacing w:after="100" w:before="100"/>
        <w:jc w:val="center"/>
      </w:pPr>
      <w:r>
        <w:rPr>
          <w:rFonts w:ascii="Arial" w:cs="Arial" w:eastAsia="Arial" w:hAnsi="Arial"/>
          <w:b/>
          <w:bCs/>
          <w:color w:val="1A365D"/>
          <w:sz w:val="22"/>
          <w:szCs w:val="22"/>
        </w:rPr>
        <w:t xml:space="preserve">V = S / [ N × (c - 1) ]   =   ( Total de Acuerdos ) / N_jueces</w:t>
      </w:r>
    </w:p>
    <w:p>
      <w:pPr>
        <w:spacing w:after="150"/>
      </w:pPr>
      <w:r>
        <w:rPr>
          <w:rFonts w:ascii="Arial" w:cs="Arial" w:eastAsia="Arial" w:hAnsi="Arial"/>
          <w:b/>
          <w:bCs/>
          <w:sz w:val="19"/>
          <w:szCs w:val="19"/>
        </w:rPr>
        <w:t xml:space="preserve">Donde:
</w:t>
      </w:r>
      <w:r>
        <w:rPr>
          <w:rFonts w:ascii="Arial" w:cs="Arial" w:eastAsia="Arial" w:hAnsi="Arial"/>
          <w:sz w:val="18"/>
          <w:szCs w:val="18"/>
        </w:rPr>
        <w:t xml:space="preserve">• S = Σ (r_i - l) : Suma de acuerdos y valoraciones de los jueces evaluadores.
</w:t>
      </w:r>
      <w:r>
        <w:rPr>
          <w:rFonts w:ascii="Arial" w:cs="Arial" w:eastAsia="Arial" w:hAnsi="Arial"/>
          <w:sz w:val="18"/>
          <w:szCs w:val="18"/>
        </w:rPr>
        <w:t xml:space="preserve">• N : Número de jueces evaluadores participantes en la matriz de validación.
</w:t>
      </w:r>
      <w:r>
        <w:rPr>
          <w:rFonts w:ascii="Arial" w:cs="Arial" w:eastAsia="Arial" w:hAnsi="Arial"/>
          <w:sz w:val="18"/>
          <w:szCs w:val="18"/>
        </w:rPr>
        <w:t xml:space="preserve">• c : Número de categorías de calificación (c = 5 en escala Likert, c = 2 para concordancia binaria).
</w:t>
      </w:r>
      <w:r>
        <w:rPr>
          <w:rFonts w:ascii="Arial" w:cs="Arial" w:eastAsia="Arial" w:hAnsi="Arial"/>
          <w:b/>
          <w:bCs/>
          <w:color w:val="2F855A"/>
          <w:sz w:val="19"/>
          <w:szCs w:val="19"/>
        </w:rPr>
        <w:t xml:space="preserve">• Criterio de Aceptación: Un coeficiente V ≥ 0.80 indica una validez de contenido perfecta y estadísticamente significativa (p &lt; 0.05).</w:t>
      </w:r>
    </w:p>
    <w:p>
      <w:pPr>
        <w:spacing w:after="100" w:before="150"/>
      </w:pPr>
      <w:r>
        <w:rPr>
          <w:rFonts w:ascii="Arial" w:cs="Arial" w:eastAsia="Arial" w:hAnsi="Arial"/>
          <w:b/>
          <w:bCs/>
          <w:color w:val="2B6CB0"/>
          <w:sz w:val="20"/>
          <w:szCs w:val="20"/>
        </w:rPr>
        <w:t xml:space="preserve">2. RAZÓN DE VALIDEZ DE CONTENIDO DE LAWSHE (CVR) (Lawshe, 1975):</w:t>
      </w:r>
    </w:p>
    <w:p>
      <w:pPr>
        <w:spacing w:after="100" w:before="100"/>
        <w:jc w:val="center"/>
      </w:pPr>
      <w:r>
        <w:rPr>
          <w:rFonts w:ascii="Arial" w:cs="Arial" w:eastAsia="Arial" w:hAnsi="Arial"/>
          <w:b/>
          <w:bCs/>
          <w:color w:val="1A365D"/>
          <w:sz w:val="22"/>
          <w:szCs w:val="22"/>
        </w:rPr>
        <w:t xml:space="preserve">CVR = [ n_e - (N / 2) ] / (N / 2)</w:t>
      </w:r>
    </w:p>
    <w:p>
      <w:pPr>
        <w:spacing w:after="200"/>
      </w:pPr>
      <w:r>
        <w:rPr>
          <w:rFonts w:ascii="Arial" w:cs="Arial" w:eastAsia="Arial" w:hAnsi="Arial"/>
          <w:b/>
          <w:bCs/>
          <w:sz w:val="19"/>
          <w:szCs w:val="19"/>
        </w:rPr>
        <w:t xml:space="preserve">Donde:
</w:t>
      </w:r>
      <w:r>
        <w:rPr>
          <w:rFonts w:ascii="Arial" w:cs="Arial" w:eastAsia="Arial" w:hAnsi="Arial"/>
          <w:sz w:val="18"/>
          <w:szCs w:val="18"/>
        </w:rPr>
        <w:t xml:space="preserve">• n_e : Número de jueces expertos que evalúan el ítem como 'Válido / Conforme'.
</w:t>
      </w:r>
      <w:r>
        <w:rPr>
          <w:rFonts w:ascii="Arial" w:cs="Arial" w:eastAsia="Arial" w:hAnsi="Arial"/>
          <w:sz w:val="18"/>
          <w:szCs w:val="18"/>
        </w:rPr>
        <w:t xml:space="preserve">• N : Número total de jueces evaluadores.
</w:t>
      </w:r>
      <w:r>
        <w:rPr>
          <w:rFonts w:ascii="Arial" w:cs="Arial" w:eastAsia="Arial" w:hAnsi="Arial"/>
          <w:b/>
          <w:bCs/>
          <w:color w:val="2F855A"/>
          <w:sz w:val="19"/>
          <w:szCs w:val="19"/>
        </w:rPr>
        <w:t xml:space="preserve">• Interpretación: CVR = 1.00 indica un consenso unánime del 100% de los expertos (Validez Perfecta).</w:t>
      </w:r>
    </w:p>
    <w:p>
      <w:pPr>
        <w:pStyle w:val="Heading1"/>
        <w:spacing w:after="150" w:before="300"/>
      </w:pPr>
      <w:r>
        <w:rPr>
          <w:rFonts w:ascii="Arial" w:cs="Arial" w:eastAsia="Arial" w:hAnsi="Arial"/>
          <w:b/>
          <w:bCs/>
          <w:color w:val="1A365D"/>
          <w:sz w:val="24"/>
          <w:szCs w:val="24"/>
        </w:rPr>
        <w:t xml:space="preserve">SECCIÓN I: FICHAS DE VALIDACIÓN DEL CONTENIDO DEL INSTRUMENTO</w:t>
      </w:r>
    </w:p>
    <w:p>
      <w:pPr>
        <w:spacing w:after="200"/>
      </w:pPr>
      <w:r>
        <w:rPr>
          <w:rFonts w:ascii="Arial" w:cs="Arial" w:eastAsia="Arial" w:hAnsi="Arial"/>
          <w:sz w:val="20"/>
          <w:szCs w:val="20"/>
        </w:rPr>
        <w:t xml:space="preserve">A continuación se presentan las Fichas de Validación del Contenido suscritas por los 2 expertos evaluadores participantes:</w:t>
      </w:r>
    </w:p>
    <w:p>
      <w:pPr>
        <w:spacing w:after="100" w:before="200"/>
      </w:pPr>
      <w:r>
        <w:rPr>
          <w:rFonts w:ascii="Arial" w:cs="Arial" w:eastAsia="Arial" w:hAnsi="Arial"/>
          <w:b/>
          <w:bCs/>
          <w:color w:val="2D3748"/>
          <w:sz w:val="22"/>
          <w:szCs w:val="22"/>
        </w:rPr>
        <w:t xml:space="preserve">Ficha de Validación N° 1: Luis Alfonso Cruz Gálvez [Código: J1 (09091855)]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F2F7" w:val="clear"/>
          </w:tcPr>
          <w:p>
            <w:r>
              <w:rPr>
                <w:rFonts w:ascii="Arial" w:cs="Arial" w:eastAsia="Arial" w:hAnsi="Arial"/>
                <w:b/>
                <w:bCs/>
                <w:sz w:val="18"/>
                <w:szCs w:val="18"/>
              </w:rPr>
              <w:t xml:space="preserve">Nombre del Instrumento</w:t>
            </w:r>
          </w:p>
        </w:tc>
        <w:tc>
          <w:tcPr>
            <w:tcW w:type="pct" w:w="70%"/>
          </w:tcPr>
          <w:p>
            <w:r>
              <w:rPr>
                <w:rFonts w:ascii="Arial" w:cs="Arial" w:eastAsia="Arial" w:hAnsi="Arial"/>
                <w:sz w:val="18"/>
                <w:szCs w:val="18"/>
              </w:rPr>
              <w:t xml:space="preserve">Validación del Sistema Predictivo con Deep Learning y Gestión de Riesgos INFOBRAS</w:t>
            </w:r>
          </w:p>
        </w:tc>
      </w:tr>
      <w:tr>
        <w:tc>
          <w:tcPr>
            <w:tcW w:type="pct" w:w="30%"/>
            <w:shd w:fill="EDF2F7" w:val="clear"/>
          </w:tcPr>
          <w:p>
            <w:r>
              <w:rPr>
                <w:rFonts w:ascii="Arial" w:cs="Arial" w:eastAsia="Arial" w:hAnsi="Arial"/>
                <w:b/>
                <w:bCs/>
                <w:sz w:val="18"/>
                <w:szCs w:val="18"/>
              </w:rPr>
              <w:t xml:space="preserve">Objetivo del Instrumento</w:t>
            </w:r>
          </w:p>
        </w:tc>
        <w:tc>
          <w:tcPr>
            <w:tcW w:type="pct" w:w="70%"/>
          </w:tcPr>
          <w:p>
            <w:r>
              <w:rPr>
                <w:rFonts w:ascii="Arial" w:cs="Arial" w:eastAsia="Arial" w:hAnsi="Arial"/>
                <w:sz w:val="18"/>
                <w:szCs w:val="18"/>
              </w:rPr>
              <w:t xml:space="preserve">Medir y evaluar la validez de contenido de la arquitectura predictiva y la gestión de riesgos en obras públicas.</w:t>
            </w:r>
          </w:p>
        </w:tc>
      </w:tr>
      <w:tr>
        <w:tc>
          <w:tcPr>
            <w:tcW w:type="pct" w:w="30%"/>
            <w:shd w:fill="EDF2F7" w:val="clear"/>
          </w:tcPr>
          <w:p>
            <w:r>
              <w:rPr>
                <w:rFonts w:ascii="Arial" w:cs="Arial" w:eastAsia="Arial" w:hAnsi="Arial"/>
                <w:b/>
                <w:bCs/>
                <w:sz w:val="18"/>
                <w:szCs w:val="18"/>
              </w:rPr>
              <w:t xml:space="preserve">Aplicado a la Muestra Participante</w:t>
            </w:r>
          </w:p>
        </w:tc>
        <w:tc>
          <w:tcPr>
            <w:tcW w:type="pct" w:w="70%"/>
          </w:tcPr>
          <w:p>
            <w:r>
              <w:rPr>
                <w:rFonts w:ascii="Arial" w:cs="Arial" w:eastAsia="Arial" w:hAnsi="Arial"/>
                <w:sz w:val="18"/>
                <w:szCs w:val="18"/>
              </w:rPr>
              <w:t xml:space="preserve">54,226 Proyectos de Infraestructura Pública registrados en INFOBRAS - Contraloría General de la República (2020-2024) y muestra experimental analizada de 1,302 obras públicas.</w:t>
            </w:r>
          </w:p>
        </w:tc>
      </w:tr>
      <w:tr>
        <w:tc>
          <w:tcPr>
            <w:tcW w:type="pct" w:w="30%"/>
            <w:shd w:fill="E2E8F0" w:val="clear"/>
          </w:tcPr>
          <w:p>
            <w:r>
              <w:rPr>
                <w:rFonts w:ascii="Arial" w:cs="Arial" w:eastAsia="Arial" w:hAnsi="Arial"/>
                <w:b/>
                <w:bCs/>
                <w:color w:val="1A365D"/>
                <w:sz w:val="18"/>
                <w:szCs w:val="18"/>
              </w:rPr>
              <w:t xml:space="preserve">Código del Validador</w:t>
            </w:r>
          </w:p>
        </w:tc>
        <w:tc>
          <w:tcPr>
            <w:tcW w:type="pct" w:w="70%"/>
            <w:shd w:fill="EBF8FF" w:val="clear"/>
          </w:tcPr>
          <w:p>
            <w:r>
              <w:rPr>
                <w:rFonts w:ascii="Arial" w:cs="Arial" w:eastAsia="Arial" w:hAnsi="Arial"/>
                <w:b/>
                <w:bCs/>
                <w:color w:val="2B6CB0"/>
                <w:sz w:val="18"/>
                <w:szCs w:val="18"/>
              </w:rPr>
              <w:t xml:space="preserve">J1 (09091855)</w:t>
            </w:r>
          </w:p>
        </w:tc>
      </w:tr>
      <w:tr>
        <w:tc>
          <w:tcPr>
            <w:tcW w:type="pct" w:w="30%"/>
            <w:shd w:fill="EDF2F7" w:val="clear"/>
          </w:tcPr>
          <w:p>
            <w:r>
              <w:rPr>
                <w:rFonts w:ascii="Arial" w:cs="Arial" w:eastAsia="Arial" w:hAnsi="Arial"/>
                <w:b/>
                <w:bCs/>
                <w:sz w:val="18"/>
                <w:szCs w:val="18"/>
              </w:rPr>
              <w:t xml:space="preserve">Nombres y Apellidos del Experto</w:t>
            </w:r>
          </w:p>
        </w:tc>
        <w:tc>
          <w:tcPr>
            <w:tcW w:type="pct" w:w="70%"/>
          </w:tcPr>
          <w:p>
            <w:r>
              <w:rPr>
                <w:rFonts w:ascii="Arial" w:cs="Arial" w:eastAsia="Arial" w:hAnsi="Arial"/>
                <w:b/>
                <w:bCs/>
                <w:sz w:val="18"/>
                <w:szCs w:val="18"/>
              </w:rPr>
              <w:t xml:space="preserve">Luis Alfonso Cruz Gálvez</w:t>
            </w:r>
          </w:p>
        </w:tc>
      </w:tr>
      <w:tr>
        <w:tc>
          <w:tcPr>
            <w:tcW w:type="pct" w:w="30%"/>
            <w:shd w:fill="EDF2F7" w:val="clear"/>
          </w:tcPr>
          <w:p>
            <w:r>
              <w:rPr>
                <w:rFonts w:ascii="Arial" w:cs="Arial" w:eastAsia="Arial" w:hAnsi="Arial"/>
                <w:b/>
                <w:bCs/>
                <w:sz w:val="18"/>
                <w:szCs w:val="18"/>
              </w:rPr>
              <w:t xml:space="preserve">Título Profesional / Especialidad</w:t>
            </w:r>
          </w:p>
        </w:tc>
        <w:tc>
          <w:tcPr>
            <w:tcW w:type="pct" w:w="70%"/>
          </w:tcPr>
          <w:p>
            <w:r>
              <w:rPr>
                <w:rFonts w:ascii="Arial" w:cs="Arial" w:eastAsia="Arial" w:hAnsi="Arial"/>
                <w:sz w:val="18"/>
                <w:szCs w:val="18"/>
              </w:rPr>
              <w:t xml:space="preserve">Investigador Principal</w:t>
            </w:r>
          </w:p>
        </w:tc>
      </w:tr>
      <w:tr>
        <w:tc>
          <w:tcPr>
            <w:tcW w:type="pct" w:w="30%"/>
            <w:shd w:fill="EDF2F7" w:val="clear"/>
          </w:tcPr>
          <w:p>
            <w:r>
              <w:rPr>
                <w:rFonts w:ascii="Arial" w:cs="Arial" w:eastAsia="Arial" w:hAnsi="Arial"/>
                <w:b/>
                <w:bCs/>
                <w:sz w:val="18"/>
                <w:szCs w:val="18"/>
              </w:rPr>
              <w:t xml:space="preserve">Grado Académico</w:t>
            </w:r>
          </w:p>
        </w:tc>
        <w:tc>
          <w:tcPr>
            <w:tcW w:type="pct" w:w="70%"/>
          </w:tcPr>
          <w:p>
            <w:r>
              <w:rPr>
                <w:rFonts w:ascii="Arial" w:cs="Arial" w:eastAsia="Arial" w:hAnsi="Arial"/>
                <w:b/>
                <w:bCs/>
                <w:sz w:val="18"/>
                <w:szCs w:val="18"/>
              </w:rPr>
              <w:t xml:space="preserve">Doctor</w:t>
            </w:r>
          </w:p>
        </w:tc>
      </w:tr>
      <w:tr>
        <w:tc>
          <w:tcPr>
            <w:tcW w:type="pct" w:w="30%"/>
            <w:shd w:fill="EDF2F7" w:val="clear"/>
          </w:tcPr>
          <w:p>
            <w:r>
              <w:rPr>
                <w:rFonts w:ascii="Arial" w:cs="Arial" w:eastAsia="Arial" w:hAnsi="Arial"/>
                <w:b/>
                <w:bCs/>
                <w:sz w:val="18"/>
                <w:szCs w:val="18"/>
              </w:rPr>
              <w:t xml:space="preserve">Lugar y Fecha de Validación</w:t>
            </w:r>
          </w:p>
        </w:tc>
        <w:tc>
          <w:tcPr>
            <w:tcW w:type="pct" w:w="70%"/>
          </w:tcPr>
          <w:p>
            <w:r>
              <w:rPr>
                <w:rFonts w:ascii="Arial" w:cs="Arial" w:eastAsia="Arial" w:hAnsi="Arial"/>
                <w:sz w:val="18"/>
                <w:szCs w:val="18"/>
              </w:rPr>
              <w:t xml:space="preserve">Lima, 25 de julio del 2026</w:t>
            </w:r>
          </w:p>
        </w:tc>
      </w:tr>
      <w:tr>
        <w:tc>
          <w:tcPr>
            <w:tcW w:type="pct" w:w="30%"/>
            <w:shd w:fill="EDF2F7" w:val="clear"/>
          </w:tcPr>
          <w:p>
            <w:r>
              <w:rPr>
                <w:rFonts w:ascii="Arial" w:cs="Arial" w:eastAsia="Arial" w:hAnsi="Arial"/>
                <w:b/>
                <w:bCs/>
                <w:sz w:val="18"/>
                <w:szCs w:val="18"/>
              </w:rPr>
              <w:t xml:space="preserve">Firma del Experto</w:t>
            </w:r>
          </w:p>
        </w:tc>
        <w:tc>
          <w:tcPr>
            <w:tcW w:type="pct" w:w="70%"/>
          </w:tcPr>
          <w:p>
            <w:r>
              <w:rPr>
                <w:rFonts w:ascii="Arial" w:cs="Arial" w:eastAsia="Arial" w:hAnsi="Arial"/>
                <w:b/>
                <w:bCs/>
                <w:color w:val="4A5568"/>
                <w:sz w:val="18"/>
                <w:szCs w:val="18"/>
              </w:rPr>
              <w:t xml:space="preserve">____________________________________
</w:t>
            </w:r>
            <w:r>
              <w:rPr>
                <w:rFonts w:ascii="Arial" w:cs="Arial" w:eastAsia="Arial" w:hAnsi="Arial"/>
                <w:b/>
                <w:bCs/>
                <w:sz w:val="16"/>
                <w:szCs w:val="16"/>
              </w:rPr>
              <w:t xml:space="preserve">Luis Alfonso Cruz Gálvez
</w:t>
            </w:r>
            <w:r>
              <w:rPr>
                <w:rFonts w:ascii="Arial" w:cs="Arial" w:eastAsia="Arial" w:hAnsi="Arial"/>
                <w:color w:val="718096"/>
                <w:sz w:val="14"/>
                <w:szCs w:val="14"/>
              </w:rPr>
              <w:t xml:space="preserve">Investigador Principal
</w:t>
            </w:r>
            <w:r>
              <w:rPr>
                <w:rFonts w:ascii="Arial" w:cs="Arial" w:eastAsia="Arial" w:hAnsi="Arial"/>
                <w:b/>
                <w:bCs/>
                <w:color w:val="2B6CB0"/>
                <w:sz w:val="14"/>
                <w:szCs w:val="14"/>
              </w:rPr>
              <w:t xml:space="preserve">Firma Digital Registrada - Validador [J1 (09091855)]</w:t>
            </w:r>
          </w:p>
        </w:tc>
      </w:tr>
    </w:tbl>
    <w:p>
      <w:pPr>
        <w:spacing w:after="250"/>
      </w:pPr>
    </w:p>
    <w:p>
      <w:pPr>
        <w:spacing w:after="100" w:before="200"/>
      </w:pPr>
      <w:r>
        <w:rPr>
          <w:rFonts w:ascii="Arial" w:cs="Arial" w:eastAsia="Arial" w:hAnsi="Arial"/>
          <w:b/>
          <w:bCs/>
          <w:color w:val="2D3748"/>
          <w:sz w:val="22"/>
          <w:szCs w:val="22"/>
        </w:rPr>
        <w:t xml:space="preserve">Ficha de Validación N° 2: Marco Antonio Tipismana Neyra [Código: J2 (EXP-23TJ)]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F2F7" w:val="clear"/>
          </w:tcPr>
          <w:p>
            <w:r>
              <w:rPr>
                <w:rFonts w:ascii="Arial" w:cs="Arial" w:eastAsia="Arial" w:hAnsi="Arial"/>
                <w:b/>
                <w:bCs/>
                <w:sz w:val="18"/>
                <w:szCs w:val="18"/>
              </w:rPr>
              <w:t xml:space="preserve">Nombre del Instrumento</w:t>
            </w:r>
          </w:p>
        </w:tc>
        <w:tc>
          <w:tcPr>
            <w:tcW w:type="pct" w:w="70%"/>
          </w:tcPr>
          <w:p>
            <w:r>
              <w:rPr>
                <w:rFonts w:ascii="Arial" w:cs="Arial" w:eastAsia="Arial" w:hAnsi="Arial"/>
                <w:sz w:val="18"/>
                <w:szCs w:val="18"/>
              </w:rPr>
              <w:t xml:space="preserve">Validación del Sistema Predictivo con Deep Learning y Gestión de Riesgos INFOBRAS</w:t>
            </w:r>
          </w:p>
        </w:tc>
      </w:tr>
      <w:tr>
        <w:tc>
          <w:tcPr>
            <w:tcW w:type="pct" w:w="30%"/>
            <w:shd w:fill="EDF2F7" w:val="clear"/>
          </w:tcPr>
          <w:p>
            <w:r>
              <w:rPr>
                <w:rFonts w:ascii="Arial" w:cs="Arial" w:eastAsia="Arial" w:hAnsi="Arial"/>
                <w:b/>
                <w:bCs/>
                <w:sz w:val="18"/>
                <w:szCs w:val="18"/>
              </w:rPr>
              <w:t xml:space="preserve">Objetivo del Instrumento</w:t>
            </w:r>
          </w:p>
        </w:tc>
        <w:tc>
          <w:tcPr>
            <w:tcW w:type="pct" w:w="70%"/>
          </w:tcPr>
          <w:p>
            <w:r>
              <w:rPr>
                <w:rFonts w:ascii="Arial" w:cs="Arial" w:eastAsia="Arial" w:hAnsi="Arial"/>
                <w:sz w:val="18"/>
                <w:szCs w:val="18"/>
              </w:rPr>
              <w:t xml:space="preserve">Medir y evaluar la validez de contenido de la arquitectura predictiva y la gestión de riesgos en obras públicas.</w:t>
            </w:r>
          </w:p>
        </w:tc>
      </w:tr>
      <w:tr>
        <w:tc>
          <w:tcPr>
            <w:tcW w:type="pct" w:w="30%"/>
            <w:shd w:fill="EDF2F7" w:val="clear"/>
          </w:tcPr>
          <w:p>
            <w:r>
              <w:rPr>
                <w:rFonts w:ascii="Arial" w:cs="Arial" w:eastAsia="Arial" w:hAnsi="Arial"/>
                <w:b/>
                <w:bCs/>
                <w:sz w:val="18"/>
                <w:szCs w:val="18"/>
              </w:rPr>
              <w:t xml:space="preserve">Aplicado a la Muestra Participante</w:t>
            </w:r>
          </w:p>
        </w:tc>
        <w:tc>
          <w:tcPr>
            <w:tcW w:type="pct" w:w="70%"/>
          </w:tcPr>
          <w:p>
            <w:r>
              <w:rPr>
                <w:rFonts w:ascii="Arial" w:cs="Arial" w:eastAsia="Arial" w:hAnsi="Arial"/>
                <w:sz w:val="18"/>
                <w:szCs w:val="18"/>
              </w:rPr>
              <w:t xml:space="preserve">54,226 Proyectos de Infraestructura Pública registrados en INFOBRAS - Contraloría General de la República (2020-2024) y muestra experimental analizada de 1,302 obras públicas.</w:t>
            </w:r>
          </w:p>
        </w:tc>
      </w:tr>
      <w:tr>
        <w:tc>
          <w:tcPr>
            <w:tcW w:type="pct" w:w="30%"/>
            <w:shd w:fill="E2E8F0" w:val="clear"/>
          </w:tcPr>
          <w:p>
            <w:r>
              <w:rPr>
                <w:rFonts w:ascii="Arial" w:cs="Arial" w:eastAsia="Arial" w:hAnsi="Arial"/>
                <w:b/>
                <w:bCs/>
                <w:color w:val="1A365D"/>
                <w:sz w:val="18"/>
                <w:szCs w:val="18"/>
              </w:rPr>
              <w:t xml:space="preserve">Código del Validador</w:t>
            </w:r>
          </w:p>
        </w:tc>
        <w:tc>
          <w:tcPr>
            <w:tcW w:type="pct" w:w="70%"/>
            <w:shd w:fill="EBF8FF" w:val="clear"/>
          </w:tcPr>
          <w:p>
            <w:r>
              <w:rPr>
                <w:rFonts w:ascii="Arial" w:cs="Arial" w:eastAsia="Arial" w:hAnsi="Arial"/>
                <w:b/>
                <w:bCs/>
                <w:color w:val="2B6CB0"/>
                <w:sz w:val="18"/>
                <w:szCs w:val="18"/>
              </w:rPr>
              <w:t xml:space="preserve">J2 (EXP-23TJ)</w:t>
            </w:r>
          </w:p>
        </w:tc>
      </w:tr>
      <w:tr>
        <w:tc>
          <w:tcPr>
            <w:tcW w:type="pct" w:w="30%"/>
            <w:shd w:fill="EDF2F7" w:val="clear"/>
          </w:tcPr>
          <w:p>
            <w:r>
              <w:rPr>
                <w:rFonts w:ascii="Arial" w:cs="Arial" w:eastAsia="Arial" w:hAnsi="Arial"/>
                <w:b/>
                <w:bCs/>
                <w:sz w:val="18"/>
                <w:szCs w:val="18"/>
              </w:rPr>
              <w:t xml:space="preserve">Nombres y Apellidos del Experto</w:t>
            </w:r>
          </w:p>
        </w:tc>
        <w:tc>
          <w:tcPr>
            <w:tcW w:type="pct" w:w="70%"/>
          </w:tcPr>
          <w:p>
            <w:r>
              <w:rPr>
                <w:rFonts w:ascii="Arial" w:cs="Arial" w:eastAsia="Arial" w:hAnsi="Arial"/>
                <w:b/>
                <w:bCs/>
                <w:sz w:val="18"/>
                <w:szCs w:val="18"/>
              </w:rPr>
              <w:t xml:space="preserve">Marco Antonio Tipismana Neyra</w:t>
            </w:r>
          </w:p>
        </w:tc>
      </w:tr>
      <w:tr>
        <w:tc>
          <w:tcPr>
            <w:tcW w:type="pct" w:w="30%"/>
            <w:shd w:fill="EDF2F7" w:val="clear"/>
          </w:tcPr>
          <w:p>
            <w:r>
              <w:rPr>
                <w:rFonts w:ascii="Arial" w:cs="Arial" w:eastAsia="Arial" w:hAnsi="Arial"/>
                <w:b/>
                <w:bCs/>
                <w:sz w:val="18"/>
                <w:szCs w:val="18"/>
              </w:rPr>
              <w:t xml:space="preserve">Título Profesional / Especialidad</w:t>
            </w:r>
          </w:p>
        </w:tc>
        <w:tc>
          <w:tcPr>
            <w:tcW w:type="pct" w:w="70%"/>
          </w:tcPr>
          <w:p>
            <w:r>
              <w:rPr>
                <w:rFonts w:ascii="Arial" w:cs="Arial" w:eastAsia="Arial" w:hAnsi="Arial"/>
                <w:sz w:val="18"/>
                <w:szCs w:val="18"/>
              </w:rPr>
              <w:t xml:space="preserve">Licenciado en Administración</w:t>
            </w:r>
          </w:p>
        </w:tc>
      </w:tr>
      <w:tr>
        <w:tc>
          <w:tcPr>
            <w:tcW w:type="pct" w:w="30%"/>
            <w:shd w:fill="EDF2F7" w:val="clear"/>
          </w:tcPr>
          <w:p>
            <w:r>
              <w:rPr>
                <w:rFonts w:ascii="Arial" w:cs="Arial" w:eastAsia="Arial" w:hAnsi="Arial"/>
                <w:b/>
                <w:bCs/>
                <w:sz w:val="18"/>
                <w:szCs w:val="18"/>
              </w:rPr>
              <w:t xml:space="preserve">Grado Académico</w:t>
            </w:r>
          </w:p>
        </w:tc>
        <w:tc>
          <w:tcPr>
            <w:tcW w:type="pct" w:w="70%"/>
          </w:tcPr>
          <w:p>
            <w:r>
              <w:rPr>
                <w:rFonts w:ascii="Arial" w:cs="Arial" w:eastAsia="Arial" w:hAnsi="Arial"/>
                <w:b/>
                <w:bCs/>
                <w:sz w:val="18"/>
                <w:szCs w:val="18"/>
              </w:rPr>
              <w:t xml:space="preserve">Doctor</w:t>
            </w:r>
          </w:p>
        </w:tc>
      </w:tr>
      <w:tr>
        <w:tc>
          <w:tcPr>
            <w:tcW w:type="pct" w:w="30%"/>
            <w:shd w:fill="EDF2F7" w:val="clear"/>
          </w:tcPr>
          <w:p>
            <w:r>
              <w:rPr>
                <w:rFonts w:ascii="Arial" w:cs="Arial" w:eastAsia="Arial" w:hAnsi="Arial"/>
                <w:b/>
                <w:bCs/>
                <w:sz w:val="18"/>
                <w:szCs w:val="18"/>
              </w:rPr>
              <w:t xml:space="preserve">Lugar y Fecha de Validación</w:t>
            </w:r>
          </w:p>
        </w:tc>
        <w:tc>
          <w:tcPr>
            <w:tcW w:type="pct" w:w="70%"/>
          </w:tcPr>
          <w:p>
            <w:r>
              <w:rPr>
                <w:rFonts w:ascii="Arial" w:cs="Arial" w:eastAsia="Arial" w:hAnsi="Arial"/>
                <w:sz w:val="18"/>
                <w:szCs w:val="18"/>
              </w:rPr>
              <w:t xml:space="preserve">Lima, 25 de julio del 2026</w:t>
            </w:r>
          </w:p>
        </w:tc>
      </w:tr>
      <w:tr>
        <w:tc>
          <w:tcPr>
            <w:tcW w:type="pct" w:w="30%"/>
            <w:shd w:fill="EDF2F7" w:val="clear"/>
          </w:tcPr>
          <w:p>
            <w:r>
              <w:rPr>
                <w:rFonts w:ascii="Arial" w:cs="Arial" w:eastAsia="Arial" w:hAnsi="Arial"/>
                <w:b/>
                <w:bCs/>
                <w:sz w:val="18"/>
                <w:szCs w:val="18"/>
              </w:rPr>
              <w:t xml:space="preserve">Firma del Experto</w:t>
            </w:r>
          </w:p>
        </w:tc>
        <w:tc>
          <w:tcPr>
            <w:tcW w:type="pct" w:w="70%"/>
          </w:tcPr>
          <w:p>
            <w:r>
              <w:drawing>
                <wp:inline distT="0" distB="0" distL="0" distR="0">
                  <wp:extent cx="1333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476250"/>
                          </a:xfrm>
                          <a:prstGeom prst="rect">
                            <a:avLst/>
                          </a:prstGeom>
                        </pic:spPr>
                      </pic:pic>
                    </a:graphicData>
                  </a:graphic>
                </wp:inline>
              </w:drawing>
            </w:r>
          </w:p>
        </w:tc>
      </w:tr>
    </w:tbl>
    <w:p>
      <w:pPr>
        <w:spacing w:after="250"/>
      </w:pPr>
    </w:p>
    <w:p>
      <w:pPr>
        <w:pStyle w:val="Heading1"/>
        <w:spacing w:after="150" w:before="300"/>
      </w:pPr>
      <w:r>
        <w:rPr>
          <w:rFonts w:ascii="Arial" w:cs="Arial" w:eastAsia="Arial" w:hAnsi="Arial"/>
          <w:b/>
          <w:bCs/>
          <w:color w:val="1A365D"/>
          <w:sz w:val="24"/>
          <w:szCs w:val="24"/>
        </w:rPr>
        <w:t xml:space="preserve">SECCIÓN II: MATRIZ DE EVALUACIÓN V DE AIKEN Y CVR DE LAWSHE (2 JUECES EVALUADORES)</w:t>
      </w:r>
    </w:p>
    <w:p>
      <w:pPr>
        <w:spacing w:after="200"/>
      </w:pPr>
      <w:r>
        <w:rPr>
          <w:rFonts w:ascii="Arial" w:cs="Arial" w:eastAsia="Arial" w:hAnsi="Arial"/>
          <w:sz w:val="20"/>
          <w:szCs w:val="20"/>
        </w:rPr>
        <w:t xml:space="preserve">En la presente matriz se refleja la validación de datos y veredictos (1 ó 0) de cada uno de los 2 jueces evaluadores, identificados por su código asignado en la Ficha de Validación: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vMerge w:val="restart"/>
            <w:shd w:fill="1A365D" w:val="clear"/>
          </w:tcPr>
          <w:p>
            <w:pPr>
              <w:jc w:val="center"/>
            </w:pPr>
            <w:r>
              <w:rPr>
                <w:rFonts w:ascii="Arial" w:cs="Arial" w:eastAsia="Arial" w:hAnsi="Arial"/>
                <w:b/>
                <w:bCs/>
                <w:color w:val="FFFFFF"/>
                <w:sz w:val="16"/>
                <w:szCs w:val="16"/>
              </w:rPr>
              <w:t xml:space="preserve">Ítems</w:t>
            </w:r>
          </w:p>
        </w:tc>
        <w:tc>
          <w:tcPr>
            <w:vMerge w:val="restart"/>
            <w:shd w:fill="1A365D" w:val="clear"/>
          </w:tcPr>
          <w:p>
            <w:pPr>
              <w:jc w:val="center"/>
            </w:pPr>
            <w:r>
              <w:rPr>
                <w:rFonts w:ascii="Arial" w:cs="Arial" w:eastAsia="Arial" w:hAnsi="Arial"/>
                <w:b/>
                <w:bCs/>
                <w:color w:val="FFFFFF"/>
                <w:sz w:val="16"/>
                <w:szCs w:val="16"/>
              </w:rPr>
              <w:t xml:space="preserve">Criterios</w:t>
            </w:r>
          </w:p>
        </w:tc>
        <w:tc>
          <w:tcPr>
            <w:shd w:fill="1A365D" w:val="clear"/>
          </w:tcPr>
          <w:p>
            <w:pPr>
              <w:jc w:val="center"/>
            </w:pPr>
            <w:r>
              <w:rPr>
                <w:rFonts w:ascii="Arial" w:cs="Arial" w:eastAsia="Arial" w:hAnsi="Arial"/>
                <w:b/>
                <w:bCs/>
                <w:color w:val="FFFFFF"/>
                <w:sz w:val="16"/>
                <w:szCs w:val="16"/>
              </w:rPr>
              <w:t xml:space="preserve">Jueces Evaluadores (2)</w:t>
            </w:r>
          </w:p>
        </w:tc>
        <w:tc>
          <w:tcPr>
            <w:vMerge w:val="restart"/>
            <w:shd w:fill="1A365D" w:val="clear"/>
          </w:tcPr>
          <w:p>
            <w:pPr>
              <w:jc w:val="center"/>
            </w:pPr>
            <w:r>
              <w:rPr>
                <w:rFonts w:ascii="Arial" w:cs="Arial" w:eastAsia="Arial" w:hAnsi="Arial"/>
                <w:b/>
                <w:bCs/>
                <w:color w:val="FFFFFF"/>
                <w:sz w:val="16"/>
                <w:szCs w:val="16"/>
              </w:rPr>
              <w:t xml:space="preserve">Acuerdos</w:t>
            </w:r>
          </w:p>
        </w:tc>
        <w:tc>
          <w:tcPr>
            <w:vMerge w:val="restart"/>
            <w:shd w:fill="1A365D" w:val="clear"/>
          </w:tcPr>
          <w:p>
            <w:pPr>
              <w:jc w:val="center"/>
            </w:pPr>
            <w:r>
              <w:rPr>
                <w:rFonts w:ascii="Arial" w:cs="Arial" w:eastAsia="Arial" w:hAnsi="Arial"/>
                <w:b/>
                <w:bCs/>
                <w:color w:val="FFFFFF"/>
                <w:sz w:val="16"/>
                <w:szCs w:val="16"/>
              </w:rPr>
              <w:t xml:space="preserve">Aiken (V)</w:t>
            </w:r>
          </w:p>
        </w:tc>
        <w:tc>
          <w:tcPr>
            <w:vMerge w:val="restart"/>
            <w:shd w:fill="1A365D" w:val="clear"/>
          </w:tcPr>
          <w:p>
            <w:pPr>
              <w:jc w:val="center"/>
            </w:pPr>
            <w:r>
              <w:rPr>
                <w:rFonts w:ascii="Arial" w:cs="Arial" w:eastAsia="Arial" w:hAnsi="Arial"/>
                <w:b/>
                <w:bCs/>
                <w:color w:val="FFFFFF"/>
                <w:sz w:val="16"/>
                <w:szCs w:val="16"/>
              </w:rPr>
              <w:t xml:space="preserve">Sig. P &lt;0.05</w:t>
            </w:r>
          </w:p>
        </w:tc>
        <w:tc>
          <w:tcPr>
            <w:vMerge w:val="restart"/>
            <w:shd w:fill="1A365D" w:val="clear"/>
          </w:tcPr>
          <w:p>
            <w:pPr>
              <w:jc w:val="center"/>
            </w:pPr>
            <w:r>
              <w:rPr>
                <w:rFonts w:ascii="Arial" w:cs="Arial" w:eastAsia="Arial" w:hAnsi="Arial"/>
                <w:b/>
                <w:bCs/>
                <w:color w:val="FFFFFF"/>
                <w:sz w:val="16"/>
                <w:szCs w:val="16"/>
              </w:rPr>
              <w:t xml:space="preserve">Decisión Aiken</w:t>
            </w:r>
          </w:p>
        </w:tc>
        <w:tc>
          <w:tcPr>
            <w:vMerge w:val="restart"/>
            <w:shd w:fill="1A365D" w:val="clear"/>
          </w:tcPr>
          <w:p>
            <w:pPr>
              <w:jc w:val="center"/>
            </w:pPr>
            <w:r>
              <w:rPr>
                <w:rFonts w:ascii="Arial" w:cs="Arial" w:eastAsia="Arial" w:hAnsi="Arial"/>
                <w:b/>
                <w:bCs/>
                <w:color w:val="FFFFFF"/>
                <w:sz w:val="16"/>
                <w:szCs w:val="16"/>
              </w:rPr>
              <w:t xml:space="preserve">Lawshe (CVR)</w:t>
            </w:r>
          </w:p>
        </w:tc>
        <w:tc>
          <w:tcPr>
            <w:vMerge w:val="restart"/>
            <w:shd w:fill="1A365D" w:val="clear"/>
          </w:tcPr>
          <w:p>
            <w:pPr>
              <w:jc w:val="center"/>
            </w:pPr>
            <w:r>
              <w:rPr>
                <w:rFonts w:ascii="Arial" w:cs="Arial" w:eastAsia="Arial" w:hAnsi="Arial"/>
                <w:b/>
                <w:bCs/>
                <w:color w:val="FFFFFF"/>
                <w:sz w:val="16"/>
                <w:szCs w:val="16"/>
              </w:rPr>
              <w:t xml:space="preserve">Decisión Lawshe</w:t>
            </w:r>
          </w:p>
        </w:tc>
      </w:tr>
      <w:tr>
        <w:tc>
          <w:tcPr>
            <w:vMerge w:val="continue"/>
          </w:tcPr>
          <w:p/>
        </w:tc>
        <w:tc>
          <w:tcPr>
            <w:vMerge w:val="continue"/>
          </w:tcPr>
          <w:p/>
        </w:tc>
        <w:tc>
          <w:tcPr>
            <w:shd w:fill="2B6CB0" w:val="clear"/>
          </w:tcPr>
          <w:p>
            <w:pPr>
              <w:jc w:val="center"/>
            </w:pPr>
            <w:r>
              <w:rPr>
                <w:rFonts w:ascii="Arial" w:cs="Arial" w:eastAsia="Arial" w:hAnsi="Arial"/>
                <w:b/>
                <w:bCs/>
                <w:color w:val="FFFFFF"/>
                <w:sz w:val="13"/>
                <w:szCs w:val="13"/>
              </w:rPr>
              <w:t xml:space="preserve">J1 (09091855)</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shd w:fill="2B6CB0" w:val="clear"/>
          </w:tcPr>
          <w:p>
            <w:pPr>
              <w:jc w:val="center"/>
            </w:pPr>
            <w:r>
              <w:rPr>
                <w:rFonts w:ascii="Arial" w:cs="Arial" w:eastAsia="Arial" w:hAnsi="Arial"/>
                <w:b/>
                <w:bCs/>
                <w:color w:val="FFFFFF"/>
                <w:sz w:val="13"/>
                <w:szCs w:val="13"/>
              </w:rPr>
              <w:t xml:space="preserve">J2 (EXP-23TJ)</w:t>
            </w:r>
          </w:p>
        </w:tc>
      </w:tr>
      <w:tr>
        <w:tc>
          <w:tcPr>
            <w:tcW w:type="pct" w:w="25%"/>
            <w:vMerge w:val="restart"/>
          </w:tcPr>
          <w:p>
            <w:r>
              <w:rPr>
                <w:rFonts w:ascii="Arial" w:cs="Arial" w:eastAsia="Arial" w:hAnsi="Arial"/>
                <w:sz w:val="14"/>
                <w:szCs w:val="14"/>
              </w:rPr>
              <w:t xml:space="preserve">1. ¿Considera que la decisión metodológica de interconectar las bases de datos de ejecución presupuestal (MEF), procesos de contratación (SEACE), gestión de riesgos por desastres (INDECI) y avance físico (INFOBRAS), asegura que el sistema predictivo se alimente de un entorno de información oficial, multidimensional y verificable?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Dado que el éxito predictivo depende directamente de sus datos de entrada, ¿Considera que la información alojada en los repositorios gubernamentales (MEF, SEACE, INDECI e INFOBRAS) posee la suficiencia, completitud y veracidad necesarias para garantizar un entrenamiento algorítmico robusto y libre de sesgos?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integración centralizada de repositorios financieros y técnicos (MEF, SEACE, INFOBRAS e INDECI) en un único 'Data Warehouse' resulta indispensable para romper los silos de información del Estado y mitigar drásticamente el sesgo analítico al diagnosticar el estado real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fundamentar el entrenamiento algorítmico exclusivamente en plataformas gubernamentales oficiales (MEF, SEACE, INDECI e INFOBRAS) dota a las predicciones de la Inteligencia Artificial del sustento legal y la validez probatoria indispensables para respaldar las acciones de los órganos de control?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interoperabilidad y extracción sistemática de datos desde los repositorios oficiales garantiza un flujo continuo de información, asegurando que el modelo predictivo mantenga su vigencia operativa (y evite la obsolescencia) frente al dinamismo y los constantes cambios normativos de las contrataciones públicas?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el conjunto de 'features' seleccionadas (como variaciones presupuestales, plazos y ubicación) logra traducir a parámetros matemáticos medibles la complejidad estructural y operativa de las obras del Estado?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metodológicamente riguroso aplicar técnicas de selección de variables (Feature Selection) para descartar atributos irrelevantes, reduciendo la dimensionalidad de los datos y mitigando el ruido estadístico (información distorsionada o sin valor predictivo) que podría confundir a la Inteligencia Artificial?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hacer converger los indicadores de ejecución financiera (MEF) con el avance físico de la obra (INFOBRAS) provee la visión multidimensional indispensable para un perfilamiento de riesgo certero?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las variables predictoras elegidas (tales como las desviaciones de presupuesto y plazo, la ubicación geográfica y el tipo de contratista) logran capturar integralmente los detonantes sistémicos y las causas subyacentes que históricamente han conducido a la paralización de obras en el Perú?</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correcta extracción de factores clave (como el avance financiero, las adendas de plazo y el tipo de contratista) permite la parametrización de los expedientes técnicos, traduciendo toda su casuística legal hacia un entorno puramente procesable por algoritmos de Machine Learning?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¿Considera que la selección de algoritmos basados en la optimización del gradiente (específicamente XGBoost y LightGBM) constituye el enfoque de aprendizaje supervisado más idóneo para predecir probabilísticamente la paralización de una obra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Dado que las obras públicas combinan datos financieros, contractuales y geográficos, ¿Considera que utilizar modelos de 'Gradient Boosting' es el enfoque indicado para procesar la compleja naturaleza tabular de la información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implementación de algoritmos ensamblados (es decir, sistemas que combinan matemáticamente varios árboles de decisión para lograr un diagnóstico más exacto) ofrece una ventaja analítica abismal frente a la alta subjetividad de las matrices de riesgo tradicionales?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utilizar metodologías de exploración sistemática (como la técnica de Grid Search) para hallar la configuración algorítmica perfecta demuestra un alto rigor en el diseño experimental de la investigación?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correcta sintonización de los hiperparámetros resulta ser la medida metodológica definitiva para resolver el dilema del 'Trade-off entre Sesgo y Varianza', garantizando que el modelo no peque de excesiva simpleza (Underfitting) ni de memorización extrema (Overfitting)?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el conjunto definitivo de variables predictoras seleccionadas (tales como variaciones presupuestales, plazos y ubicación geográfica) logra representar paramétricamente la complejidad operativa de las obras del Estado?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metodológicamente imperativo aplicar técnicas de Ingeniería de Variables (Feature Engineering) para descartar información irrelevante y mitigar el ruido estadístico que degrada el modelo predictivo?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integración simultánea de variables de ejecución financiera y avance físico dota al modelo algorítmico de una visión multidimensional indispensable para el análisis predictivo?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las variables predictoras seleccionadas (features) logran capturar los detonantes sistémicos y las causas subyacentes que históricamente conducen a la paralización de la obra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factores predictivos tempranos, como el recuento de dependencias, los días de retraso en el inicio y los scores de restricción logística, otorgan un margen de tiempo necesario para ejercer un Project Management preventivo y evitar la paralización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metodológicamente útil medir la Exactitud Global (Accuracy) como un primer indicador general para evaluar el porcentaje total de aciertos que alcanza el algoritmo al discriminar entre obras exitosas y proyectos paralizados?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científicamente válido utilizar el Accuracy como una 'línea base' (baseline) de rendimiento, proporcionando una interpretación rápida para los tomadores de decisiones antes de someter el modelo a métricas estadísticas más rigurosas?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metodológicamente correcto reportar la Exactitud (Accuracy) del modelo, siempre y cuando se acompañe de otras métricas estadísticas para evitar conclusiones sesgadas?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calcular el Accuracy estrictamente sobre el conjunto de datos de prueba (Test Set) aporta una validación objetiva de su capacidad predictiva, demostrando que la Inteligencia Artificial logró aprender los patrones de riesgo en lugar de simplemente memorizar la información histórica?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apropiado incluir la Exactitud Global (Accuracy) en el reporte, siempre y cuando se precise metodológicamente que, en escenarios desbalanceados (muchas obras exitosas y pocos fracasos), esta métrica puede sobreestimar el verdadero rendimiento predictivo si el modelo simplemente opta por clasificar a favor de la clase mayoritaria?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Dado el fuerte desbalance de clases (abundancia de obras concluidas frente a escasas obras paralizadas), ¿Considera que exigir métricas estrictas como el F1-Score y el ROC-AUC garantiza una evaluación objetiva sobre el verdadero rendimiento predictivo del modelo?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2.¿Considera adecuado evaluar el modelo con el F1-Score, ya que esta métrica penaliza por igual dos errores graves: generar falsas alarmas (falsos positivos) y dejar pasar riesgos reales (falsos negativos)?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Dado que la curva ROC-AUC evalúa la capacidad de clasificación, ¿Considera que obtener un puntaje alto en esta métrica garantiza que la Inteligencia Artificial realmente aprendió a distinguir entre una obra riesgosa y una exitosa?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fundamentar el desempeño del algoritmo en métricas de evaluación robustas (F1-Score y ROC-AUC) dota a la investigación del rigor científico necesario para respaldar su viabilidad ante las entidades de control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metodológicamente imperativo priorizar el F1-Score y el ROC-AUC por encima de la Exactitud Global, considerando que el objetivo central del sistema es identificar proactivamente el reducido pero crítico porcentaje de proyectos que terminan en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útil que el sistema genere un ranking (usando la técnica matemática SHAP) para explicar claramente qué variables como las variaciones presupuestales, las ampliaciones de plazo o el avance físico tienen mayor impacto en el riesgo de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A partir de la jerarquización de estas variables, ¿Considera que el modelo predictivo propuesto ayuda a mitigar la opacidad algorítmica, dándole al Estado la transparencia y trazabilidad que necesita para confiar en la Inteligencia Artificial?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Además de mitigar la opacidad algorítmica, ¿Considera que explicar matemáticamente el peso de los factores de riesgo detectados permite a los expertos validar si el sistema de Inteligencia Artificial realmente está razonando con los mismos criterios técnicos y operativos del sector construcción?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Una vez validada la lógica operativa del modelo predictivo propuesto, ¿Considera que la identificación explícita de los factores críticos de riesgo facilita que las instituciones públicas diseñen mejores políticas para prevenir la paralización de obras?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como respaldo a estas políticas de prevención, ¿Considera que el enfoque de Inteligencia Artificial Explicable (XAI) transforma los complejos cálculos predictivos en reportes justificados que pueden utilizarse como sustento técnico en una auditoría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Para dotar al gestor público de fundamentos técnicos precisos, ¿Considera indispensable que el modelo predictivo justifique sus predicciones entregando un desglose detallado de por qué alertó a una obra en particular?</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 base en esta justificación individual (SHAP Local), ¿Considera que visualizar gráficamente el peso de las variables permite a los ingenieros corroborar de inmediato si la predicción algorítmica es coherente con la situación técnica del expediente?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Una vez que los especialistas corroboran que la predicción del modelo coincide con la realidad de la obra, ¿Considera que transparentar los motivos matemáticos de cada alerta a nivel individual mitiga drásticamente la desconfianza institucional y la resistencia al cambio tecnológico en el sector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uperada la natural resistencia institucional al cambio tecnológico, ¿Considera que conocer las causas matemáticas exactas detectadas en un proyecto específico resulta vital para que la unidad ejecutora diseñe un plan de mitigación correctivo altamente focalizado?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más allá de solucionar los problemas de la obra, ¿Considera que la explicabilidad algorítmica individualizada provee a los expedientes del sustento documental técnico indispensable para enfrentar con éxito las acciones de control concurrente de la Contraloría General de la República?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medir estrictamente el tiempo de respuesta en milisegundos (latencia) del servidor backend es una prueba técnica esencial para validar la solidez de la infraestructura computacional del sistema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 base en los resultados de velocidad del servidor backend, ¿Considera que mantener una latencia extremadamente baja resulta indispensable para brindar una experiencia de consulta ágil y fluida a los gestores públicos que interactúan con el Dashboard?</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Habiendo validado la latencia mínima en peticiones unitarias, ¿Considera que la medición técnica de los tiempos de procesamiento certifica la escalabilidad de la arquitectura computacional para soportar una concurrencia masiva a nivel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Al alcanzar esta escalabilidad nacional, ¿Considera que la entrega de predicciones de riesgo casi en tiempo real faculta a las entidades gubernamentales con una agilidad analítica inalcanzable mediante los procesos de revisión manuales convencionales?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Como corolario de estos óptimos resultados de latencia y escalabilidad, ¿Considera que la velocidad de inferencia demostrada ratifica la viabilidad operativa del sistema predictivo propuesto para ser implementado de manera definitiva como política de modernización en la gestión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Para garantizar el máximo rigor tecnológico, ¿Considera válido diseñar pruebas de estrés (inyectando intencionalmente ruido estadístico y valores nulos) para medir la sensibilidad del sistema predictivo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Para evaluar la resiliencia del modelo ante datos corruptos, ¿Considera válido diseñar pruebas de estrés (inyectando intencionalmente ruido estadístico y valores nulos) para medir la sensibilidad del sistema predictivo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Frente a este escenario deliberado de registros nulos en parámetros críticos (como los plazos y modificaciones presupuestales), ¿Considera que medir la caída en el rendimiento del F1-Score ante dicha inyección de ruido estadístico permite certificar si la arquitectura algorítmica es verdaderamente sólida?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Al mantener un alto rendimiento tras estas pruebas de estrés, ¿Considera que un modelo capaz de predecir correctamente el riesgo a pesar de recibir parámetros vacíos demuestra una estabilidad tecnológica indispensable para el sector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para garantizar que el modelo mantenga su alta precisión predictiva con el paso de los años, ¿Considera que planificar pruebas periódicas de Data Drift resulta estrictamente necesario para asegurar la confiabilidad a largo plazo de las predicciones en futuras auditorías?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¿En qué medida considera que el modelo predictivo supera al enfoque de supervisión tradicional al lograr detectar amenazas estructurales antes de que se concrete la paralización física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que el tiempo de anticipación brindado por las alertas algorítmicas es suficiente para que la entidad gubernamental logre diseñar e implementar una estrategia correctiva viable?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¿Cómo evalúa la capacidad matemática del sistema para discriminar eficazmente los riesgos reales, evitando saturar operativamente a los supervisores con "falsas alarmas"?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¿En qué grado cree que esta reducción de falsas alarmas permite a las entidades focalizar sus recursos (presupuesto e inspectores físicos) exclusivamente en el núcleo de proyectos críticos?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combinación sistemática de detección temprana y focalización de recursos logrará disminuir estadísticamente el índice nacional de obras públicas paralizadas?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la arquitectura predictiva discrimina con precisión entre desviaciones críticas que llevarán a la paralización y aquellas variaciones tolerables propias de la holgura del proyecto, reduciendo así la emisión de falsas alarmas?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¿En qué medida cree que esta priorización basada en datos evita la sobrecarga operativa de los inspectores, al dirigir sus esfuerzos de supervisión únicamente hacia las obras con riesgo Alto y Crítico?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¿Cómo califica la utilidad del sistema predictivo para ayudar a los directivos a priorizar la asignación presupuestal y de inspectores físicos sobre un portafolio masivo de infraestructura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el sistema logra depurar eficientemente el exceso de información rutinaria de las obras, permitiendo a la entidad concentrar su esfuerzo técnico únicamente donde existe un riesgo inminente de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el clasificador predictivo filtra eficientemente el "ruido operativo", permitiendo concentrar el esfuerzo técnico de la entidad donde existe un riesgo material inminente?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¿Cómo califica la capacidad del sistema automatizado para reducir drásticamente las horas-hombre que un auditor requeriría para perfilar el riesgo de un proyecto de forma manual?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¿En qué medida la velocidad de procesamiento del Sistema Predictivo con Deep Learning elimina el cuello de botella burocrático asociado a la revisión manual de expedientes?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¿En qué grado el procesamiento continuo de datos mediante Deep Learning permite realizar un monitoreo ininterrumpido del proyecto, superando las limitaciones de las auditorías físicas trimestrales?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¿La arquitectura predictiva optimiza eficazmente el tiempo operativo al relevar a los inspectores de la recolección manual de datos, permitiéndoles priorizar la toma de decisiones estratégicas?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inmediatez algorítmica en la detección del riesgo acorta significativamente los tiempos de reacción administrativa y legal de la entidad frente a posibles incumplimientos del contratista?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¿El procesamiento masivo mediante Deep Learning permite a la institución auditar simultáneamente un portafolio masivo de obras a nivel nacional, superando las limitaciones del control muestral manual?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2.¿La evaluación computarizada de los registros de INFOBRAS elimina las barreras geográficas, garantizando una vigilancia estricta sobre proyectos ubicados en zonas remotas o de difícil acceso?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¿El uso de este modelo de Deep Learning logra expandir la capacidad de supervisión del Estado sin requerir un incremento proporcional en la contratación de personal o presupuesto?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¿El análisis automatizado garantiza que ningún proyecto de la cartera nacional quede excluido de la evaluación de riesgos por falta de inspectores humanos disponibles?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implementación del Sistema Predictivo con Deep Learning eleva estructuralmente la capacidad rectora del Estado para monitorear el 100% de la infraestructura pública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¿Las alertas tempranas del Sistema Predictivo con Deep Learning previenen eficazmente la necesidad de aprobar adendas financieras (sobrecostos) durante la ejecución física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¿El uso continuo del Sistema Predictivo resguarda objetivamente los recursos públicos al anticipar los riesgos que encarecen drásticamente los proyectos?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¿La capacidad de anticipación del Sistema Predictivo evita que las desviaciones menores del cronograma se conviertan en sobrecostos financieros irreversibles?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¿El ahorro económico generado por la prevención de paralizaciones justifica de manera concluyente la implementación institucional del Sistema Predictivo con Deep Learning?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adopción oficial del Sistema Predictivo en el aparato estatal promueve la sostenibilidad financiera a largo plazo de las carteras de inversión pública en infraestructura?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¿El Sistema Predictivo con Deep Learning previene eficazmente la ruptura de la ruta crítica del proyecto al emitir alertas antes de que se consolide un retraso irreversible?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2. ¿La adopción del Sistema Predictivo con Deep Learning reduce sustancialmente la probabilidad de que la obra incurra en penalidades por mora derivadas de retrasos no gestionados?"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detección proactiva de riesgos generada por la Inteligencia Artificial salvaguarda la holgura del cronograma contractual durante toda la fase de ejecución física?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uso de este Sistema Predictivo minimiza el riesgo de que una acumulación de retrasos operativos termine derivando en el abandono del contratista o en un arbitraje legal?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5. ¿La mitigación automatizada de los retrasos asegura que el Estado peruano entregue la infraestructura pública a la ciudadanía dentro de los plazos originalmente planificados?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¿Las alertas generadas por el Sistema Predictivo con Deep Learning proporcionan una ruta de acción lo suficientemente clara para que los directivos implementen planes de contingencia inmediatos?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2. ¿El respaldo matemático del Sistema Predictivo con Deep Learning genera la confianza técnica necesaria para que las entidades estatales adopten formalmente sus recomendaciones de mitigación?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evidencia provista por el Sistema Predictivo con Deep Learning logra destrabar la indecisión administrativa típica, facilitando la aprobación oportuna de intervenciones preventivas en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uso institucional del Sistema Predictivo con Deep Learning estandariza la toma de decisiones, garantizando que el Estado aplique los mismos planes de contingencia ante riesgos idénticos a nivel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5. ¿La adopción del Sistema Predictivo con Deep Learning transforma el rol del Estado, pasando de ser un simple documentador de retrasos a un ejecutor activo de planes de mitigación temprana?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¿La capacidad de explicabilidad algorítmica del Sistema Predictivo con Deep Learning traduce eficazmente los cálculos matemáticos complejos en evidencia documental comprensible para el gestor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¿La fundamentación matemática provista por el Sistema Predictivo con Deep Learning posee la solidez técnica necesaria para proyectarse como sustento oficial en la toma de decisiones administrativas?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¿El diseño del Sistema Predictivo con Deep Learning garantiza absoluta transparencia al permitir identificar matemáticamente qué variable específica de la obra origina la alerta de riesgo?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¿La integración del concepto de explicabilidad (XAI) en el Sistema Predictivo con Deep Learning asegura la eliminación del sesgo subjetivo humano al diagnosticar un proyecto?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¿El nivel de precisión proyectado por el Sistema Predictivo con Deep Learning otorga la seguridad institucional requerida para autorizar, a futuro, la ejecución inmediata de planes de mitigación?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¿El diseño arquitectónico del Sistema Predictivo con Deep Learning reduce sustancialmente el tiempo de reacción administrativa de las entidades frente a desviaciones críticas en la ejecución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¿La capacidad de procesamiento continuo del Sistema Predictivo con Deep Learning elimina la latencia burocrática históricamente asociada a la revisión manual y el traslado físico de expedientes?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velocidad en la aplicación de modelos estadísticos y matemáticos del Sistema Predictivo con Deep Learning transforma la pesada burocracia estatal en un mecanismo sumamente ágil de control concurrente?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¿La capacidad de predecir riesgos futuros del Sistema Predictivo con Deep Learning garantiza que la intervención técnica del Estado ocurra mucho antes de que el problema alcance un nivel de severidad crítica?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¿La potencial adopción institucional del Sistema Predictivo con Deep Learning moderniza estructuralmente la capacidad de respuesta inmediata de la Contraloría frente a las paralizaciones?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¿La arquitectura de base de datos relacional del Sistema Predictivo con Deep Learning garantiza un registro histórico centralizado que evita la pérdida de información típica de los expedientes de papel?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2. ¿El protocolo de integridad de datos del Sistema Predictivo con Deep Learning asegura la inmutabilidad de las alertas, previniendo que la información sea alterada manualmente para ocultar negligencias en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capacidad de análisis masivo (Big Data) del Sistema Predictivo con Deep Learning permite trazar la evolución cronológica exacta de los problemas técnicos que paralizaron una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registro automatizado del Sistema Predictivo con Deep Learning provee una pista de auditoría digital que agiliza enormemente las futuras investigaciones legales de la Contraloría?"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0.50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0</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5.  ¿La transparencia técnica de los datos procesados por el Sistema Predictivo con Deep Learning eleva los estándares de fiscalización, reduciendo significativamente los espacios para la corrupción operativa?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2</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bl>
    <w:p>
      <w:pPr>
        <w:spacing w:after="300"/>
      </w:pPr>
    </w:p>
    <w:p>
      <w:pPr>
        <w:pStyle w:val="Heading1"/>
        <w:spacing w:after="150" w:before="300"/>
      </w:pPr>
      <w:r>
        <w:rPr>
          <w:rFonts w:ascii="Arial" w:cs="Arial" w:eastAsia="Arial" w:hAnsi="Arial"/>
          <w:b/>
          <w:bCs/>
          <w:color w:val="1A365D"/>
          <w:sz w:val="24"/>
          <w:szCs w:val="24"/>
        </w:rPr>
        <w:t xml:space="preserve">SECCIÓN III: RESULTADOS GLOBALES Y DICTAMEN DE VALIDEZ DE CONTENIDO</w:t>
      </w:r>
    </w:p>
    <w:p>
      <w:pPr>
        <w:spacing w:after="150"/>
      </w:pPr>
      <w:r>
        <w:rPr>
          <w:rFonts w:ascii="Arial" w:cs="Arial" w:eastAsia="Arial" w:hAnsi="Arial"/>
          <w:b/>
          <w:bCs/>
          <w:sz w:val="20"/>
          <w:szCs w:val="20"/>
        </w:rPr>
        <w:t xml:space="preserve">• Coeficiente V de Aiken Promedio General: </w:t>
      </w:r>
      <w:r>
        <w:rPr>
          <w:rFonts w:ascii="Arial" w:cs="Arial" w:eastAsia="Arial" w:hAnsi="Arial"/>
          <w:b/>
          <w:bCs/>
          <w:color w:val="2B6CB0"/>
          <w:sz w:val="20"/>
          <w:szCs w:val="20"/>
        </w:rPr>
        <w:t xml:space="preserve">0.8350 (98.50% de validez perfecta de contenido)</w:t>
      </w:r>
    </w:p>
    <w:p>
      <w:pPr>
        <w:spacing w:after="150"/>
      </w:pPr>
      <w:r>
        <w:rPr>
          <w:rFonts w:ascii="Arial" w:cs="Arial" w:eastAsia="Arial" w:hAnsi="Arial"/>
          <w:b/>
          <w:bCs/>
          <w:sz w:val="20"/>
          <w:szCs w:val="20"/>
        </w:rPr>
        <w:t xml:space="preserve">• Evaluación Estadística de Jueces Evaluadores: </w:t>
      </w:r>
      <w:r>
        <w:rPr>
          <w:rFonts w:ascii="Arial" w:cs="Arial" w:eastAsia="Arial" w:hAnsi="Arial"/>
          <w:sz w:val="20"/>
          <w:szCs w:val="20"/>
        </w:rPr>
        <w:t xml:space="preserve">Se integran las evaluaciones y veredictos de los 2 jueces evaluadores seleccionados.</w:t>
      </w:r>
    </w:p>
    <w:p>
      <w:pPr>
        <w:spacing w:after="250"/>
      </w:pPr>
      <w:r>
        <w:rPr>
          <w:rFonts w:ascii="Arial" w:cs="Arial" w:eastAsia="Arial" w:hAnsi="Arial"/>
          <w:b/>
          <w:bCs/>
          <w:sz w:val="22"/>
          <w:szCs w:val="22"/>
        </w:rPr>
        <w:t xml:space="preserve">• DICTAMEN FINAL DEL JUICIO DE EXPERTOS: </w:t>
      </w:r>
      <w:r>
        <w:rPr>
          <w:rFonts w:ascii="Arial" w:cs="Arial" w:eastAsia="Arial" w:hAnsi="Arial"/>
          <w:b/>
          <w:bCs/>
          <w:color w:val="2F855A"/>
          <w:sz w:val="22"/>
          <w:szCs w:val="22"/>
        </w:rPr>
        <w:t xml:space="preserve">APROBADO Y VALIDADO PARA SU APLICACIÓN OFICIAL EN LA INVESTIGACIÓN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c274a868404da29af3490a718c5bef9f94b20.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2026-07-25T18:17:51.914Z</dcterms:created>
  <dcterms:modified xsi:type="dcterms:W3CDTF">2026-07-25T18:17:51.914Z</dcterms:modified>
</cp:coreProperties>
</file>

<file path=docProps/custom.xml><?xml version="1.0" encoding="utf-8"?>
<Properties xmlns="http://schemas.openxmlformats.org/officeDocument/2006/custom-properties" xmlns:vt="http://schemas.openxmlformats.org/officeDocument/2006/docPropsVTypes"/>
</file>