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Arial" w:cs="Arial" w:eastAsia="Arial" w:hAnsi="Arial"/>
          <w:b/>
          <w:bCs/>
          <w:color w:val="1A365D"/>
          <w:sz w:val="28"/>
          <w:szCs w:val="28"/>
        </w:rPr>
        <w:t xml:space="preserve">INFORME OFICIAL DE VALIDACIÓN DE INSTRUMENTOS DE INVESTIGACIÓN</w:t>
      </w:r>
    </w:p>
    <w:p>
      <w:pPr>
        <w:spacing w:after="200"/>
        <w:jc w:val="center"/>
      </w:pPr>
      <w:r>
        <w:rPr>
          <w:rFonts w:ascii="Arial" w:cs="Arial" w:eastAsia="Arial" w:hAnsi="Arial"/>
          <w:b/>
          <w:bCs/>
          <w:color w:val="2B6CB0"/>
          <w:sz w:val="20"/>
          <w:szCs w:val="20"/>
        </w:rPr>
        <w:t xml:space="preserve">EVALUACIÓN DE VALIDEZ DE CONTENIDO MEDIANTE COEFICIENTE V DE AIKEN Y CVR DE LAWSHE</w:t>
      </w:r>
    </w:p>
    <w:p>
      <w:pPr>
        <w:spacing w:after="150"/>
      </w:pPr>
      <w:r>
        <w:rPr>
          <w:rFonts w:ascii="Arial" w:cs="Arial" w:eastAsia="Arial" w:hAnsi="Arial"/>
          <w:b/>
          <w:bCs/>
          <w:sz w:val="20"/>
          <w:szCs w:val="20"/>
        </w:rPr>
        <w:t xml:space="preserve">TÍTULO DE LA INVESTIGACIÓN: </w:t>
      </w:r>
      <w:r>
        <w:rPr>
          <w:rFonts w:ascii="Arial" w:cs="Arial" w:eastAsia="Arial" w:hAnsi="Arial"/>
          <w:sz w:val="20"/>
          <w:szCs w:val="20"/>
        </w:rPr>
        <w:t xml:space="preserve">Sistema Predictivo con Deep Learning para la Gestión de Riesgos en Proyectos de Infraestructura Pública registrados en INFOBRAS - Contraloría General de la República, Perú, 2020-2024</w:t>
      </w:r>
    </w:p>
    <w:p>
      <w:pPr>
        <w:spacing w:after="300"/>
        <w:jc w:val="left"/>
      </w:pPr>
      <w:r>
        <w:rPr>
          <w:rFonts w:ascii="Arial" w:cs="Arial" w:eastAsia="Arial" w:hAnsi="Arial"/>
          <w:b/>
          <w:bCs/>
          <w:sz w:val="20"/>
          <w:szCs w:val="20"/>
        </w:rPr>
        <w:t xml:space="preserve">AUTOR / INVESTIGADOR PRINCIPAL: </w:t>
      </w:r>
      <w:r>
        <w:rPr>
          <w:rFonts w:ascii="Arial" w:cs="Arial" w:eastAsia="Arial" w:hAnsi="Arial"/>
          <w:sz w:val="20"/>
          <w:szCs w:val="20"/>
        </w:rPr>
        <w:t xml:space="preserve">Luis Alfonso Cruz Gálvez</w:t>
      </w:r>
    </w:p>
    <w:p>
      <w:pPr>
        <w:pStyle w:val="Heading1"/>
        <w:spacing w:after="150" w:before="300"/>
      </w:pPr>
      <w:r>
        <w:rPr>
          <w:rFonts w:ascii="Arial" w:cs="Arial" w:eastAsia="Arial" w:hAnsi="Arial"/>
          <w:b/>
          <w:bCs/>
          <w:color w:val="1A365D"/>
          <w:sz w:val="24"/>
          <w:szCs w:val="24"/>
        </w:rPr>
        <w:t xml:space="preserve">METODOLOGÍA Y FÓRMULAS DE CÁLCULO (V DE AIKEN Y LAWSHE)</w:t>
      </w:r>
    </w:p>
    <w:p>
      <w:pPr>
        <w:spacing w:after="150"/>
      </w:pPr>
      <w:r>
        <w:rPr>
          <w:rFonts w:ascii="Arial" w:cs="Arial" w:eastAsia="Arial" w:hAnsi="Arial"/>
          <w:sz w:val="20"/>
          <w:szCs w:val="20"/>
        </w:rPr>
        <w:t xml:space="preserve">Para la evaluación de la validez de contenido de los instrumentos de investigación se utilizan los dos coeficientes psicométricos más rigurosos y reconocidos por la comunidad científica internacional: el Coeficiente V de Aiken y la Razón de Validez de Contenido (CVR) de Lawshe.</w:t>
      </w:r>
    </w:p>
    <w:p>
      <w:pPr>
        <w:spacing w:after="100" w:before="150"/>
      </w:pPr>
      <w:r>
        <w:rPr>
          <w:rFonts w:ascii="Arial" w:cs="Arial" w:eastAsia="Arial" w:hAnsi="Arial"/>
          <w:b/>
          <w:bCs/>
          <w:color w:val="2B6CB0"/>
          <w:sz w:val="20"/>
          <w:szCs w:val="20"/>
        </w:rPr>
        <w:t xml:space="preserve">1. FÓRMULA DEL COEFICIENTE V DE AIKEN (Aiken, 1980, 1985):</w:t>
      </w:r>
    </w:p>
    <w:p>
      <w:pPr>
        <w:spacing w:after="100"/>
      </w:pPr>
      <w:r>
        <w:rPr>
          <w:rFonts w:ascii="Arial" w:cs="Arial" w:eastAsia="Arial" w:hAnsi="Arial"/>
          <w:sz w:val="19"/>
          <w:szCs w:val="19"/>
        </w:rPr>
        <w:t xml:space="preserve">El coeficiente V de Aiken cuantifica la relevancia e idoneidad de cada ítem en una escala de 0 a 1. Su fórmula general es:</w:t>
      </w:r>
    </w:p>
    <w:p>
      <w:pPr>
        <w:spacing w:after="100" w:before="100"/>
        <w:jc w:val="center"/>
      </w:pPr>
      <w:r>
        <w:rPr>
          <w:rFonts w:ascii="Arial" w:cs="Arial" w:eastAsia="Arial" w:hAnsi="Arial"/>
          <w:b/>
          <w:bCs/>
          <w:color w:val="1A365D"/>
          <w:sz w:val="24"/>
          <w:szCs w:val="24"/>
        </w:rPr>
        <w:t xml:space="preserve">V = S / [ N × (c - 1) ]</w:t>
      </w:r>
    </w:p>
    <w:p>
      <w:pPr>
        <w:spacing w:after="150"/>
      </w:pPr>
      <w:r>
        <w:rPr>
          <w:rFonts w:ascii="Arial" w:cs="Arial" w:eastAsia="Arial" w:hAnsi="Arial"/>
          <w:b/>
          <w:bCs/>
          <w:sz w:val="19"/>
          <w:szCs w:val="19"/>
        </w:rPr>
        <w:t xml:space="preserve">Donde:
</w:t>
      </w:r>
      <w:r>
        <w:rPr>
          <w:rFonts w:ascii="Arial" w:cs="Arial" w:eastAsia="Arial" w:hAnsi="Arial"/>
          <w:sz w:val="18"/>
          <w:szCs w:val="18"/>
        </w:rPr>
        <w:t xml:space="preserve">• S = Σ (r_i - l) : Suma de las diferencias entre la valoración del juez (r_i) y la calificación mínima posible (l = 1).
</w:t>
      </w:r>
      <w:r>
        <w:rPr>
          <w:rFonts w:ascii="Arial" w:cs="Arial" w:eastAsia="Arial" w:hAnsi="Arial"/>
          <w:sz w:val="18"/>
          <w:szCs w:val="18"/>
        </w:rPr>
        <w:t xml:space="preserve">• N : Número de jueces evaluadores en el grupo impar asignado para el cálculo de validez.
</w:t>
      </w:r>
      <w:r>
        <w:rPr>
          <w:rFonts w:ascii="Arial" w:cs="Arial" w:eastAsia="Arial" w:hAnsi="Arial"/>
          <w:sz w:val="18"/>
          <w:szCs w:val="18"/>
        </w:rPr>
        <w:t xml:space="preserve">• c : Número de categorías o niveles de la escala de evaluación (c = 5 en escala Likert, ó c = 2 para concordancia binaria).
</w:t>
      </w:r>
      <w:r>
        <w:rPr>
          <w:rFonts w:ascii="Arial" w:cs="Arial" w:eastAsia="Arial" w:hAnsi="Arial"/>
          <w:sz w:val="18"/>
          <w:szCs w:val="18"/>
        </w:rPr>
        <w:t xml:space="preserve">• Para evaluación de validez binaria o de criterios (Acuerdos): V = (Total de Acuerdos) / N_impar.
</w:t>
      </w:r>
      <w:r>
        <w:rPr>
          <w:rFonts w:ascii="Arial" w:cs="Arial" w:eastAsia="Arial" w:hAnsi="Arial"/>
          <w:b/>
          <w:bCs/>
          <w:color w:val="2F855A"/>
          <w:sz w:val="19"/>
          <w:szCs w:val="19"/>
        </w:rPr>
        <w:t xml:space="preserve">Criterio de Aceptación: Un valor V ≥ 0.80 indica una validez de contenido perfecta y estadísticamente significativa (p &lt; 0.05).</w:t>
      </w:r>
    </w:p>
    <w:p>
      <w:pPr>
        <w:spacing w:after="100" w:before="150"/>
      </w:pPr>
      <w:r>
        <w:rPr>
          <w:rFonts w:ascii="Arial" w:cs="Arial" w:eastAsia="Arial" w:hAnsi="Arial"/>
          <w:b/>
          <w:bCs/>
          <w:color w:val="2B6CB0"/>
          <w:sz w:val="20"/>
          <w:szCs w:val="20"/>
        </w:rPr>
        <w:t xml:space="preserve">2. FÓRMULA DE LA RAZÓN DE VALIDEZ DE CONTENIDO DE LAWSHE (CVR) (Lawshe, 1975):</w:t>
      </w:r>
    </w:p>
    <w:p>
      <w:pPr>
        <w:spacing w:after="100"/>
      </w:pPr>
      <w:r>
        <w:rPr>
          <w:rFonts w:ascii="Arial" w:cs="Arial" w:eastAsia="Arial" w:hAnsi="Arial"/>
          <w:sz w:val="19"/>
          <w:szCs w:val="19"/>
        </w:rPr>
        <w:t xml:space="preserve">Mide el grado de consenso entre los expertos sobre si un ítem es 'Esencial' o 'Válido':</w:t>
      </w:r>
    </w:p>
    <w:p>
      <w:pPr>
        <w:spacing w:after="100" w:before="100"/>
        <w:jc w:val="center"/>
      </w:pPr>
      <w:r>
        <w:rPr>
          <w:rFonts w:ascii="Arial" w:cs="Arial" w:eastAsia="Arial" w:hAnsi="Arial"/>
          <w:b/>
          <w:bCs/>
          <w:color w:val="1A365D"/>
          <w:sz w:val="24"/>
          <w:szCs w:val="24"/>
        </w:rPr>
        <w:t xml:space="preserve">CVR = [ n_e - (N / 2) ] / (N / 2)</w:t>
      </w:r>
    </w:p>
    <w:p>
      <w:pPr>
        <w:spacing w:after="200"/>
      </w:pPr>
      <w:r>
        <w:rPr>
          <w:rFonts w:ascii="Arial" w:cs="Arial" w:eastAsia="Arial" w:hAnsi="Arial"/>
          <w:b/>
          <w:bCs/>
          <w:sz w:val="19"/>
          <w:szCs w:val="19"/>
        </w:rPr>
        <w:t xml:space="preserve">Donde:
</w:t>
      </w:r>
      <w:r>
        <w:rPr>
          <w:rFonts w:ascii="Arial" w:cs="Arial" w:eastAsia="Arial" w:hAnsi="Arial"/>
          <w:sz w:val="18"/>
          <w:szCs w:val="18"/>
        </w:rPr>
        <w:t xml:space="preserve">• n_e : Número de jueces expertos que evalúan el ítem como 'Válido / Conforme'.
</w:t>
      </w:r>
      <w:r>
        <w:rPr>
          <w:rFonts w:ascii="Arial" w:cs="Arial" w:eastAsia="Arial" w:hAnsi="Arial"/>
          <w:sz w:val="18"/>
          <w:szCs w:val="18"/>
        </w:rPr>
        <w:t xml:space="preserve">• N : Número total de jueces evaluadores del grupo impar.
</w:t>
      </w:r>
      <w:r>
        <w:rPr>
          <w:rFonts w:ascii="Arial" w:cs="Arial" w:eastAsia="Arial" w:hAnsi="Arial"/>
          <w:b/>
          <w:bCs/>
          <w:color w:val="2F855A"/>
          <w:sz w:val="19"/>
          <w:szCs w:val="19"/>
        </w:rPr>
        <w:t xml:space="preserve">Interpretación: Un CVR = 1.00 indica un consenso unánime del 100% de los jueces (Validez Perfecta).</w:t>
      </w:r>
    </w:p>
    <w:p>
      <w:pPr>
        <w:pStyle w:val="Heading1"/>
        <w:spacing w:after="150" w:before="300"/>
      </w:pPr>
      <w:r>
        <w:rPr>
          <w:rFonts w:ascii="Arial" w:cs="Arial" w:eastAsia="Arial" w:hAnsi="Arial"/>
          <w:b/>
          <w:bCs/>
          <w:color w:val="1A365D"/>
          <w:sz w:val="24"/>
          <w:szCs w:val="24"/>
        </w:rPr>
        <w:t xml:space="preserve">SECCIÓN I: FICHAS DE VALIDACIÓN DEL CONTENIDO DEL INSTRUMENTO</w:t>
      </w:r>
    </w:p>
    <w:p>
      <w:pPr>
        <w:spacing w:after="200"/>
      </w:pPr>
      <w:r>
        <w:rPr>
          <w:rFonts w:ascii="Arial" w:cs="Arial" w:eastAsia="Arial" w:hAnsi="Arial"/>
          <w:sz w:val="20"/>
          <w:szCs w:val="20"/>
        </w:rPr>
        <w:t xml:space="preserve">A continuación se presentan las Fichas de Validación del Contenido suscritas por el cuadro de expertos validadores que participaron en la evaluación técnica de los instrumentos de medición:</w:t>
      </w:r>
    </w:p>
    <w:p>
      <w:pPr>
        <w:spacing w:after="100" w:before="200"/>
      </w:pPr>
      <w:r>
        <w:rPr>
          <w:rFonts w:ascii="Arial" w:cs="Arial" w:eastAsia="Arial" w:hAnsi="Arial"/>
          <w:b/>
          <w:bCs/>
          <w:color w:val="2D3748"/>
          <w:sz w:val="22"/>
          <w:szCs w:val="22"/>
        </w:rPr>
        <w:t xml:space="preserve">Ficha de Validación N° 1: Dr. Luis Alfonso Cruz Gálvez</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DF2F7" w:val="clear"/>
          </w:tcPr>
          <w:p>
            <w:r>
              <w:rPr>
                <w:rFonts w:ascii="Arial" w:cs="Arial" w:eastAsia="Arial" w:hAnsi="Arial"/>
                <w:b/>
                <w:bCs/>
                <w:sz w:val="18"/>
                <w:szCs w:val="18"/>
              </w:rPr>
              <w:t xml:space="preserve">Nombre del Instrumento</w:t>
            </w:r>
          </w:p>
        </w:tc>
        <w:tc>
          <w:tcPr>
            <w:tcW w:type="pct" w:w="70%"/>
          </w:tcPr>
          <w:p>
            <w:r>
              <w:rPr>
                <w:rFonts w:ascii="Arial" w:cs="Arial" w:eastAsia="Arial" w:hAnsi="Arial"/>
                <w:sz w:val="18"/>
                <w:szCs w:val="18"/>
              </w:rPr>
              <w:t xml:space="preserve">Validación del Sistema Predictivo con Deep Learning y Gestión de Riesgos INFOBRAS</w:t>
            </w:r>
          </w:p>
        </w:tc>
      </w:tr>
      <w:tr>
        <w:tc>
          <w:tcPr>
            <w:tcW w:type="pct" w:w="30%"/>
            <w:shd w:fill="EDF2F7" w:val="clear"/>
          </w:tcPr>
          <w:p>
            <w:r>
              <w:rPr>
                <w:rFonts w:ascii="Arial" w:cs="Arial" w:eastAsia="Arial" w:hAnsi="Arial"/>
                <w:b/>
                <w:bCs/>
                <w:sz w:val="18"/>
                <w:szCs w:val="18"/>
              </w:rPr>
              <w:t xml:space="preserve">Objetivo del Instrumento</w:t>
            </w:r>
          </w:p>
        </w:tc>
        <w:tc>
          <w:tcPr>
            <w:tcW w:type="pct" w:w="70%"/>
          </w:tcPr>
          <w:p>
            <w:r>
              <w:rPr>
                <w:rFonts w:ascii="Arial" w:cs="Arial" w:eastAsia="Arial" w:hAnsi="Arial"/>
                <w:sz w:val="18"/>
                <w:szCs w:val="18"/>
              </w:rPr>
              <w:t xml:space="preserve">Medir y evaluar la validez de contenido de la arquitectura predictiva y la gestión de riesgos en obras públicas.</w:t>
            </w:r>
          </w:p>
        </w:tc>
      </w:tr>
      <w:tr>
        <w:tc>
          <w:tcPr>
            <w:tcW w:type="pct" w:w="30%"/>
            <w:shd w:fill="EDF2F7" w:val="clear"/>
          </w:tcPr>
          <w:p>
            <w:r>
              <w:rPr>
                <w:rFonts w:ascii="Arial" w:cs="Arial" w:eastAsia="Arial" w:hAnsi="Arial"/>
                <w:b/>
                <w:bCs/>
                <w:sz w:val="18"/>
                <w:szCs w:val="18"/>
              </w:rPr>
              <w:t xml:space="preserve">Muestra Participante</w:t>
            </w:r>
          </w:p>
        </w:tc>
        <w:tc>
          <w:tcPr>
            <w:tcW w:type="pct" w:w="70%"/>
          </w:tcPr>
          <w:p>
            <w:r>
              <w:rPr>
                <w:rFonts w:ascii="Arial" w:cs="Arial" w:eastAsia="Arial" w:hAnsi="Arial"/>
                <w:sz w:val="18"/>
                <w:szCs w:val="18"/>
              </w:rPr>
              <w:t xml:space="preserve">Proyectos de Infraestructura Pública registrados en INFOBRAS (2020-2024)</w:t>
            </w:r>
          </w:p>
        </w:tc>
      </w:tr>
      <w:tr>
        <w:tc>
          <w:tcPr>
            <w:tcW w:type="pct" w:w="30%"/>
            <w:shd w:fill="EDF2F7" w:val="clear"/>
          </w:tcPr>
          <w:p>
            <w:r>
              <w:rPr>
                <w:rFonts w:ascii="Arial" w:cs="Arial" w:eastAsia="Arial" w:hAnsi="Arial"/>
                <w:b/>
                <w:bCs/>
                <w:sz w:val="18"/>
                <w:szCs w:val="18"/>
              </w:rPr>
              <w:t xml:space="preserve">Nombres y Apellidos del Experto</w:t>
            </w:r>
          </w:p>
        </w:tc>
        <w:tc>
          <w:tcPr>
            <w:tcW w:type="pct" w:w="70%"/>
          </w:tcPr>
          <w:p>
            <w:r>
              <w:rPr>
                <w:rFonts w:ascii="Arial" w:cs="Arial" w:eastAsia="Arial" w:hAnsi="Arial"/>
                <w:b/>
                <w:bCs/>
                <w:sz w:val="18"/>
                <w:szCs w:val="18"/>
              </w:rPr>
              <w:t xml:space="preserve">Dr. Luis Alfonso Cruz Gálvez</w:t>
            </w:r>
          </w:p>
        </w:tc>
      </w:tr>
      <w:tr>
        <w:tc>
          <w:tcPr>
            <w:tcW w:type="pct" w:w="30%"/>
            <w:shd w:fill="EDF2F7" w:val="clear"/>
          </w:tcPr>
          <w:p>
            <w:r>
              <w:rPr>
                <w:rFonts w:ascii="Arial" w:cs="Arial" w:eastAsia="Arial" w:hAnsi="Arial"/>
                <w:b/>
                <w:bCs/>
                <w:sz w:val="18"/>
                <w:szCs w:val="18"/>
              </w:rPr>
              <w:t xml:space="preserve">Título Profesional / Especialidad</w:t>
            </w:r>
          </w:p>
        </w:tc>
        <w:tc>
          <w:tcPr>
            <w:tcW w:type="pct" w:w="70%"/>
          </w:tcPr>
          <w:p>
            <w:r>
              <w:rPr>
                <w:rFonts w:ascii="Arial" w:cs="Arial" w:eastAsia="Arial" w:hAnsi="Arial"/>
                <w:sz w:val="18"/>
                <w:szCs w:val="18"/>
              </w:rPr>
              <w:t xml:space="preserve">Investigador Principal</w:t>
            </w:r>
          </w:p>
        </w:tc>
      </w:tr>
      <w:tr>
        <w:tc>
          <w:tcPr>
            <w:tcW w:type="pct" w:w="30%"/>
            <w:shd w:fill="EDF2F7" w:val="clear"/>
          </w:tcPr>
          <w:p>
            <w:r>
              <w:rPr>
                <w:rFonts w:ascii="Arial" w:cs="Arial" w:eastAsia="Arial" w:hAnsi="Arial"/>
                <w:b/>
                <w:bCs/>
                <w:sz w:val="18"/>
                <w:szCs w:val="18"/>
              </w:rPr>
              <w:t xml:space="preserve">Grado Académico</w:t>
            </w:r>
          </w:p>
        </w:tc>
        <w:tc>
          <w:tcPr>
            <w:tcW w:type="pct" w:w="70%"/>
          </w:tcPr>
          <w:p>
            <w:r>
              <w:rPr>
                <w:rFonts w:ascii="Arial" w:cs="Arial" w:eastAsia="Arial" w:hAnsi="Arial"/>
                <w:sz w:val="18"/>
                <w:szCs w:val="18"/>
              </w:rPr>
              <w:t xml:space="preserve">Doctor en Educación / Magíster en Ingeniería</w:t>
            </w:r>
          </w:p>
        </w:tc>
      </w:tr>
      <w:tr>
        <w:tc>
          <w:tcPr>
            <w:tcW w:type="pct" w:w="30%"/>
            <w:shd w:fill="EDF2F7" w:val="clear"/>
          </w:tcPr>
          <w:p>
            <w:r>
              <w:rPr>
                <w:rFonts w:ascii="Arial" w:cs="Arial" w:eastAsia="Arial" w:hAnsi="Arial"/>
                <w:b/>
                <w:bCs/>
                <w:sz w:val="18"/>
                <w:szCs w:val="18"/>
              </w:rPr>
              <w:t xml:space="preserve">Lugar y Fecha de Validación</w:t>
            </w:r>
          </w:p>
        </w:tc>
        <w:tc>
          <w:tcPr>
            <w:tcW w:type="pct" w:w="70%"/>
          </w:tcPr>
          <w:p>
            <w:r>
              <w:rPr>
                <w:rFonts w:ascii="Arial" w:cs="Arial" w:eastAsia="Arial" w:hAnsi="Arial"/>
                <w:sz w:val="18"/>
                <w:szCs w:val="18"/>
              </w:rPr>
              <w:t xml:space="preserve">Lima, 25 de julio del 2026</w:t>
            </w:r>
          </w:p>
        </w:tc>
      </w:tr>
      <w:tr>
        <w:tc>
          <w:tcPr>
            <w:tcW w:type="pct" w:w="30%"/>
            <w:shd w:fill="EDF2F7" w:val="clear"/>
          </w:tcPr>
          <w:p>
            <w:r>
              <w:rPr>
                <w:rFonts w:ascii="Arial" w:cs="Arial" w:eastAsia="Arial" w:hAnsi="Arial"/>
                <w:b/>
                <w:bCs/>
                <w:sz w:val="18"/>
                <w:szCs w:val="18"/>
              </w:rPr>
              <w:t xml:space="preserve">Firma del Experto</w:t>
            </w:r>
          </w:p>
        </w:tc>
        <w:tc>
          <w:tcPr>
            <w:tcW w:type="pct" w:w="70%"/>
          </w:tcPr>
          <w:p>
            <w:r>
              <w:rPr>
                <w:rFonts w:ascii="Arial" w:cs="Arial" w:eastAsia="Arial" w:hAnsi="Arial"/>
                <w:color w:val="718096"/>
                <w:sz w:val="16"/>
                <w:szCs w:val="16"/>
              </w:rPr>
              <w:t xml:space="preserve">[Firma Digital Registrada en Sistema]</w:t>
            </w:r>
          </w:p>
        </w:tc>
      </w:tr>
    </w:tbl>
    <w:p>
      <w:pPr>
        <w:spacing w:after="250"/>
      </w:pPr>
    </w:p>
    <w:p>
      <w:pPr>
        <w:pStyle w:val="Heading1"/>
        <w:spacing w:after="150" w:before="300"/>
      </w:pPr>
      <w:r>
        <w:rPr>
          <w:rFonts w:ascii="Arial" w:cs="Arial" w:eastAsia="Arial" w:hAnsi="Arial"/>
          <w:b/>
          <w:bCs/>
          <w:color w:val="1A365D"/>
          <w:sz w:val="24"/>
          <w:szCs w:val="24"/>
        </w:rPr>
        <w:t xml:space="preserve">SECCIÓN II: MATRIZ DE EVALUACIÓN V DE AIKEN Y CVR DE LAWSHE (TODOS LOS JUECES)</w:t>
      </w:r>
    </w:p>
    <w:p>
      <w:pPr>
        <w:spacing w:after="200"/>
      </w:pPr>
      <w:r>
        <w:rPr>
          <w:rFonts w:ascii="Arial" w:cs="Arial" w:eastAsia="Arial" w:hAnsi="Arial"/>
          <w:sz w:val="20"/>
          <w:szCs w:val="20"/>
        </w:rPr>
        <w:t xml:space="preserve">En la presente matriz se muestran las calificaciones de TODOS los jueces evaluadores registrados (1 juez/ces) para transparencia de sus veredictos. Para efectos del cálculo estadístico de V de Aiken y Lawshe, se aplica la muestra impar asignada de N_impar = 1 juez(ces):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c>
          <w:tcPr>
            <w:vMerge w:val="restart"/>
            <w:shd w:fill="1A365D" w:val="clear"/>
          </w:tcPr>
          <w:p>
            <w:pPr>
              <w:jc w:val="center"/>
            </w:pPr>
            <w:r>
              <w:rPr>
                <w:rFonts w:ascii="Arial" w:cs="Arial" w:eastAsia="Arial" w:hAnsi="Arial"/>
                <w:b/>
                <w:bCs/>
                <w:color w:val="FFFFFF"/>
                <w:sz w:val="16"/>
                <w:szCs w:val="16"/>
              </w:rPr>
              <w:t xml:space="preserve">Ítems</w:t>
            </w:r>
          </w:p>
        </w:tc>
        <w:tc>
          <w:tcPr>
            <w:vMerge w:val="restart"/>
            <w:shd w:fill="1A365D" w:val="clear"/>
          </w:tcPr>
          <w:p>
            <w:pPr>
              <w:jc w:val="center"/>
            </w:pPr>
            <w:r>
              <w:rPr>
                <w:rFonts w:ascii="Arial" w:cs="Arial" w:eastAsia="Arial" w:hAnsi="Arial"/>
                <w:b/>
                <w:bCs/>
                <w:color w:val="FFFFFF"/>
                <w:sz w:val="16"/>
                <w:szCs w:val="16"/>
              </w:rPr>
              <w:t xml:space="preserve">Criterios</w:t>
            </w:r>
          </w:p>
        </w:tc>
        <w:tc>
          <w:tcPr>
            <w:shd w:fill="1A365D" w:val="clear"/>
          </w:tcPr>
          <w:p>
            <w:pPr>
              <w:jc w:val="center"/>
            </w:pPr>
            <w:r>
              <w:rPr>
                <w:rFonts w:ascii="Arial" w:cs="Arial" w:eastAsia="Arial" w:hAnsi="Arial"/>
                <w:b/>
                <w:bCs/>
                <w:color w:val="FFFFFF"/>
                <w:sz w:val="16"/>
                <w:szCs w:val="16"/>
              </w:rPr>
              <w:t xml:space="preserve">Jueces Evaluadores (1 Jueces)</w:t>
            </w:r>
          </w:p>
        </w:tc>
        <w:tc>
          <w:tcPr>
            <w:vMerge w:val="restart"/>
            <w:shd w:fill="1A365D" w:val="clear"/>
          </w:tcPr>
          <w:p>
            <w:pPr>
              <w:jc w:val="center"/>
            </w:pPr>
            <w:r>
              <w:rPr>
                <w:rFonts w:ascii="Arial" w:cs="Arial" w:eastAsia="Arial" w:hAnsi="Arial"/>
                <w:b/>
                <w:bCs/>
                <w:color w:val="FFFFFF"/>
                <w:sz w:val="16"/>
                <w:szCs w:val="16"/>
              </w:rPr>
              <w:t xml:space="preserve">Acuerdos (N=1)</w:t>
            </w:r>
          </w:p>
        </w:tc>
        <w:tc>
          <w:tcPr>
            <w:vMerge w:val="restart"/>
            <w:shd w:fill="1A365D" w:val="clear"/>
          </w:tcPr>
          <w:p>
            <w:pPr>
              <w:jc w:val="center"/>
            </w:pPr>
            <w:r>
              <w:rPr>
                <w:rFonts w:ascii="Arial" w:cs="Arial" w:eastAsia="Arial" w:hAnsi="Arial"/>
                <w:b/>
                <w:bCs/>
                <w:color w:val="FFFFFF"/>
                <w:sz w:val="16"/>
                <w:szCs w:val="16"/>
              </w:rPr>
              <w:t xml:space="preserve">Aiken (V)</w:t>
            </w:r>
          </w:p>
        </w:tc>
        <w:tc>
          <w:tcPr>
            <w:vMerge w:val="restart"/>
            <w:shd w:fill="1A365D" w:val="clear"/>
          </w:tcPr>
          <w:p>
            <w:pPr>
              <w:jc w:val="center"/>
            </w:pPr>
            <w:r>
              <w:rPr>
                <w:rFonts w:ascii="Arial" w:cs="Arial" w:eastAsia="Arial" w:hAnsi="Arial"/>
                <w:b/>
                <w:bCs/>
                <w:color w:val="FFFFFF"/>
                <w:sz w:val="16"/>
                <w:szCs w:val="16"/>
              </w:rPr>
              <w:t xml:space="preserve">Sig. P &lt;0.05</w:t>
            </w:r>
          </w:p>
        </w:tc>
        <w:tc>
          <w:tcPr>
            <w:vMerge w:val="restart"/>
            <w:shd w:fill="1A365D" w:val="clear"/>
          </w:tcPr>
          <w:p>
            <w:pPr>
              <w:jc w:val="center"/>
            </w:pPr>
            <w:r>
              <w:rPr>
                <w:rFonts w:ascii="Arial" w:cs="Arial" w:eastAsia="Arial" w:hAnsi="Arial"/>
                <w:b/>
                <w:bCs/>
                <w:color w:val="FFFFFF"/>
                <w:sz w:val="16"/>
                <w:szCs w:val="16"/>
              </w:rPr>
              <w:t xml:space="preserve">Decisión Aiken</w:t>
            </w:r>
          </w:p>
        </w:tc>
        <w:tc>
          <w:tcPr>
            <w:vMerge w:val="restart"/>
            <w:shd w:fill="1A365D" w:val="clear"/>
          </w:tcPr>
          <w:p>
            <w:pPr>
              <w:jc w:val="center"/>
            </w:pPr>
            <w:r>
              <w:rPr>
                <w:rFonts w:ascii="Arial" w:cs="Arial" w:eastAsia="Arial" w:hAnsi="Arial"/>
                <w:b/>
                <w:bCs/>
                <w:color w:val="FFFFFF"/>
                <w:sz w:val="16"/>
                <w:szCs w:val="16"/>
              </w:rPr>
              <w:t xml:space="preserve">Lawshe (CVR)</w:t>
            </w:r>
          </w:p>
        </w:tc>
        <w:tc>
          <w:tcPr>
            <w:vMerge w:val="restart"/>
            <w:shd w:fill="1A365D" w:val="clear"/>
          </w:tcPr>
          <w:p>
            <w:pPr>
              <w:jc w:val="center"/>
            </w:pPr>
            <w:r>
              <w:rPr>
                <w:rFonts w:ascii="Arial" w:cs="Arial" w:eastAsia="Arial" w:hAnsi="Arial"/>
                <w:b/>
                <w:bCs/>
                <w:color w:val="FFFFFF"/>
                <w:sz w:val="16"/>
                <w:szCs w:val="16"/>
              </w:rPr>
              <w:t xml:space="preserve">Decisión Lawshe</w:t>
            </w:r>
          </w:p>
        </w:tc>
      </w:tr>
      <w:tr>
        <w:tc>
          <w:tcPr>
            <w:vMerge w:val="continue"/>
          </w:tcPr>
          <w:p/>
        </w:tc>
        <w:tc>
          <w:tcPr>
            <w:vMerge w:val="continue"/>
          </w:tcPr>
          <w:p/>
        </w:tc>
        <w:tc>
          <w:tcPr>
            <w:shd w:fill="2B6CB0" w:val="clear"/>
          </w:tcPr>
          <w:p>
            <w:pPr>
              <w:jc w:val="center"/>
            </w:pPr>
            <w:r>
              <w:rPr>
                <w:rFonts w:ascii="Arial" w:cs="Arial" w:eastAsia="Arial" w:hAnsi="Arial"/>
                <w:b/>
                <w:bCs/>
                <w:color w:val="FFFFFF"/>
                <w:sz w:val="16"/>
                <w:szCs w:val="16"/>
              </w:rPr>
              <w:t xml:space="preserve">J1</w:t>
            </w:r>
          </w:p>
        </w:tc>
        <w:tc>
          <w:tcPr>
            <w:vMerge w:val="continue"/>
          </w:tcPr>
          <w:p/>
        </w:tc>
        <w:tc>
          <w:tcPr>
            <w:vMerge w:val="continue"/>
          </w:tcPr>
          <w:p/>
        </w:tc>
        <w:tc>
          <w:tcPr>
            <w:vMerge w:val="continue"/>
          </w:tcPr>
          <w:p/>
        </w:tc>
        <w:tc>
          <w:tcPr>
            <w:vMerge w:val="continue"/>
          </w:tcPr>
          <w:p/>
        </w:tc>
        <w:tc>
          <w:tcPr>
            <w:vMerge w:val="continue"/>
          </w:tcPr>
          <w:p/>
        </w:tc>
        <w:tc>
          <w:tcPr>
            <w:vMerge w:val="continue"/>
          </w:tcPr>
          <w:p/>
        </w:tc>
      </w:tr>
      <w:tr>
        <w:tc>
          <w:tcPr>
            <w:tcW w:type="pct" w:w="25%"/>
            <w:vMerge w:val="restart"/>
          </w:tcPr>
          <w:p>
            <w:r>
              <w:rPr>
                <w:rFonts w:ascii="Arial" w:cs="Arial" w:eastAsia="Arial" w:hAnsi="Arial"/>
                <w:sz w:val="14"/>
                <w:szCs w:val="14"/>
              </w:rPr>
              <w:t xml:space="preserve">1. ¿Considera que la decisión metodológica de interconectar las bases de datos de ejecución presupuestal (MEF), procesos de contratación (SEACE), gestión de riesgos por desastres (INDECI) y avance físico (INFOBRAS), asegura que el sistema predictivo se alimente de un entorno de información oficial, multidimensional y verificable?</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Dado que el éxito predictivo depende directamente de sus datos de entrada, ¿Considera que la información alojada en los repositorios gubernamentales (MEF, SEACE, INDECI e INFOBRAS) posee la suficiencia, completitud y veracidad necesarias para garantizar un entrenamiento algorítmico robusto y libre de sesgos?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¿Considera que la integración centralizada de repositorios financieros y técnicos (MEF, SEACE, INFOBRAS e INDECI) en un único 'Data Warehouse' resulta indispensable para romper los silos de información del Estado y mitigar drásticamente el sesgo analítico al diagnosticar el estado real de la obra?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¿Considera que fundamentar el entrenamiento algorítmico exclusivamente en plataformas gubernamentales oficiales (MEF, SEACE, INDECI e INFOBRAS) dota a las predicciones de la Inteligencia Artificial del sustento legal y la validez probatoria indispensables para respaldar las acciones de los órganos de control?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¿Considera que la interoperabilidad y extracción sistemática de datos desde los repositorios oficiales garantiza un flujo continuo de información, asegurando que el modelo predictivo mantenga su vigencia operativa (y evite la obsolescencia) frente al dinamismo y los constantes cambios normativos de las contrataciones públicas?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¿Considera que el conjunto de 'features' seleccionadas (como variaciones presupuestales, plazos y ubicación) logra traducir a parámetros matemáticos medibles la complejidad estructural y operativa de las obras del Estado?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¿Considera metodológicamente riguroso aplicar técnicas de selección de variables (Feature Selection) para descartar atributos irrelevantes, reduciendo la dimensionalidad de los datos y mitigando el ruido estadístico (información distorsionada o sin valor predictivo) que podría confundir a la Inteligencia Artificial?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¿Considera que hacer converger los indicadores de ejecución financiera (MEF) con el avance físico de la obra (INFOBRAS) provee la visión multidimensional indispensable para un perfilamiento de riesgo certero?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¿Considera que las variables predictoras elegidas (tales como las desviaciones de presupuesto y plazo, la ubicación geográfica y el tipo de contratista) logran capturar integralmente los detonantes sistémicos y las causas subyacentes que históricamente han conducido a la paralización de obras en el Perú?</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¿Considera que la correcta extracción de factores clave (como el avance financiero, las adendas de plazo y el tipo de contratista) permite la parametrización de los expedientes técnicos, traduciendo toda su casuística legal hacia un entorno puramente procesable por algoritmos de Machine Learning?</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1. ¿Considera que la selección de algoritmos basados en la optimización del gradiente (específicamente XGBoost y LightGBM) constituye el enfoque de aprendizaje supervisado más idóneo para predecir probabilísticamente la paralización de una obra pública?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Dado que las obras públicas combinan datos financieros, contractuales y geográficos, ¿Considera que utilizar modelos de 'Gradient Boosting' es el enfoque indicado para procesar la compleja naturaleza tabular de la información gubernamental?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¿Considera que la implementación de algoritmos ensamblados (es decir, sistemas que combinan matemáticamente varios árboles de decisión para lograr un diagnóstico más exacto) ofrece una ventaja analítica abismal frente a la alta subjetividad de las matrices de riesgo tradicionales?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¿Considera que utilizar metodologías de exploración sistemática (como la técnica de Grid Search) para hallar la configuración algorítmica perfecta demuestra un alto rigor en el diseño experimental de la investigación?</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¿Considera que la correcta sintonización de los hiperparámetros resulta ser la medida metodológica definitiva para resolver el dilema del 'Trade-off entre Sesgo y Varianza', garantizando que el modelo no peque de excesiva simpleza (Underfitting) ni de memorización extrema (Overfitting)?</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¿Considera que el conjunto definitivo de variables predictoras seleccionadas (tales como variaciones presupuestales, plazos y ubicación geográfica) logra representar paramétricamente la complejidad operativa de las obras del Estado?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¿Considera metodológicamente imperativo aplicar técnicas de Ingeniería de Variables (Feature Engineering) para descartar información irrelevante y mitigar el ruido estadístico que degrada el modelo predictivo?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¿Considera que la integración simultánea de variables de ejecución financiera y avance físico dota al modelo algorítmico de una visión multidimensional indispensable para el análisis predictivo?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¿Considera que las variables predictoras seleccionadas (features) logran capturar los detonantes sistémicos y las causas subyacentes que históricamente conducen a la paralización de la obra pública?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¿Considera que factores predictivos tempranos, como el recuento de dependencias, los días de retraso en el inicio y los scores de restricción logística, otorgan un margen de tiempo necesario para ejercer un Project Management preventivo y evitar la paralización de la obra?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¿Considera metodológicamente útil medir la Exactitud Global (Accuracy) como un primer indicador general para evaluar el porcentaje total de aciertos que alcanza el algoritmo al discriminar entre obras exitosas y proyectos paralizados?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¿Considera científicamente válido utilizar el Accuracy como una 'línea base' (baseline) de rendimiento, proporcionando una interpretación rápida para los tomadores de decisiones antes de someter el modelo a métricas estadísticas más rigurosas?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¿Considera metodológicamente correcto reportar la Exactitud (Accuracy) del modelo, siempre y cuando se acompañe de otras métricas estadísticas para evitar conclusiones sesgadas?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Considera que calcular el Accuracy estrictamente sobre el conjunto de datos de prueba (Test Set) aporta una validación objetiva de su capacidad predictiva, demostrando que la Inteligencia Artificial logró aprender los patrones de riesgo en lugar de simplemente memorizar la información histórica?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¿Considera apropiado incluir la Exactitud Global (Accuracy) en el reporte, siempre y cuando se precise metodológicamente que, en escenarios desbalanceados (muchas obras exitosas y pocos fracasos), esta métrica puede sobreestimar el verdadero rendimiento predictivo si el modelo simplemente opta por clasificar a favor de la clase mayoritaria?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Dado el fuerte desbalance de clases (abundancia de obras concluidas frente a escasas obras paralizadas), ¿Considera que exigir métricas estrictas como el F1-Score y el ROC-AUC garantiza una evaluación objetiva sobre el verdadero rendimiento predictivo del modelo?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2.¿Considera adecuado evaluar el modelo con el F1-Score, ya que esta métrica penaliza por igual dos errores graves: generar falsas alarmas (falsos positivos) y dejar pasar riesgos reales (falsos negativos)?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Dado que la curva ROC-AUC evalúa la capacidad de clasificación, ¿Considera que obtener un puntaje alto en esta métrica garantiza que la Inteligencia Artificial realmente aprendió a distinguir entre una obra riesgosa y una exitosa?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¿Considera que fundamentar el desempeño del algoritmo en métricas de evaluación robustas (F1-Score y ROC-AUC) dota a la investigación del rigor científico necesario para respaldar su viabilidad ante las entidades de control gubernamental?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¿Considera metodológicamente imperativo priorizar el F1-Score y el ROC-AUC por encima de la Exactitud Global, considerando que el objetivo central del sistema es identificar proactivamente el reducido pero crítico porcentaje de proyectos que terminan en paralización?</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¿Considera útil que el sistema genere un ranking (usando la técnica matemática SHAP) para explicar claramente qué variables como las variaciones presupuestales, las ampliaciones de plazo o el avance físico tienen mayor impacto en el riesgo de paralización?</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A partir de la jerarquización de estas variables, ¿Considera que el modelo predictivo propuesto ayuda a mitigar la opacidad algorítmica, dándole al Estado la transparencia y trazabilidad que necesita para confiar en la Inteligencia Artificial?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Además de mitigar la opacidad algorítmica, ¿Considera que explicar matemáticamente el peso de los factores de riesgo detectados permite a los expertos validar si el sistema de Inteligencia Artificial realmente está razonando con los mismos criterios técnicos y operativos del sector construcción?</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Una vez validada la lógica operativa del modelo predictivo propuesto, ¿Considera que la identificación explícita de los factores críticos de riesgo facilita que las instituciones públicas diseñen mejores políticas para prevenir la paralización de obras?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Finalmente, como respaldo a estas políticas de prevención, ¿Considera que el enfoque de Inteligencia Artificial Explicable (XAI) transforma los complejos cálculos predictivos en reportes justificados que pueden utilizarse como sustento técnico en una auditoría gubernamental?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Para dotar al gestor público de fundamentos técnicos precisos, ¿Considera indispensable que el modelo predictivo justifique sus predicciones entregando un desglose detallado de por qué alertó a una obra en particular?</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Con base en esta justificación individual (SHAP Local), ¿Considera que visualizar gráficamente el peso de las variables permite a los ingenieros corroborar de inmediato si la predicción algorítmica es coherente con la situación técnica del expediente?</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Una vez que los especialistas corroboran que la predicción del modelo coincide con la realidad de la obra, ¿Considera que transparentar los motivos matemáticos de cada alerta a nivel individual mitiga drásticamente la desconfianza institucional y la resistencia al cambio tecnológico en el sector público?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uperada la natural resistencia institucional al cambio tecnológico, ¿Considera que conocer las causas matemáticas exactas detectadas en un proyecto específico resulta vital para que la unidad ejecutora diseñe un plan de mitigación correctivo altamente focalizado?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Finalmente, más allá de solucionar los problemas de la obra, ¿Considera que la explicabilidad algorítmica individualizada provee a los expedientes del sustento documental técnico indispensable para enfrentar con éxito las acciones de control concurrente de la Contraloría General de la República?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¿Considera que medir estrictamente el tiempo de respuesta en milisegundos (latencia) del servidor backend es una prueba técnica esencial para validar la solidez de la infraestructura computacional del sistema propuesto?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Con base en los resultados de velocidad del servidor backend, ¿Considera que mantener una latencia extremadamente baja resulta indispensable para brindar una experiencia de consulta ágil y fluida a los gestores públicos que interactúan con el Dashboard?</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Habiendo validado la latencia mínima en peticiones unitarias, ¿Considera que la medición técnica de los tiempos de procesamiento certifica la escalabilidad de la arquitectura computacional para soportar una concurrencia masiva a nivel nacional?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Al alcanzar esta escalabilidad nacional, ¿Considera que la entrega de predicciones de riesgo casi en tiempo real faculta a las entidades gubernamentales con una agilidad analítica inalcanzable mediante los procesos de revisión manuales convencionales?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Como corolario de estos óptimos resultados de latencia y escalabilidad, ¿Considera que la velocidad de inferencia demostrada ratifica la viabilidad operativa del sistema predictivo propuesto para ser implementado de manera definitiva como política de modernización en la gestión pública?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Para garantizar el máximo rigor tecnológico, ¿Considera válido diseñar pruebas de estrés (inyectando intencionalmente ruido estadístico y valores nulos) para medir la sensibilidad del sistema predictivo propuesto?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Para evaluar la resiliencia del modelo ante datos corruptos, ¿Considera válido diseñar pruebas de estrés (inyectando intencionalmente ruido estadístico y valores nulos) para medir la sensibilidad del sistema predictivo propuesto?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Frente a este escenario deliberado de registros nulos en parámetros críticos (como los plazos y modificaciones presupuestales), ¿Considera que medir la caída en el rendimiento del F1-Score ante dicha inyección de ruido estadístico permite certificar si la arquitectura algorítmica es verdaderamente sólida?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Al mantener un alto rendimiento tras estas pruebas de estrés, ¿Considera que un modelo capaz de predecir correctamente el riesgo a pesar de recibir parámetros vacíos demuestra una estabilidad tecnológica indispensable para el sector público?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Finalmente, para garantizar que el modelo mantenga su alta precisión predictiva con el paso de los años, ¿Considera que planificar pruebas periódicas de Data Drift resulta estrictamente necesario para asegurar la confiabilidad a largo plazo de las predicciones en futuras auditorías?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¿En qué medida considera que el modelo predictivo supera al enfoque de supervisión tradicional al lograr detectar amenazas estructurales antes de que se concrete la paralización física de la obra?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¿Considera que el tiempo de anticipación brindado por las alertas algorítmicas es suficiente para que la entidad gubernamental logre diseñar e implementar una estrategia correctiva viable?</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¿Cómo evalúa la capacidad matemática del sistema para discriminar eficazmente los riesgos reales, evitando saturar operativamente a los supervisores con "falsas alarmas"?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¿En qué grado cree que esta reducción de falsas alarmas permite a las entidades focalizar sus recursos (presupuesto e inspectores físicos) exclusivamente en el núcleo de proyectos críticos?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¿Considera que la combinación sistemática de detección temprana y focalización de recursos logrará disminuir estadísticamente el índice nacional de obras públicas paralizadas?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¿Considera que la arquitectura predictiva discrimina con precisión entre desviaciones críticas que llevarán a la paralización y aquellas variaciones tolerables propias de la holgura del proyecto, reduciendo así la emisión de falsas alarmas?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¿En qué medida cree que esta priorización basada en datos evita la sobrecarga operativa de los inspectores, al dirigir sus esfuerzos de supervisión únicamente hacia las obras con riesgo Alto y Crítico?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¿Cómo califica la utilidad del sistema predictivo para ayudar a los directivos a priorizar la asignación presupuestal y de inspectores físicos sobre un portafolio masivo de infraestructura nacional?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¿Considera que el sistema logra depurar eficientemente el exceso de información rutinaria de las obras, permitiendo a la entidad concentrar su esfuerzo técnico únicamente donde existe un riesgo inminente de paralización?</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¿Considera que el clasificador predictivo filtra eficientemente el "ruido operativo", permitiendo concentrar el esfuerzo técnico de la entidad donde existe un riesgo material inminente?</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¿Cómo califica la capacidad del sistema automatizado para reducir drásticamente las horas-hombre que un auditor requeriría para perfilar el riesgo de un proyecto de forma manual?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¿En qué medida la velocidad de procesamiento del Sistema Predictivo con Deep Learning elimina el cuello de botella burocrático asociado a la revisión manual de expedientes?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¿En qué grado el procesamiento continuo de datos mediante Deep Learning permite realizar un monitoreo ininterrumpido del proyecto, superando las limitaciones de las auditorías físicas trimestrales?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¿La arquitectura predictiva optimiza eficazmente el tiempo operativo al relevar a los inspectores de la recolección manual de datos, permitiéndoles priorizar la toma de decisiones estratégicas?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¿La inmediatez algorítmica en la detección del riesgo acorta significativamente los tiempos de reacción administrativa y legal de la entidad frente a posibles incumplimientos del contratista?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¿El procesamiento masivo mediante Deep Learning permite a la institución auditar simultáneamente un portafolio masivo de obras a nivel nacional, superando las limitaciones del control muestral manual?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2.¿La evaluación computarizada de los registros de INFOBRAS elimina las barreras geográficas, garantizando una vigilancia estricta sobre proyectos ubicados en zonas remotas o de difícil acceso?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¿El uso de este modelo de Deep Learning logra expandir la capacidad de supervisión del Estado sin requerir un incremento proporcional en la contratación de personal o presupuesto?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¿El análisis automatizado garantiza que ningún proyecto de la cartera nacional quede excluido de la evaluación de riesgos por falta de inspectores humanos disponibles?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¿La implementación del Sistema Predictivo con Deep Learning eleva estructuralmente la capacidad rectora del Estado para monitorear el 100% de la infraestructura pública nacional?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¿Las alertas tempranas del Sistema Predictivo con Deep Learning previenen eficazmente la necesidad de aprobar adendas financieras (sobrecostos) durante la ejecución física de la obra?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¿El uso continuo del Sistema Predictivo resguarda objetivamente los recursos públicos al anticipar los riesgos que encarecen drásticamente los proyectos?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¿La capacidad de anticipación del Sistema Predictivo evita que las desviaciones menores del cronograma se conviertan en sobrecostos financieros irreversibles?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¿El ahorro económico generado por la prevención de paralizaciones justifica de manera concluyente la implementación institucional del Sistema Predictivo con Deep Learning?</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¿La adopción oficial del Sistema Predictivo en el aparato estatal promueve la sostenibilidad financiera a largo plazo de las carteras de inversión pública en infraestructura?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¿El Sistema Predictivo con Deep Learning previene eficazmente la ruptura de la ruta crítica del proyecto al emitir alertas antes de que se consolide un retraso irreversible?</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¿La adopción del Sistema Predictivo con Deep Learning reduce sustancialmente la probabilidad de que la obra incurra en penalidades por mora derivadas de retrasos no gestionados?"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3. ¿La detección proactiva de riesgos generada por la Inteligencia Artificial salvaguarda la holgura del cronograma contractual durante toda la fase de ejecución física?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4. ¿El uso de este Sistema Predictivo minimiza el riesgo de que una acumulación de retrasos operativos termine derivando en el abandono del contratista o en un arbitraje legal?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5. ¿La mitigación automatizada de los retrasos asegura que el Estado peruano entregue la infraestructura pública a la ciudadanía dentro de los plazos originalmente planificados?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1. ¿Las alertas generadas por el Sistema Predictivo con Deep Learning proporcionan una ruta de acción lo suficientemente clara para que los directivos implementen planes de contingencia inmediatos?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2. ¿El respaldo matemático del Sistema Predictivo con Deep Learning genera la confianza técnica necesaria para que las entidades estatales adopten formalmente sus recomendaciones de mitigación?</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3. ¿La evidencia provista por el Sistema Predictivo con Deep Learning logra destrabar la indecisión administrativa típica, facilitando la aprobación oportuna de intervenciones preventivas en la obra?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4.  ¿El uso institucional del Sistema Predictivo con Deep Learning estandariza la toma de decisiones, garantizando que el Estado aplique los mismos planes de contingencia ante riesgos idénticos a nivel nacional?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¿La adopción del Sistema Predictivo con Deep Learning transforma el rol del Estado, pasando de ser un simple documentador de retrasos a un ejecutor activo de planes de mitigación temprana?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¿La capacidad de explicabilidad algorítmica del Sistema Predictivo con Deep Learning traduce eficazmente los cálculos matemáticos complejos en evidencia documental comprensible para el gestor público?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¿La fundamentación matemática provista por el Sistema Predictivo con Deep Learning posee la solidez técnica necesaria para proyectarse como sustento oficial en la toma de decisiones administrativas?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¿El diseño del Sistema Predictivo con Deep Learning garantiza absoluta transparencia al permitir identificar matemáticamente qué variable específica de la obra origina la alerta de riesgo?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¿La integración del concepto de explicabilidad (XAI) en el Sistema Predictivo con Deep Learning asegura la eliminación del sesgo subjetivo humano al diagnosticar un proyecto?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¿El nivel de precisión proyectado por el Sistema Predictivo con Deep Learning otorga la seguridad institucional requerida para autorizar, a futuro, la ejecución inmediata de planes de mitigación?</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¿El diseño arquitectónico del Sistema Predictivo con Deep Learning reduce sustancialmente el tiempo de reacción administrativa de las entidades frente a desviaciones críticas en la ejecución de la obra?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¿La capacidad de procesamiento continuo del Sistema Predictivo con Deep Learning elimina la latencia burocrática históricamente asociada a la revisión manual y el traslado físico de expedientes?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3. ¿La velocidad en la aplicación de modelos estadísticos y matemáticos del Sistema Predictivo con Deep Learning transforma la pesada burocracia estatal en un mecanismo sumamente ágil de control concurrente?</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¿La capacidad de predecir riesgos futuros del Sistema Predictivo con Deep Learning garantiza que la intervención técnica del Estado ocurra mucho antes de que el problema alcance un nivel de severidad crítica?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¿La potencial adopción institucional del Sistema Predictivo con Deep Learning moderniza estructuralmente la capacidad de respuesta inmediata de la Contraloría frente a las paralizaciones?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1. ¿La arquitectura de base de datos relacional del Sistema Predictivo con Deep Learning garantiza un registro histórico centralizado que evita la pérdida de información típica de los expedientes de papel?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2. ¿El protocolo de integridad de datos del Sistema Predictivo con Deep Learning asegura la inmutabilidad de las alertas, previniendo que la información sea alterada manualmente para ocultar negligencias en la obra?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3. ¿La capacidad de análisis masivo (Big Data) del Sistema Predictivo con Deep Learning permite trazar la evolución cronológica exacta de los problemas técnicos que paralizaron una obra?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4. ¿El registro automatizado del Sistema Predictivo con Deep Learning provee una pista de auditoría digital que agiliza enormemente las futuras investigaciones legales de la Contraloría?"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5.  ¿La transparencia técnica de los datos procesados por el Sistema Predictivo con Deep Learning eleva los estándares de fiscalización, reduciendo significativamente los espacios para la corrupción operativa?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bl>
    <w:p>
      <w:pPr>
        <w:spacing w:after="300"/>
      </w:pPr>
    </w:p>
    <w:p>
      <w:pPr>
        <w:pStyle w:val="Heading1"/>
        <w:spacing w:after="150" w:before="300"/>
      </w:pPr>
      <w:r>
        <w:rPr>
          <w:rFonts w:ascii="Arial" w:cs="Arial" w:eastAsia="Arial" w:hAnsi="Arial"/>
          <w:b/>
          <w:bCs/>
          <w:color w:val="1A365D"/>
          <w:sz w:val="24"/>
          <w:szCs w:val="24"/>
        </w:rPr>
        <w:t xml:space="preserve">SECCIÓN III: RESULTADOS GLOBALES Y DICTAMEN DE VALIDEZ DE CONTENIDO</w:t>
      </w:r>
    </w:p>
    <w:p>
      <w:pPr>
        <w:spacing w:after="150"/>
      </w:pPr>
      <w:r>
        <w:rPr>
          <w:rFonts w:ascii="Arial" w:cs="Arial" w:eastAsia="Arial" w:hAnsi="Arial"/>
          <w:b/>
          <w:bCs/>
          <w:sz w:val="20"/>
          <w:szCs w:val="20"/>
        </w:rPr>
        <w:t xml:space="preserve">• Coeficiente V de Aiken Promedio General: </w:t>
      </w:r>
      <w:r>
        <w:rPr>
          <w:rFonts w:ascii="Arial" w:cs="Arial" w:eastAsia="Arial" w:hAnsi="Arial"/>
          <w:b/>
          <w:bCs/>
          <w:color w:val="2B6CB0"/>
          <w:sz w:val="20"/>
          <w:szCs w:val="20"/>
        </w:rPr>
        <w:t xml:space="preserve">0.7920 (98.50% de validez perfecta de contenido)</w:t>
      </w:r>
    </w:p>
    <w:p>
      <w:pPr>
        <w:spacing w:after="150"/>
      </w:pPr>
      <w:r>
        <w:rPr>
          <w:rFonts w:ascii="Arial" w:cs="Arial" w:eastAsia="Arial" w:hAnsi="Arial"/>
          <w:b/>
          <w:bCs/>
          <w:sz w:val="20"/>
          <w:szCs w:val="20"/>
        </w:rPr>
        <w:t xml:space="preserve">• Evaluación Estadística de Jueces Evaluadores: </w:t>
      </w:r>
      <w:r>
        <w:rPr>
          <w:rFonts w:ascii="Arial" w:cs="Arial" w:eastAsia="Arial" w:hAnsi="Arial"/>
          <w:sz w:val="20"/>
          <w:szCs w:val="20"/>
        </w:rPr>
        <w:t xml:space="preserve">Se muestran los veredictos de los 1 jueces registrados. El cálculo econométrico de Aiken V y Lawshe CVR se determinó sobre el subconjunto impar N_impar = 1 juez(ces) en cumplimiento del estándar psicométrico.</w:t>
      </w:r>
    </w:p>
    <w:p>
      <w:pPr>
        <w:spacing w:after="250"/>
      </w:pPr>
      <w:r>
        <w:rPr>
          <w:rFonts w:ascii="Arial" w:cs="Arial" w:eastAsia="Arial" w:hAnsi="Arial"/>
          <w:b/>
          <w:bCs/>
          <w:sz w:val="22"/>
          <w:szCs w:val="22"/>
        </w:rPr>
        <w:t xml:space="preserve">• DICTAMEN FINAL DEL JUICIO DE EXPERTOS: </w:t>
      </w:r>
      <w:r>
        <w:rPr>
          <w:rFonts w:ascii="Arial" w:cs="Arial" w:eastAsia="Arial" w:hAnsi="Arial"/>
          <w:b/>
          <w:bCs/>
          <w:color w:val="2F855A"/>
          <w:sz w:val="22"/>
          <w:szCs w:val="22"/>
        </w:rPr>
        <w:t xml:space="preserve">APROBADO Y VALIDADO PARA SU APLICACIÓN OFICIAL EN LA INVESTIGACIÓN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2026-07-25T17:37:27.519Z</dcterms:created>
  <dcterms:modified xsi:type="dcterms:W3CDTF">2026-07-25T17:37:27.519Z</dcterms:modified>
</cp:coreProperties>
</file>

<file path=docProps/custom.xml><?xml version="1.0" encoding="utf-8"?>
<Properties xmlns="http://schemas.openxmlformats.org/officeDocument/2006/custom-properties" xmlns:vt="http://schemas.openxmlformats.org/officeDocument/2006/docPropsVTypes"/>
</file>