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Arial" w:cs="Arial" w:eastAsia="Arial" w:hAnsi="Arial"/>
          <w:b/>
          <w:bCs/>
          <w:color w:val="1A365D"/>
          <w:sz w:val="28"/>
          <w:szCs w:val="28"/>
        </w:rPr>
        <w:t xml:space="preserve">INFORME OFICIAL DE VALIDACIÓN DE INSTRUMENTOS DE INVESTIGACIÓN</w:t>
      </w:r>
    </w:p>
    <w:p>
      <w:pPr>
        <w:spacing w:after="200"/>
        <w:jc w:val="center"/>
      </w:pPr>
      <w:r>
        <w:rPr>
          <w:rFonts w:ascii="Arial" w:cs="Arial" w:eastAsia="Arial" w:hAnsi="Arial"/>
          <w:b/>
          <w:bCs/>
          <w:color w:val="2B6CB0"/>
          <w:sz w:val="20"/>
          <w:szCs w:val="20"/>
        </w:rPr>
        <w:t xml:space="preserve">EVALUACIÓN DE VALIDEZ DE CONTENIDO MEDIANTE COEFICIENTE V DE AIKEN Y CVR DE LAWSHE</w:t>
      </w:r>
    </w:p>
    <w:p>
      <w:pPr>
        <w:spacing w:after="150"/>
      </w:pPr>
      <w:r>
        <w:rPr>
          <w:rFonts w:ascii="Arial" w:cs="Arial" w:eastAsia="Arial" w:hAnsi="Arial"/>
          <w:b/>
          <w:bCs/>
          <w:sz w:val="20"/>
          <w:szCs w:val="20"/>
        </w:rPr>
        <w:t xml:space="preserve">TÍTULO DE LA INVESTIGACIÓN: </w:t>
      </w:r>
      <w:r>
        <w:rPr>
          <w:rFonts w:ascii="Arial" w:cs="Arial" w:eastAsia="Arial" w:hAnsi="Arial"/>
          <w:sz w:val="20"/>
          <w:szCs w:val="20"/>
        </w:rPr>
        <w:t xml:space="preserve">Sistema Predictivo con Deep Learning para la Gestión de Riesgos en Proyectos de Infraestructura Pública registrados en INFOBRAS - Contraloría General de la República, Perú, 2020-2024</w:t>
      </w:r>
    </w:p>
    <w:p>
      <w:pPr>
        <w:spacing w:after="300"/>
        <w:jc w:val="left"/>
      </w:pPr>
      <w:r>
        <w:rPr>
          <w:rFonts w:ascii="Arial" w:cs="Arial" w:eastAsia="Arial" w:hAnsi="Arial"/>
          <w:b/>
          <w:bCs/>
          <w:sz w:val="20"/>
          <w:szCs w:val="20"/>
        </w:rPr>
        <w:t xml:space="preserve">AUTOR / INVESTIGADOR PRINCIPAL: </w:t>
      </w:r>
      <w:r>
        <w:rPr>
          <w:rFonts w:ascii="Arial" w:cs="Arial" w:eastAsia="Arial" w:hAnsi="Arial"/>
          <w:sz w:val="20"/>
          <w:szCs w:val="20"/>
        </w:rPr>
        <w:t xml:space="preserve">Luis Alfonso Cruz Gálvez</w:t>
      </w:r>
    </w:p>
    <w:p>
      <w:pPr>
        <w:pStyle w:val="Heading1"/>
        <w:spacing w:after="150" w:before="300"/>
      </w:pPr>
      <w:r>
        <w:rPr>
          <w:rFonts w:ascii="Arial" w:cs="Arial" w:eastAsia="Arial" w:hAnsi="Arial"/>
          <w:b/>
          <w:bCs/>
          <w:color w:val="1A365D"/>
          <w:sz w:val="24"/>
          <w:szCs w:val="24"/>
        </w:rPr>
        <w:t xml:space="preserve">FUNDAMENTACIÓN METODOLÓGICA Y FÓRMULAS DE CÁLCULO (V DE AIKEN Y LAWSHE)</w:t>
      </w:r>
    </w:p>
    <w:p>
      <w:pPr>
        <w:spacing w:after="150"/>
      </w:pPr>
      <w:r>
        <w:rPr>
          <w:rFonts w:ascii="Arial" w:cs="Arial" w:eastAsia="Arial" w:hAnsi="Arial"/>
          <w:sz w:val="20"/>
          <w:szCs w:val="20"/>
        </w:rPr>
        <w:t xml:space="preserve">La validez de contenido determina la representatividad teórica y técnica de los reactivos que conforman los instrumentos de evaluación del Sistema Predictivo con Deep Learning. Para ello se aplican los coeficientes V de Aiken y CVR de Lawshe:</w:t>
      </w:r>
    </w:p>
    <w:p>
      <w:pPr>
        <w:spacing w:after="100" w:before="150"/>
      </w:pPr>
      <w:r>
        <w:rPr>
          <w:rFonts w:ascii="Arial" w:cs="Arial" w:eastAsia="Arial" w:hAnsi="Arial"/>
          <w:b/>
          <w:bCs/>
          <w:color w:val="2B6CB0"/>
          <w:sz w:val="20"/>
          <w:szCs w:val="20"/>
        </w:rPr>
        <w:t xml:space="preserve">1. COEFICIENTE V DE AIKEN (Aiken, 1980, 1985):</w:t>
      </w:r>
    </w:p>
    <w:p>
      <w:pPr>
        <w:spacing w:after="100" w:before="100"/>
        <w:jc w:val="center"/>
      </w:pPr>
      <w:r>
        <w:rPr>
          <w:rFonts w:ascii="Arial" w:cs="Arial" w:eastAsia="Arial" w:hAnsi="Arial"/>
          <w:b/>
          <w:bCs/>
          <w:color w:val="1A365D"/>
          <w:sz w:val="22"/>
          <w:szCs w:val="22"/>
        </w:rPr>
        <w:t xml:space="preserve">V = S / [ N × (c - 1) ]   =   ( Total de Acuerdos ) / N_jueces</w:t>
      </w:r>
    </w:p>
    <w:p>
      <w:pPr>
        <w:spacing w:after="150"/>
      </w:pPr>
      <w:r>
        <w:rPr>
          <w:rFonts w:ascii="Arial" w:cs="Arial" w:eastAsia="Arial" w:hAnsi="Arial"/>
          <w:b/>
          <w:bCs/>
          <w:sz w:val="19"/>
          <w:szCs w:val="19"/>
        </w:rPr>
        <w:t xml:space="preserve">Donde:
</w:t>
      </w:r>
      <w:r>
        <w:rPr>
          <w:rFonts w:ascii="Arial" w:cs="Arial" w:eastAsia="Arial" w:hAnsi="Arial"/>
          <w:sz w:val="18"/>
          <w:szCs w:val="18"/>
        </w:rPr>
        <w:t xml:space="preserve">• S = Σ (r_i - l) : Suma de acuerdos y valoraciones de los jueces evaluadores.
</w:t>
      </w:r>
      <w:r>
        <w:rPr>
          <w:rFonts w:ascii="Arial" w:cs="Arial" w:eastAsia="Arial" w:hAnsi="Arial"/>
          <w:sz w:val="18"/>
          <w:szCs w:val="18"/>
        </w:rPr>
        <w:t xml:space="preserve">• N : Número de jueces evaluadores participantes en la matriz de validación.
</w:t>
      </w:r>
      <w:r>
        <w:rPr>
          <w:rFonts w:ascii="Arial" w:cs="Arial" w:eastAsia="Arial" w:hAnsi="Arial"/>
          <w:sz w:val="18"/>
          <w:szCs w:val="18"/>
        </w:rPr>
        <w:t xml:space="preserve">• c : Número de categorías de calificación (c = 5 en escala Likert, c = 2 para concordancia binaria).
</w:t>
      </w:r>
      <w:r>
        <w:rPr>
          <w:rFonts w:ascii="Arial" w:cs="Arial" w:eastAsia="Arial" w:hAnsi="Arial"/>
          <w:b/>
          <w:bCs/>
          <w:color w:val="2F855A"/>
          <w:sz w:val="19"/>
          <w:szCs w:val="19"/>
        </w:rPr>
        <w:t xml:space="preserve">• Criterio de Aceptación: Un coeficiente V ≥ 0.80 indica una validez de contenido perfecta y estadísticamente significativa (p &lt; 0.05).</w:t>
      </w:r>
    </w:p>
    <w:p>
      <w:pPr>
        <w:spacing w:after="100" w:before="150"/>
      </w:pPr>
      <w:r>
        <w:rPr>
          <w:rFonts w:ascii="Arial" w:cs="Arial" w:eastAsia="Arial" w:hAnsi="Arial"/>
          <w:b/>
          <w:bCs/>
          <w:color w:val="2B6CB0"/>
          <w:sz w:val="20"/>
          <w:szCs w:val="20"/>
        </w:rPr>
        <w:t xml:space="preserve">2. RAZÓN DE VALIDEZ DE CONTENIDO DE LAWSHE (CVR) (Lawshe, 1975):</w:t>
      </w:r>
    </w:p>
    <w:p>
      <w:pPr>
        <w:spacing w:after="100" w:before="100"/>
        <w:jc w:val="center"/>
      </w:pPr>
      <w:r>
        <w:rPr>
          <w:rFonts w:ascii="Arial" w:cs="Arial" w:eastAsia="Arial" w:hAnsi="Arial"/>
          <w:b/>
          <w:bCs/>
          <w:color w:val="1A365D"/>
          <w:sz w:val="22"/>
          <w:szCs w:val="22"/>
        </w:rPr>
        <w:t xml:space="preserve">CVR = [ n_e - (N / 2) ] / (N / 2)</w:t>
      </w:r>
    </w:p>
    <w:p>
      <w:pPr>
        <w:spacing w:after="200"/>
      </w:pPr>
      <w:r>
        <w:rPr>
          <w:rFonts w:ascii="Arial" w:cs="Arial" w:eastAsia="Arial" w:hAnsi="Arial"/>
          <w:b/>
          <w:bCs/>
          <w:sz w:val="19"/>
          <w:szCs w:val="19"/>
        </w:rPr>
        <w:t xml:space="preserve">Donde:
</w:t>
      </w:r>
      <w:r>
        <w:rPr>
          <w:rFonts w:ascii="Arial" w:cs="Arial" w:eastAsia="Arial" w:hAnsi="Arial"/>
          <w:sz w:val="18"/>
          <w:szCs w:val="18"/>
        </w:rPr>
        <w:t xml:space="preserve">• n_e : Número de jueces expertos que evalúan el ítem como 'Válido / Conforme'.
</w:t>
      </w:r>
      <w:r>
        <w:rPr>
          <w:rFonts w:ascii="Arial" w:cs="Arial" w:eastAsia="Arial" w:hAnsi="Arial"/>
          <w:sz w:val="18"/>
          <w:szCs w:val="18"/>
        </w:rPr>
        <w:t xml:space="preserve">• N : Número total de jueces evaluadores.
</w:t>
      </w:r>
      <w:r>
        <w:rPr>
          <w:rFonts w:ascii="Arial" w:cs="Arial" w:eastAsia="Arial" w:hAnsi="Arial"/>
          <w:b/>
          <w:bCs/>
          <w:color w:val="2F855A"/>
          <w:sz w:val="19"/>
          <w:szCs w:val="19"/>
        </w:rPr>
        <w:t xml:space="preserve">• Interpretación: CVR = 1.00 indica un consenso unánime del 100% de los expertos (Validez Perfecta).</w:t>
      </w:r>
    </w:p>
    <w:p>
      <w:pPr>
        <w:pStyle w:val="Heading1"/>
        <w:spacing w:after="150" w:before="300"/>
      </w:pPr>
      <w:r>
        <w:rPr>
          <w:rFonts w:ascii="Arial" w:cs="Arial" w:eastAsia="Arial" w:hAnsi="Arial"/>
          <w:b/>
          <w:bCs/>
          <w:color w:val="1A365D"/>
          <w:sz w:val="24"/>
          <w:szCs w:val="24"/>
        </w:rPr>
        <w:t xml:space="preserve">SECCIÓN I: FICHAS DE VALIDACIÓN DEL CONTENIDO DEL INSTRUMENTO</w:t>
      </w:r>
    </w:p>
    <w:p>
      <w:pPr>
        <w:spacing w:after="200"/>
      </w:pPr>
      <w:r>
        <w:rPr>
          <w:rFonts w:ascii="Arial" w:cs="Arial" w:eastAsia="Arial" w:hAnsi="Arial"/>
          <w:sz w:val="20"/>
          <w:szCs w:val="20"/>
        </w:rPr>
        <w:t xml:space="preserve">A continuación se presentan las Fichas de Validación del Contenido suscritas por los 2 expertos evaluadores participantes:</w:t>
      </w:r>
    </w:p>
    <w:p>
      <w:pPr>
        <w:spacing w:after="100" w:before="200"/>
      </w:pPr>
      <w:r>
        <w:rPr>
          <w:rFonts w:ascii="Arial" w:cs="Arial" w:eastAsia="Arial" w:hAnsi="Arial"/>
          <w:b/>
          <w:bCs/>
          <w:color w:val="2D3748"/>
          <w:sz w:val="22"/>
          <w:szCs w:val="22"/>
        </w:rPr>
        <w:t xml:space="preserve">Ficha de Validación N° 1: Luis Alfonso Cruz Gálvez</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DF2F7" w:val="clear"/>
          </w:tcPr>
          <w:p>
            <w:r>
              <w:rPr>
                <w:rFonts w:ascii="Arial" w:cs="Arial" w:eastAsia="Arial" w:hAnsi="Arial"/>
                <w:b/>
                <w:bCs/>
                <w:sz w:val="18"/>
                <w:szCs w:val="18"/>
              </w:rPr>
              <w:t xml:space="preserve">Nombre del Instrumento</w:t>
            </w:r>
          </w:p>
        </w:tc>
        <w:tc>
          <w:tcPr>
            <w:tcW w:type="pct" w:w="70%"/>
          </w:tcPr>
          <w:p>
            <w:r>
              <w:rPr>
                <w:rFonts w:ascii="Arial" w:cs="Arial" w:eastAsia="Arial" w:hAnsi="Arial"/>
                <w:sz w:val="18"/>
                <w:szCs w:val="18"/>
              </w:rPr>
              <w:t xml:space="preserve">Validación del Sistema Predictivo con Deep Learning y Gestión de Riesgos INFOBRAS</w:t>
            </w:r>
          </w:p>
        </w:tc>
      </w:tr>
      <w:tr>
        <w:tc>
          <w:tcPr>
            <w:tcW w:type="pct" w:w="30%"/>
            <w:shd w:fill="EDF2F7" w:val="clear"/>
          </w:tcPr>
          <w:p>
            <w:r>
              <w:rPr>
                <w:rFonts w:ascii="Arial" w:cs="Arial" w:eastAsia="Arial" w:hAnsi="Arial"/>
                <w:b/>
                <w:bCs/>
                <w:sz w:val="18"/>
                <w:szCs w:val="18"/>
              </w:rPr>
              <w:t xml:space="preserve">Objetivo del Instrumento</w:t>
            </w:r>
          </w:p>
        </w:tc>
        <w:tc>
          <w:tcPr>
            <w:tcW w:type="pct" w:w="70%"/>
          </w:tcPr>
          <w:p>
            <w:r>
              <w:rPr>
                <w:rFonts w:ascii="Arial" w:cs="Arial" w:eastAsia="Arial" w:hAnsi="Arial"/>
                <w:sz w:val="18"/>
                <w:szCs w:val="18"/>
              </w:rPr>
              <w:t xml:space="preserve">Medir y evaluar la validez de contenido de la arquitectura predictiva y la gestión de riesgos en obras públicas.</w:t>
            </w:r>
          </w:p>
        </w:tc>
      </w:tr>
      <w:tr>
        <w:tc>
          <w:tcPr>
            <w:tcW w:type="pct" w:w="30%"/>
            <w:shd w:fill="EDF2F7" w:val="clear"/>
          </w:tcPr>
          <w:p>
            <w:r>
              <w:rPr>
                <w:rFonts w:ascii="Arial" w:cs="Arial" w:eastAsia="Arial" w:hAnsi="Arial"/>
                <w:b/>
                <w:bCs/>
                <w:sz w:val="18"/>
                <w:szCs w:val="18"/>
              </w:rPr>
              <w:t xml:space="preserve">Aplicado a la Muestra Participante</w:t>
            </w:r>
          </w:p>
        </w:tc>
        <w:tc>
          <w:tcPr>
            <w:tcW w:type="pct" w:w="70%"/>
          </w:tcPr>
          <w:p>
            <w:r>
              <w:rPr>
                <w:rFonts w:ascii="Arial" w:cs="Arial" w:eastAsia="Arial" w:hAnsi="Arial"/>
                <w:sz w:val="18"/>
                <w:szCs w:val="18"/>
              </w:rPr>
              <w:t xml:space="preserve">54,226 Proyectos de Infraestructura Pública registrados en INFOBRAS - Contraloría General de la República (2020-2024) y muestra experimental analizada de 1,302 obras públicas.</w:t>
            </w:r>
          </w:p>
        </w:tc>
      </w:tr>
      <w:tr>
        <w:tc>
          <w:tcPr>
            <w:tcW w:type="pct" w:w="30%"/>
            <w:shd w:fill="EDF2F7" w:val="clear"/>
          </w:tcPr>
          <w:p>
            <w:r>
              <w:rPr>
                <w:rFonts w:ascii="Arial" w:cs="Arial" w:eastAsia="Arial" w:hAnsi="Arial"/>
                <w:b/>
                <w:bCs/>
                <w:sz w:val="18"/>
                <w:szCs w:val="18"/>
              </w:rPr>
              <w:t xml:space="preserve">Nombres y Apellidos del Experto</w:t>
            </w:r>
          </w:p>
        </w:tc>
        <w:tc>
          <w:tcPr>
            <w:tcW w:type="pct" w:w="70%"/>
          </w:tcPr>
          <w:p>
            <w:r>
              <w:rPr>
                <w:rFonts w:ascii="Arial" w:cs="Arial" w:eastAsia="Arial" w:hAnsi="Arial"/>
                <w:b/>
                <w:bCs/>
                <w:sz w:val="18"/>
                <w:szCs w:val="18"/>
              </w:rPr>
              <w:t xml:space="preserve">Luis Alfonso Cruz Gálvez</w:t>
            </w:r>
          </w:p>
        </w:tc>
      </w:tr>
      <w:tr>
        <w:tc>
          <w:tcPr>
            <w:tcW w:type="pct" w:w="30%"/>
            <w:shd w:fill="EDF2F7" w:val="clear"/>
          </w:tcPr>
          <w:p>
            <w:r>
              <w:rPr>
                <w:rFonts w:ascii="Arial" w:cs="Arial" w:eastAsia="Arial" w:hAnsi="Arial"/>
                <w:b/>
                <w:bCs/>
                <w:sz w:val="18"/>
                <w:szCs w:val="18"/>
              </w:rPr>
              <w:t xml:space="preserve">Título Profesional / Especialidad</w:t>
            </w:r>
          </w:p>
        </w:tc>
        <w:tc>
          <w:tcPr>
            <w:tcW w:type="pct" w:w="70%"/>
          </w:tcPr>
          <w:p>
            <w:r>
              <w:rPr>
                <w:rFonts w:ascii="Arial" w:cs="Arial" w:eastAsia="Arial" w:hAnsi="Arial"/>
                <w:sz w:val="18"/>
                <w:szCs w:val="18"/>
              </w:rPr>
              <w:t xml:space="preserve">Investigador Principal</w:t>
            </w:r>
          </w:p>
        </w:tc>
      </w:tr>
      <w:tr>
        <w:tc>
          <w:tcPr>
            <w:tcW w:type="pct" w:w="30%"/>
            <w:shd w:fill="EDF2F7" w:val="clear"/>
          </w:tcPr>
          <w:p>
            <w:r>
              <w:rPr>
                <w:rFonts w:ascii="Arial" w:cs="Arial" w:eastAsia="Arial" w:hAnsi="Arial"/>
                <w:b/>
                <w:bCs/>
                <w:sz w:val="18"/>
                <w:szCs w:val="18"/>
              </w:rPr>
              <w:t xml:space="preserve">Grado Académico</w:t>
            </w:r>
          </w:p>
        </w:tc>
        <w:tc>
          <w:tcPr>
            <w:tcW w:type="pct" w:w="70%"/>
          </w:tcPr>
          <w:p>
            <w:r>
              <w:rPr>
                <w:rFonts w:ascii="Arial" w:cs="Arial" w:eastAsia="Arial" w:hAnsi="Arial"/>
                <w:b/>
                <w:bCs/>
                <w:sz w:val="18"/>
                <w:szCs w:val="18"/>
              </w:rPr>
              <w:t xml:space="preserve">Doctor</w:t>
            </w:r>
          </w:p>
        </w:tc>
      </w:tr>
      <w:tr>
        <w:tc>
          <w:tcPr>
            <w:tcW w:type="pct" w:w="30%"/>
            <w:shd w:fill="EDF2F7" w:val="clear"/>
          </w:tcPr>
          <w:p>
            <w:r>
              <w:rPr>
                <w:rFonts w:ascii="Arial" w:cs="Arial" w:eastAsia="Arial" w:hAnsi="Arial"/>
                <w:b/>
                <w:bCs/>
                <w:sz w:val="18"/>
                <w:szCs w:val="18"/>
              </w:rPr>
              <w:t xml:space="preserve">Lugar y Fecha de Validación</w:t>
            </w:r>
          </w:p>
        </w:tc>
        <w:tc>
          <w:tcPr>
            <w:tcW w:type="pct" w:w="70%"/>
          </w:tcPr>
          <w:p>
            <w:r>
              <w:rPr>
                <w:rFonts w:ascii="Arial" w:cs="Arial" w:eastAsia="Arial" w:hAnsi="Arial"/>
                <w:sz w:val="18"/>
                <w:szCs w:val="18"/>
              </w:rPr>
              <w:t xml:space="preserve">Lima, 25 de julio del 2026</w:t>
            </w:r>
          </w:p>
        </w:tc>
      </w:tr>
      <w:tr>
        <w:tc>
          <w:tcPr>
            <w:tcW w:type="pct" w:w="30%"/>
            <w:shd w:fill="EDF2F7" w:val="clear"/>
          </w:tcPr>
          <w:p>
            <w:r>
              <w:rPr>
                <w:rFonts w:ascii="Arial" w:cs="Arial" w:eastAsia="Arial" w:hAnsi="Arial"/>
                <w:b/>
                <w:bCs/>
                <w:sz w:val="18"/>
                <w:szCs w:val="18"/>
              </w:rPr>
              <w:t xml:space="preserve">Firma del Experto</w:t>
            </w:r>
          </w:p>
        </w:tc>
        <w:tc>
          <w:tcPr>
            <w:tcW w:type="pct" w:w="70%"/>
          </w:tcPr>
          <w:p>
            <w:r>
              <w:rPr>
                <w:rFonts w:ascii="Arial" w:cs="Arial" w:eastAsia="Arial" w:hAnsi="Arial"/>
                <w:b/>
                <w:bCs/>
                <w:color w:val="4A5568"/>
                <w:sz w:val="18"/>
                <w:szCs w:val="18"/>
              </w:rPr>
              <w:t xml:space="preserve">____________________________________
</w:t>
            </w:r>
            <w:r>
              <w:rPr>
                <w:rFonts w:ascii="Arial" w:cs="Arial" w:eastAsia="Arial" w:hAnsi="Arial"/>
                <w:b/>
                <w:bCs/>
                <w:sz w:val="16"/>
                <w:szCs w:val="16"/>
              </w:rPr>
              <w:t xml:space="preserve">Luis Alfonso Cruz Gálvez
</w:t>
            </w:r>
            <w:r>
              <w:rPr>
                <w:rFonts w:ascii="Arial" w:cs="Arial" w:eastAsia="Arial" w:hAnsi="Arial"/>
                <w:color w:val="718096"/>
                <w:sz w:val="14"/>
                <w:szCs w:val="14"/>
              </w:rPr>
              <w:t xml:space="preserve">Investigador Principal
</w:t>
            </w:r>
            <w:r>
              <w:rPr>
                <w:rFonts w:ascii="Arial" w:cs="Arial" w:eastAsia="Arial" w:hAnsi="Arial"/>
                <w:b/>
                <w:bCs/>
                <w:color w:val="2B6CB0"/>
                <w:sz w:val="14"/>
                <w:szCs w:val="14"/>
              </w:rPr>
              <w:t xml:space="preserve">Firma Digital Registrada - Experto Validador</w:t>
            </w:r>
          </w:p>
        </w:tc>
      </w:tr>
    </w:tbl>
    <w:p>
      <w:pPr>
        <w:spacing w:after="250"/>
      </w:pPr>
    </w:p>
    <w:p>
      <w:pPr>
        <w:spacing w:after="100" w:before="200"/>
      </w:pPr>
      <w:r>
        <w:rPr>
          <w:rFonts w:ascii="Arial" w:cs="Arial" w:eastAsia="Arial" w:hAnsi="Arial"/>
          <w:b/>
          <w:bCs/>
          <w:color w:val="2D3748"/>
          <w:sz w:val="22"/>
          <w:szCs w:val="22"/>
        </w:rPr>
        <w:t xml:space="preserve">Ficha de Validación N° 2: Marco Antonio Tipismana Neyra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DF2F7" w:val="clear"/>
          </w:tcPr>
          <w:p>
            <w:r>
              <w:rPr>
                <w:rFonts w:ascii="Arial" w:cs="Arial" w:eastAsia="Arial" w:hAnsi="Arial"/>
                <w:b/>
                <w:bCs/>
                <w:sz w:val="18"/>
                <w:szCs w:val="18"/>
              </w:rPr>
              <w:t xml:space="preserve">Nombre del Instrumento</w:t>
            </w:r>
          </w:p>
        </w:tc>
        <w:tc>
          <w:tcPr>
            <w:tcW w:type="pct" w:w="70%"/>
          </w:tcPr>
          <w:p>
            <w:r>
              <w:rPr>
                <w:rFonts w:ascii="Arial" w:cs="Arial" w:eastAsia="Arial" w:hAnsi="Arial"/>
                <w:sz w:val="18"/>
                <w:szCs w:val="18"/>
              </w:rPr>
              <w:t xml:space="preserve">Validación del Sistema Predictivo con Deep Learning y Gestión de Riesgos INFOBRAS</w:t>
            </w:r>
          </w:p>
        </w:tc>
      </w:tr>
      <w:tr>
        <w:tc>
          <w:tcPr>
            <w:tcW w:type="pct" w:w="30%"/>
            <w:shd w:fill="EDF2F7" w:val="clear"/>
          </w:tcPr>
          <w:p>
            <w:r>
              <w:rPr>
                <w:rFonts w:ascii="Arial" w:cs="Arial" w:eastAsia="Arial" w:hAnsi="Arial"/>
                <w:b/>
                <w:bCs/>
                <w:sz w:val="18"/>
                <w:szCs w:val="18"/>
              </w:rPr>
              <w:t xml:space="preserve">Objetivo del Instrumento</w:t>
            </w:r>
          </w:p>
        </w:tc>
        <w:tc>
          <w:tcPr>
            <w:tcW w:type="pct" w:w="70%"/>
          </w:tcPr>
          <w:p>
            <w:r>
              <w:rPr>
                <w:rFonts w:ascii="Arial" w:cs="Arial" w:eastAsia="Arial" w:hAnsi="Arial"/>
                <w:sz w:val="18"/>
                <w:szCs w:val="18"/>
              </w:rPr>
              <w:t xml:space="preserve">Medir y evaluar la validez de contenido de la arquitectura predictiva y la gestión de riesgos en obras públicas.</w:t>
            </w:r>
          </w:p>
        </w:tc>
      </w:tr>
      <w:tr>
        <w:tc>
          <w:tcPr>
            <w:tcW w:type="pct" w:w="30%"/>
            <w:shd w:fill="EDF2F7" w:val="clear"/>
          </w:tcPr>
          <w:p>
            <w:r>
              <w:rPr>
                <w:rFonts w:ascii="Arial" w:cs="Arial" w:eastAsia="Arial" w:hAnsi="Arial"/>
                <w:b/>
                <w:bCs/>
                <w:sz w:val="18"/>
                <w:szCs w:val="18"/>
              </w:rPr>
              <w:t xml:space="preserve">Aplicado a la Muestra Participante</w:t>
            </w:r>
          </w:p>
        </w:tc>
        <w:tc>
          <w:tcPr>
            <w:tcW w:type="pct" w:w="70%"/>
          </w:tcPr>
          <w:p>
            <w:r>
              <w:rPr>
                <w:rFonts w:ascii="Arial" w:cs="Arial" w:eastAsia="Arial" w:hAnsi="Arial"/>
                <w:sz w:val="18"/>
                <w:szCs w:val="18"/>
              </w:rPr>
              <w:t xml:space="preserve">54,226 Proyectos de Infraestructura Pública registrados en INFOBRAS - Contraloría General de la República (2020-2024) y muestra experimental analizada de 1,302 obras públicas.</w:t>
            </w:r>
          </w:p>
        </w:tc>
      </w:tr>
      <w:tr>
        <w:tc>
          <w:tcPr>
            <w:tcW w:type="pct" w:w="30%"/>
            <w:shd w:fill="EDF2F7" w:val="clear"/>
          </w:tcPr>
          <w:p>
            <w:r>
              <w:rPr>
                <w:rFonts w:ascii="Arial" w:cs="Arial" w:eastAsia="Arial" w:hAnsi="Arial"/>
                <w:b/>
                <w:bCs/>
                <w:sz w:val="18"/>
                <w:szCs w:val="18"/>
              </w:rPr>
              <w:t xml:space="preserve">Nombres y Apellidos del Experto</w:t>
            </w:r>
          </w:p>
        </w:tc>
        <w:tc>
          <w:tcPr>
            <w:tcW w:type="pct" w:w="70%"/>
          </w:tcPr>
          <w:p>
            <w:r>
              <w:rPr>
                <w:rFonts w:ascii="Arial" w:cs="Arial" w:eastAsia="Arial" w:hAnsi="Arial"/>
                <w:b/>
                <w:bCs/>
                <w:sz w:val="18"/>
                <w:szCs w:val="18"/>
              </w:rPr>
              <w:t xml:space="preserve">Marco Antonio Tipismana Neyra</w:t>
            </w:r>
          </w:p>
        </w:tc>
      </w:tr>
      <w:tr>
        <w:tc>
          <w:tcPr>
            <w:tcW w:type="pct" w:w="30%"/>
            <w:shd w:fill="EDF2F7" w:val="clear"/>
          </w:tcPr>
          <w:p>
            <w:r>
              <w:rPr>
                <w:rFonts w:ascii="Arial" w:cs="Arial" w:eastAsia="Arial" w:hAnsi="Arial"/>
                <w:b/>
                <w:bCs/>
                <w:sz w:val="18"/>
                <w:szCs w:val="18"/>
              </w:rPr>
              <w:t xml:space="preserve">Título Profesional / Especialidad</w:t>
            </w:r>
          </w:p>
        </w:tc>
        <w:tc>
          <w:tcPr>
            <w:tcW w:type="pct" w:w="70%"/>
          </w:tcPr>
          <w:p>
            <w:r>
              <w:rPr>
                <w:rFonts w:ascii="Arial" w:cs="Arial" w:eastAsia="Arial" w:hAnsi="Arial"/>
                <w:sz w:val="18"/>
                <w:szCs w:val="18"/>
              </w:rPr>
              <w:t xml:space="preserve">Licenciado en Administración</w:t>
            </w:r>
          </w:p>
        </w:tc>
      </w:tr>
      <w:tr>
        <w:tc>
          <w:tcPr>
            <w:tcW w:type="pct" w:w="30%"/>
            <w:shd w:fill="EDF2F7" w:val="clear"/>
          </w:tcPr>
          <w:p>
            <w:r>
              <w:rPr>
                <w:rFonts w:ascii="Arial" w:cs="Arial" w:eastAsia="Arial" w:hAnsi="Arial"/>
                <w:b/>
                <w:bCs/>
                <w:sz w:val="18"/>
                <w:szCs w:val="18"/>
              </w:rPr>
              <w:t xml:space="preserve">Grado Académico</w:t>
            </w:r>
          </w:p>
        </w:tc>
        <w:tc>
          <w:tcPr>
            <w:tcW w:type="pct" w:w="70%"/>
          </w:tcPr>
          <w:p>
            <w:r>
              <w:rPr>
                <w:rFonts w:ascii="Arial" w:cs="Arial" w:eastAsia="Arial" w:hAnsi="Arial"/>
                <w:b/>
                <w:bCs/>
                <w:sz w:val="18"/>
                <w:szCs w:val="18"/>
              </w:rPr>
              <w:t xml:space="preserve">Doctor</w:t>
            </w:r>
          </w:p>
        </w:tc>
      </w:tr>
      <w:tr>
        <w:tc>
          <w:tcPr>
            <w:tcW w:type="pct" w:w="30%"/>
            <w:shd w:fill="EDF2F7" w:val="clear"/>
          </w:tcPr>
          <w:p>
            <w:r>
              <w:rPr>
                <w:rFonts w:ascii="Arial" w:cs="Arial" w:eastAsia="Arial" w:hAnsi="Arial"/>
                <w:b/>
                <w:bCs/>
                <w:sz w:val="18"/>
                <w:szCs w:val="18"/>
              </w:rPr>
              <w:t xml:space="preserve">Lugar y Fecha de Validación</w:t>
            </w:r>
          </w:p>
        </w:tc>
        <w:tc>
          <w:tcPr>
            <w:tcW w:type="pct" w:w="70%"/>
          </w:tcPr>
          <w:p>
            <w:r>
              <w:rPr>
                <w:rFonts w:ascii="Arial" w:cs="Arial" w:eastAsia="Arial" w:hAnsi="Arial"/>
                <w:sz w:val="18"/>
                <w:szCs w:val="18"/>
              </w:rPr>
              <w:t xml:space="preserve">Lima, 25 de julio del 2026</w:t>
            </w:r>
          </w:p>
        </w:tc>
      </w:tr>
      <w:tr>
        <w:tc>
          <w:tcPr>
            <w:tcW w:type="pct" w:w="30%"/>
            <w:shd w:fill="EDF2F7" w:val="clear"/>
          </w:tcPr>
          <w:p>
            <w:r>
              <w:rPr>
                <w:rFonts w:ascii="Arial" w:cs="Arial" w:eastAsia="Arial" w:hAnsi="Arial"/>
                <w:b/>
                <w:bCs/>
                <w:sz w:val="18"/>
                <w:szCs w:val="18"/>
              </w:rPr>
              <w:t xml:space="preserve">Firma del Experto</w:t>
            </w:r>
          </w:p>
        </w:tc>
        <w:tc>
          <w:tcPr>
            <w:tcW w:type="pct" w:w="70%"/>
          </w:tcPr>
          <w:p>
            <w:r>
              <w:drawing>
                <wp:inline distT="0" distB="0" distL="0" distR="0">
                  <wp:extent cx="133350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333500" cy="476250"/>
                          </a:xfrm>
                          <a:prstGeom prst="rect">
                            <a:avLst/>
                          </a:prstGeom>
                        </pic:spPr>
                      </pic:pic>
                    </a:graphicData>
                  </a:graphic>
                </wp:inline>
              </w:drawing>
            </w:r>
          </w:p>
        </w:tc>
      </w:tr>
    </w:tbl>
    <w:p>
      <w:pPr>
        <w:spacing w:after="250"/>
      </w:pPr>
    </w:p>
    <w:p>
      <w:pPr>
        <w:pStyle w:val="Heading1"/>
        <w:spacing w:after="150" w:before="300"/>
      </w:pPr>
      <w:r>
        <w:rPr>
          <w:rFonts w:ascii="Arial" w:cs="Arial" w:eastAsia="Arial" w:hAnsi="Arial"/>
          <w:b/>
          <w:bCs/>
          <w:color w:val="1A365D"/>
          <w:sz w:val="24"/>
          <w:szCs w:val="24"/>
        </w:rPr>
        <w:t xml:space="preserve">SECCIÓN II: MATRIZ DE EVALUACIÓN V DE AIKEN Y CVR DE LAWSHE (2 JUECES EVALUADORES)</w:t>
      </w:r>
    </w:p>
    <w:p>
      <w:pPr>
        <w:spacing w:after="200"/>
      </w:pPr>
      <w:r>
        <w:rPr>
          <w:rFonts w:ascii="Arial" w:cs="Arial" w:eastAsia="Arial" w:hAnsi="Arial"/>
          <w:sz w:val="20"/>
          <w:szCs w:val="20"/>
        </w:rPr>
        <w:t xml:space="preserve">En la presente matriz se reflejan las calificaciones y veredictos (1 ó 0) de TODOS los 2 jueces evaluadores en los 5 criterios de evaluación (Redacción, Pertinencia, Coherencia, Adecuación y Comprensión) por cada uno de los 100 reactivos: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gridCol w:w="100"/>
      </w:tblGrid>
      <w:tr>
        <w:tc>
          <w:tcPr>
            <w:vMerge w:val="restart"/>
            <w:shd w:fill="1A365D" w:val="clear"/>
          </w:tcPr>
          <w:p>
            <w:pPr>
              <w:jc w:val="center"/>
            </w:pPr>
            <w:r>
              <w:rPr>
                <w:rFonts w:ascii="Arial" w:cs="Arial" w:eastAsia="Arial" w:hAnsi="Arial"/>
                <w:b/>
                <w:bCs/>
                <w:color w:val="FFFFFF"/>
                <w:sz w:val="16"/>
                <w:szCs w:val="16"/>
              </w:rPr>
              <w:t xml:space="preserve">Ítems</w:t>
            </w:r>
          </w:p>
        </w:tc>
        <w:tc>
          <w:tcPr>
            <w:vMerge w:val="restart"/>
            <w:shd w:fill="1A365D" w:val="clear"/>
          </w:tcPr>
          <w:p>
            <w:pPr>
              <w:jc w:val="center"/>
            </w:pPr>
            <w:r>
              <w:rPr>
                <w:rFonts w:ascii="Arial" w:cs="Arial" w:eastAsia="Arial" w:hAnsi="Arial"/>
                <w:b/>
                <w:bCs/>
                <w:color w:val="FFFFFF"/>
                <w:sz w:val="16"/>
                <w:szCs w:val="16"/>
              </w:rPr>
              <w:t xml:space="preserve">Criterios</w:t>
            </w:r>
          </w:p>
        </w:tc>
        <w:tc>
          <w:tcPr>
            <w:shd w:fill="1A365D" w:val="clear"/>
          </w:tcPr>
          <w:p>
            <w:pPr>
              <w:jc w:val="center"/>
            </w:pPr>
            <w:r>
              <w:rPr>
                <w:rFonts w:ascii="Arial" w:cs="Arial" w:eastAsia="Arial" w:hAnsi="Arial"/>
                <w:b/>
                <w:bCs/>
                <w:color w:val="FFFFFF"/>
                <w:sz w:val="16"/>
                <w:szCs w:val="16"/>
              </w:rPr>
              <w:t xml:space="preserve">Jueces Evaluadores (2)</w:t>
            </w:r>
          </w:p>
        </w:tc>
        <w:tc>
          <w:tcPr>
            <w:vMerge w:val="restart"/>
            <w:shd w:fill="1A365D" w:val="clear"/>
          </w:tcPr>
          <w:p>
            <w:pPr>
              <w:jc w:val="center"/>
            </w:pPr>
            <w:r>
              <w:rPr>
                <w:rFonts w:ascii="Arial" w:cs="Arial" w:eastAsia="Arial" w:hAnsi="Arial"/>
                <w:b/>
                <w:bCs/>
                <w:color w:val="FFFFFF"/>
                <w:sz w:val="16"/>
                <w:szCs w:val="16"/>
              </w:rPr>
              <w:t xml:space="preserve">Acuerdos</w:t>
            </w:r>
          </w:p>
        </w:tc>
        <w:tc>
          <w:tcPr>
            <w:vMerge w:val="restart"/>
            <w:shd w:fill="1A365D" w:val="clear"/>
          </w:tcPr>
          <w:p>
            <w:pPr>
              <w:jc w:val="center"/>
            </w:pPr>
            <w:r>
              <w:rPr>
                <w:rFonts w:ascii="Arial" w:cs="Arial" w:eastAsia="Arial" w:hAnsi="Arial"/>
                <w:b/>
                <w:bCs/>
                <w:color w:val="FFFFFF"/>
                <w:sz w:val="16"/>
                <w:szCs w:val="16"/>
              </w:rPr>
              <w:t xml:space="preserve">Aiken (V)</w:t>
            </w:r>
          </w:p>
        </w:tc>
        <w:tc>
          <w:tcPr>
            <w:vMerge w:val="restart"/>
            <w:shd w:fill="1A365D" w:val="clear"/>
          </w:tcPr>
          <w:p>
            <w:pPr>
              <w:jc w:val="center"/>
            </w:pPr>
            <w:r>
              <w:rPr>
                <w:rFonts w:ascii="Arial" w:cs="Arial" w:eastAsia="Arial" w:hAnsi="Arial"/>
                <w:b/>
                <w:bCs/>
                <w:color w:val="FFFFFF"/>
                <w:sz w:val="16"/>
                <w:szCs w:val="16"/>
              </w:rPr>
              <w:t xml:space="preserve">Sig. P &lt;0.05</w:t>
            </w:r>
          </w:p>
        </w:tc>
        <w:tc>
          <w:tcPr>
            <w:vMerge w:val="restart"/>
            <w:shd w:fill="1A365D" w:val="clear"/>
          </w:tcPr>
          <w:p>
            <w:pPr>
              <w:jc w:val="center"/>
            </w:pPr>
            <w:r>
              <w:rPr>
                <w:rFonts w:ascii="Arial" w:cs="Arial" w:eastAsia="Arial" w:hAnsi="Arial"/>
                <w:b/>
                <w:bCs/>
                <w:color w:val="FFFFFF"/>
                <w:sz w:val="16"/>
                <w:szCs w:val="16"/>
              </w:rPr>
              <w:t xml:space="preserve">Decisión Aiken</w:t>
            </w:r>
          </w:p>
        </w:tc>
        <w:tc>
          <w:tcPr>
            <w:vMerge w:val="restart"/>
            <w:shd w:fill="1A365D" w:val="clear"/>
          </w:tcPr>
          <w:p>
            <w:pPr>
              <w:jc w:val="center"/>
            </w:pPr>
            <w:r>
              <w:rPr>
                <w:rFonts w:ascii="Arial" w:cs="Arial" w:eastAsia="Arial" w:hAnsi="Arial"/>
                <w:b/>
                <w:bCs/>
                <w:color w:val="FFFFFF"/>
                <w:sz w:val="16"/>
                <w:szCs w:val="16"/>
              </w:rPr>
              <w:t xml:space="preserve">Lawshe (CVR)</w:t>
            </w:r>
          </w:p>
        </w:tc>
        <w:tc>
          <w:tcPr>
            <w:vMerge w:val="restart"/>
            <w:shd w:fill="1A365D" w:val="clear"/>
          </w:tcPr>
          <w:p>
            <w:pPr>
              <w:jc w:val="center"/>
            </w:pPr>
            <w:r>
              <w:rPr>
                <w:rFonts w:ascii="Arial" w:cs="Arial" w:eastAsia="Arial" w:hAnsi="Arial"/>
                <w:b/>
                <w:bCs/>
                <w:color w:val="FFFFFF"/>
                <w:sz w:val="16"/>
                <w:szCs w:val="16"/>
              </w:rPr>
              <w:t xml:space="preserve">Decisión Lawshe</w:t>
            </w:r>
          </w:p>
        </w:tc>
      </w:tr>
      <w:tr>
        <w:tc>
          <w:tcPr>
            <w:vMerge w:val="continue"/>
          </w:tcPr>
          <w:p/>
        </w:tc>
        <w:tc>
          <w:tcPr>
            <w:vMerge w:val="continue"/>
          </w:tcPr>
          <w:p/>
        </w:tc>
        <w:tc>
          <w:tcPr>
            <w:shd w:fill="2B6CB0" w:val="clear"/>
          </w:tcPr>
          <w:p>
            <w:pPr>
              <w:jc w:val="center"/>
            </w:pPr>
            <w:r>
              <w:rPr>
                <w:rFonts w:ascii="Arial" w:cs="Arial" w:eastAsia="Arial" w:hAnsi="Arial"/>
                <w:b/>
                <w:bCs/>
                <w:color w:val="FFFFFF"/>
                <w:sz w:val="16"/>
                <w:szCs w:val="16"/>
              </w:rPr>
              <w:t xml:space="preserve">J1</w:t>
            </w:r>
          </w:p>
        </w:tc>
        <w:tc>
          <w:tcPr>
            <w:vMerge w:val="continue"/>
          </w:tcPr>
          <w:p/>
        </w:tc>
        <w:tc>
          <w:tcPr>
            <w:vMerge w:val="continue"/>
          </w:tcPr>
          <w:p/>
        </w:tc>
        <w:tc>
          <w:tcPr>
            <w:vMerge w:val="continue"/>
          </w:tcPr>
          <w:p/>
        </w:tc>
        <w:tc>
          <w:tcPr>
            <w:vMerge w:val="continue"/>
          </w:tcPr>
          <w:p/>
        </w:tc>
        <w:tc>
          <w:tcPr>
            <w:vMerge w:val="continue"/>
          </w:tcPr>
          <w:p/>
        </w:tc>
        <w:tc>
          <w:tcPr>
            <w:vMerge w:val="continue"/>
          </w:tcPr>
          <w:p/>
        </w:tc>
        <w:tc>
          <w:tcPr>
            <w:shd w:fill="2B6CB0" w:val="clear"/>
          </w:tcPr>
          <w:p>
            <w:pPr>
              <w:jc w:val="center"/>
            </w:pPr>
            <w:r>
              <w:rPr>
                <w:rFonts w:ascii="Arial" w:cs="Arial" w:eastAsia="Arial" w:hAnsi="Arial"/>
                <w:b/>
                <w:bCs/>
                <w:color w:val="FFFFFF"/>
                <w:sz w:val="16"/>
                <w:szCs w:val="16"/>
              </w:rPr>
              <w:t xml:space="preserve">J2</w:t>
            </w:r>
          </w:p>
        </w:tc>
      </w:tr>
      <w:tr>
        <w:tc>
          <w:tcPr>
            <w:tcW w:type="pct" w:w="25%"/>
            <w:vMerge w:val="restart"/>
          </w:tcPr>
          <w:p>
            <w:r>
              <w:rPr>
                <w:rFonts w:ascii="Arial" w:cs="Arial" w:eastAsia="Arial" w:hAnsi="Arial"/>
                <w:sz w:val="14"/>
                <w:szCs w:val="14"/>
              </w:rPr>
              <w:t xml:space="preserve">1. ¿Considera que la decisión metodológica de interconectar las bases de datos de ejecución presupuestal (MEF), procesos de contratación (SEACE), gestión de riesgos por desastres (INDECI) y avance físico (INFOBRAS), asegura que el sistema predictivo se alimente de un entorno de información oficial, multidimensional y verificable?</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2. Dado que el éxito predictivo depende directamente de sus datos de entrada, ¿Considera que la información alojada en los repositorios gubernamentales (MEF, SEACE, INDECI e INFOBRAS) posee la suficiencia, completitud y veracidad necesarias para garantizar un entrenamiento algorítmico robusto y libre de sesgos?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3. ¿Considera que la integración centralizada de repositorios financieros y técnicos (MEF, SEACE, INFOBRAS e INDECI) en un único 'Data Warehouse' resulta indispensable para romper los silos de información del Estado y mitigar drásticamente el sesgo analítico al diagnosticar el estado real de la obra?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4. ¿Considera que fundamentar el entrenamiento algorítmico exclusivamente en plataformas gubernamentales oficiales (MEF, SEACE, INDECI e INFOBRAS) dota a las predicciones de la Inteligencia Artificial del sustento legal y la validez probatoria indispensables para respaldar las acciones de los órganos de control?</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5. ¿Considera que la interoperabilidad y extracción sistemática de datos desde los repositorios oficiales garantiza un flujo continuo de información, asegurando que el modelo predictivo mantenga su vigencia operativa (y evite la obsolescencia) frente al dinamismo y los constantes cambios normativos de las contrataciones públicas?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1. ¿Considera que el conjunto de 'features' seleccionadas (como variaciones presupuestales, plazos y ubicación) logra traducir a parámetros matemáticos medibles la complejidad estructural y operativa de las obras del Estado?</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2. ¿Considera metodológicamente riguroso aplicar técnicas de selección de variables (Feature Selection) para descartar atributos irrelevantes, reduciendo la dimensionalidad de los datos y mitigando el ruido estadístico (información distorsionada o sin valor predictivo) que podría confundir a la Inteligencia Artificial?</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3. ¿Considera que hacer converger los indicadores de ejecución financiera (MEF) con el avance físico de la obra (INFOBRAS) provee la visión multidimensional indispensable para un perfilamiento de riesgo certero?</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4. ¿Considera que las variables predictoras elegidas (tales como las desviaciones de presupuesto y plazo, la ubicación geográfica y el tipo de contratista) logran capturar integralmente los detonantes sistémicos y las causas subyacentes que históricamente han conducido a la paralización de obras en el Perú?</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5. ¿Considera que la correcta extracción de factores clave (como el avance financiero, las adendas de plazo y el tipo de contratista) permite la parametrización de los expedientes técnicos, traduciendo toda su casuística legal hacia un entorno puramente procesable por algoritmos de Machine Learning?</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tcW w:type="pct" w:w="25%"/>
            <w:vMerge w:val="restart"/>
          </w:tcPr>
          <w:p>
            <w:r>
              <w:rPr>
                <w:rFonts w:ascii="Arial" w:cs="Arial" w:eastAsia="Arial" w:hAnsi="Arial"/>
                <w:sz w:val="14"/>
                <w:szCs w:val="14"/>
              </w:rPr>
              <w:t xml:space="preserve">1. ¿Considera que la selección de algoritmos basados en la optimización del gradiente (específicamente XGBoost y LightGBM) constituye el enfoque de aprendizaje supervisado más idóneo para predecir probabilísticamente la paralización de una obra pública?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2. Dado que las obras públicas combinan datos financieros, contractuales y geográficos, ¿Considera que utilizar modelos de 'Gradient Boosting' es el enfoque indicado para procesar la compleja naturaleza tabular de la información gubernamental?</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3. ¿Considera que la implementación de algoritmos ensamblados (es decir, sistemas que combinan matemáticamente varios árboles de decisión para lograr un diagnóstico más exacto) ofrece una ventaja analítica abismal frente a la alta subjetividad de las matrices de riesgo tradicionales?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4. ¿Considera que utilizar metodologías de exploración sistemática (como la técnica de Grid Search) para hallar la configuración algorítmica perfecta demuestra un alto rigor en el diseño experimental de la investigación?</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5. ¿Considera que la correcta sintonización de los hiperparámetros resulta ser la medida metodológica definitiva para resolver el dilema del 'Trade-off entre Sesgo y Varianza', garantizando que el modelo no peque de excesiva simpleza (Underfitting) ni de memorización extrema (Overfitting)?</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1. ¿Considera que el conjunto definitivo de variables predictoras seleccionadas (tales como variaciones presupuestales, plazos y ubicación geográfica) logra representar paramétricamente la complejidad operativa de las obras del Estado?</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2. ¿Considera metodológicamente imperativo aplicar técnicas de Ingeniería de Variables (Feature Engineering) para descartar información irrelevante y mitigar el ruido estadístico que degrada el modelo predictivo?</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3. ¿Considera que la integración simultánea de variables de ejecución financiera y avance físico dota al modelo algorítmico de una visión multidimensional indispensable para el análisis predictivo?</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4. ¿Considera que las variables predictoras seleccionadas (features) logran capturar los detonantes sistémicos y las causas subyacentes que históricamente conducen a la paralización de la obra pública?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5 ¿Considera que factores predictivos tempranos, como el recuento de dependencias, los días de retraso en el inicio y los scores de restricción logística, otorgan un margen de tiempo necesario para ejercer un Project Management preventivo y evitar la paralización de la obra?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1. ¿Considera metodológicamente útil medir la Exactitud Global (Accuracy) como un primer indicador general para evaluar el porcentaje total de aciertos que alcanza el algoritmo al discriminar entre obras exitosas y proyectos paralizados?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2. ¿Considera científicamente válido utilizar el Accuracy como una 'línea base' (baseline) de rendimiento, proporcionando una interpretación rápida para los tomadores de decisiones antes de someter el modelo a métricas estadísticas más rigurosas?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3. ¿Considera metodológicamente correcto reportar la Exactitud (Accuracy) del modelo, siempre y cuando se acompañe de otras métricas estadísticas para evitar conclusiones sesgadas?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4. Considera que calcular el Accuracy estrictamente sobre el conjunto de datos de prueba (Test Set) aporta una validación objetiva de su capacidad predictiva, demostrando que la Inteligencia Artificial logró aprender los patrones de riesgo en lugar de simplemente memorizar la información histórica?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5. ¿Considera apropiado incluir la Exactitud Global (Accuracy) en el reporte, siempre y cuando se precise metodológicamente que, en escenarios desbalanceados (muchas obras exitosas y pocos fracasos), esta métrica puede sobreestimar el verdadero rendimiento predictivo si el modelo simplemente opta por clasificar a favor de la clase mayoritaria?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1. Dado el fuerte desbalance de clases (abundancia de obras concluidas frente a escasas obras paralizadas), ¿Considera que exigir métricas estrictas como el F1-Score y el ROC-AUC garantiza una evaluación objetiva sobre el verdadero rendimiento predictivo del modelo?</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2.¿Considera adecuado evaluar el modelo con el F1-Score, ya que esta métrica penaliza por igual dos errores graves: generar falsas alarmas (falsos positivos) y dejar pasar riesgos reales (falsos negativos)?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tcW w:type="pct" w:w="25%"/>
            <w:vMerge w:val="restart"/>
          </w:tcPr>
          <w:p>
            <w:r>
              <w:rPr>
                <w:rFonts w:ascii="Arial" w:cs="Arial" w:eastAsia="Arial" w:hAnsi="Arial"/>
                <w:sz w:val="14"/>
                <w:szCs w:val="14"/>
              </w:rPr>
              <w:t xml:space="preserve">3. Dado que la curva ROC-AUC evalúa la capacidad de clasificación, ¿Considera que obtener un puntaje alto en esta métrica garantiza que la Inteligencia Artificial realmente aprendió a distinguir entre una obra riesgosa y una exitosa?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4. ¿Considera que fundamentar el desempeño del algoritmo en métricas de evaluación robustas (F1-Score y ROC-AUC) dota a la investigación del rigor científico necesario para respaldar su viabilidad ante las entidades de control gubernamental?</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5. ¿Considera metodológicamente imperativo priorizar el F1-Score y el ROC-AUC por encima de la Exactitud Global, considerando que el objetivo central del sistema es identificar proactivamente el reducido pero crítico porcentaje de proyectos que terminan en paralización?</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1. ¿Considera útil que el sistema genere un ranking (usando la técnica matemática SHAP) para explicar claramente qué variables como las variaciones presupuestales, las ampliaciones de plazo o el avance físico tienen mayor impacto en el riesgo de paralización?</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2. A partir de la jerarquización de estas variables, ¿Considera que el modelo predictivo propuesto ayuda a mitigar la opacidad algorítmica, dándole al Estado la transparencia y trazabilidad que necesita para confiar en la Inteligencia Artificial?</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3. Además de mitigar la opacidad algorítmica, ¿Considera que explicar matemáticamente el peso de los factores de riesgo detectados permite a los expertos validar si el sistema de Inteligencia Artificial realmente está razonando con los mismos criterios técnicos y operativos del sector construcción?</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4. Una vez validada la lógica operativa del modelo predictivo propuesto, ¿Considera que la identificación explícita de los factores críticos de riesgo facilita que las instituciones públicas diseñen mejores políticas para prevenir la paralización de obras?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5. Finalmente, como respaldo a estas políticas de prevención, ¿Considera que el enfoque de Inteligencia Artificial Explicable (XAI) transforma los complejos cálculos predictivos en reportes justificados que pueden utilizarse como sustento técnico en una auditoría gubernamental?</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tcW w:type="pct" w:w="25%"/>
            <w:vMerge w:val="restart"/>
          </w:tcPr>
          <w:p>
            <w:r>
              <w:rPr>
                <w:rFonts w:ascii="Arial" w:cs="Arial" w:eastAsia="Arial" w:hAnsi="Arial"/>
                <w:sz w:val="14"/>
                <w:szCs w:val="14"/>
              </w:rPr>
              <w:t xml:space="preserve">1. Para dotar al gestor público de fundamentos técnicos precisos, ¿Considera indispensable que el modelo predictivo justifique sus predicciones entregando un desglose detallado de por qué alertó a una obra en particular?</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2. Con base en esta justificación individual (SHAP Local), ¿Considera que visualizar gráficamente el peso de las variables permite a los ingenieros corroborar de inmediato si la predicción algorítmica es coherente con la situación técnica del expediente?</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3. Una vez que los especialistas corroboran que la predicción del modelo coincide con la realidad de la obra, ¿Considera que transparentar los motivos matemáticos de cada alerta a nivel individual mitiga drásticamente la desconfianza institucional y la resistencia al cambio tecnológico en el sector público?</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4. uperada la natural resistencia institucional al cambio tecnológico, ¿Considera que conocer las causas matemáticas exactas detectadas en un proyecto específico resulta vital para que la unidad ejecutora diseñe un plan de mitigación correctivo altamente focalizado?</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5. Finalmente, más allá de solucionar los problemas de la obra, ¿Considera que la explicabilidad algorítmica individualizada provee a los expedientes del sustento documental técnico indispensable para enfrentar con éxito las acciones de control concurrente de la Contraloría General de la República?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1. ¿Considera que medir estrictamente el tiempo de respuesta en milisegundos (latencia) del servidor backend es una prueba técnica esencial para validar la solidez de la infraestructura computacional del sistema propuesto?</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2. Con base en los resultados de velocidad del servidor backend, ¿Considera que mantener una latencia extremadamente baja resulta indispensable para brindar una experiencia de consulta ágil y fluida a los gestores públicos que interactúan con el Dashboard?</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3. Habiendo validado la latencia mínima en peticiones unitarias, ¿Considera que la medición técnica de los tiempos de procesamiento certifica la escalabilidad de la arquitectura computacional para soportar una concurrencia masiva a nivel nacional?</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4. Al alcanzar esta escalabilidad nacional, ¿Considera que la entrega de predicciones de riesgo casi en tiempo real faculta a las entidades gubernamentales con una agilidad analítica inalcanzable mediante los procesos de revisión manuales convencionales?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5. Como corolario de estos óptimos resultados de latencia y escalabilidad, ¿Considera que la velocidad de inferencia demostrada ratifica la viabilidad operativa del sistema predictivo propuesto para ser implementado de manera definitiva como política de modernización en la gestión pública?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1. Para garantizar el máximo rigor tecnológico, ¿Considera válido diseñar pruebas de estrés (inyectando intencionalmente ruido estadístico y valores nulos) para medir la sensibilidad del sistema predictivo propuesto?</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2. Para evaluar la resiliencia del modelo ante datos corruptos, ¿Considera válido diseñar pruebas de estrés (inyectando intencionalmente ruido estadístico y valores nulos) para medir la sensibilidad del sistema predictivo propuesto?</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3. Frente a este escenario deliberado de registros nulos en parámetros críticos (como los plazos y modificaciones presupuestales), ¿Considera que medir la caída en el rendimiento del F1-Score ante dicha inyección de ruido estadístico permite certificar si la arquitectura algorítmica es verdaderamente sólida?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4. Al mantener un alto rendimiento tras estas pruebas de estrés, ¿Considera que un modelo capaz de predecir correctamente el riesgo a pesar de recibir parámetros vacíos demuestra una estabilidad tecnológica indispensable para el sector público?</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5. Finalmente, para garantizar que el modelo mantenga su alta precisión predictiva con el paso de los años, ¿Considera que planificar pruebas periódicas de Data Drift resulta estrictamente necesario para asegurar la confiabilidad a largo plazo de las predicciones en futuras auditorías?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1. ¿En qué medida considera que el modelo predictivo supera al enfoque de supervisión tradicional al lograr detectar amenazas estructurales antes de que se concrete la paralización física de la obra?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2. ¿Considera que el tiempo de anticipación brindado por las alertas algorítmicas es suficiente para que la entidad gubernamental logre diseñar e implementar una estrategia correctiva viable?</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3. ¿Cómo evalúa la capacidad matemática del sistema para discriminar eficazmente los riesgos reales, evitando saturar operativamente a los supervisores con "falsas alarmas"?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4. ¿En qué grado cree que esta reducción de falsas alarmas permite a las entidades focalizar sus recursos (presupuesto e inspectores físicos) exclusivamente en el núcleo de proyectos críticos?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5. ¿Considera que la combinación sistemática de detección temprana y focalización de recursos logrará disminuir estadísticamente el índice nacional de obras públicas paralizadas?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1. ¿Considera que la arquitectura predictiva discrimina con precisión entre desviaciones críticas que llevarán a la paralización y aquellas variaciones tolerables propias de la holgura del proyecto, reduciendo así la emisión de falsas alarmas?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2. ¿En qué medida cree que esta priorización basada en datos evita la sobrecarga operativa de los inspectores, al dirigir sus esfuerzos de supervisión únicamente hacia las obras con riesgo Alto y Crítico?</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3. ¿Cómo califica la utilidad del sistema predictivo para ayudar a los directivos a priorizar la asignación presupuestal y de inspectores físicos sobre un portafolio masivo de infraestructura nacional?</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4. ¿Considera que el sistema logra depurar eficientemente el exceso de información rutinaria de las obras, permitiendo a la entidad concentrar su esfuerzo técnico únicamente donde existe un riesgo inminente de paralización?</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5.  ¿Considera que el clasificador predictivo filtra eficientemente el "ruido operativo", permitiendo concentrar el esfuerzo técnico de la entidad donde existe un riesgo material inminente?</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1.  ¿Cómo califica la capacidad del sistema automatizado para reducir drásticamente las horas-hombre que un auditor requeriría para perfilar el riesgo de un proyecto de forma manual?</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2. ¿En qué medida la velocidad de procesamiento del Sistema Predictivo con Deep Learning elimina el cuello de botella burocrático asociado a la revisión manual de expedientes?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3. ¿En qué grado el procesamiento continuo de datos mediante Deep Learning permite realizar un monitoreo ininterrumpido del proyecto, superando las limitaciones de las auditorías físicas trimestrales?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4. ¿La arquitectura predictiva optimiza eficazmente el tiempo operativo al relevar a los inspectores de la recolección manual de datos, permitiéndoles priorizar la toma de decisiones estratégicas?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5. ¿La inmediatez algorítmica en la detección del riesgo acorta significativamente los tiempos de reacción administrativa y legal de la entidad frente a posibles incumplimientos del contratista?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1. ¿El procesamiento masivo mediante Deep Learning permite a la institución auditar simultáneamente un portafolio masivo de obras a nivel nacional, superando las limitaciones del control muestral manual?</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2.¿La evaluación computarizada de los registros de INFOBRAS elimina las barreras geográficas, garantizando una vigilancia estricta sobre proyectos ubicados en zonas remotas o de difícil acceso?</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3. ¿El uso de este modelo de Deep Learning logra expandir la capacidad de supervisión del Estado sin requerir un incremento proporcional en la contratación de personal o presupuesto?</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4. ¿El análisis automatizado garantiza que ningún proyecto de la cartera nacional quede excluido de la evaluación de riesgos por falta de inspectores humanos disponibles?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5. ¿La implementación del Sistema Predictivo con Deep Learning eleva estructuralmente la capacidad rectora del Estado para monitorear el 100% de la infraestructura pública nacional?</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1. ¿Las alertas tempranas del Sistema Predictivo con Deep Learning previenen eficazmente la necesidad de aprobar adendas financieras (sobrecostos) durante la ejecución física de la obra?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2. ¿El uso continuo del Sistema Predictivo resguarda objetivamente los recursos públicos al anticipar los riesgos que encarecen drásticamente los proyectos?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3. ¿La capacidad de anticipación del Sistema Predictivo evita que las desviaciones menores del cronograma se conviertan en sobrecostos financieros irreversibles?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4. ¿El ahorro económico generado por la prevención de paralizaciones justifica de manera concluyente la implementación institucional del Sistema Predictivo con Deep Learning?</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5. ¿La adopción oficial del Sistema Predictivo en el aparato estatal promueve la sostenibilidad financiera a largo plazo de las carteras de inversión pública en infraestructura?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tcW w:type="pct" w:w="25%"/>
            <w:vMerge w:val="restart"/>
          </w:tcPr>
          <w:p>
            <w:r>
              <w:rPr>
                <w:rFonts w:ascii="Arial" w:cs="Arial" w:eastAsia="Arial" w:hAnsi="Arial"/>
                <w:sz w:val="14"/>
                <w:szCs w:val="14"/>
              </w:rPr>
              <w:t xml:space="preserve">1. ¿El Sistema Predictivo con Deep Learning previene eficazmente la ruptura de la ruta crítica del proyecto al emitir alertas antes de que se consolide un retraso irreversible?</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tcW w:type="pct" w:w="25%"/>
            <w:vMerge w:val="restart"/>
          </w:tcPr>
          <w:p>
            <w:r>
              <w:rPr>
                <w:rFonts w:ascii="Arial" w:cs="Arial" w:eastAsia="Arial" w:hAnsi="Arial"/>
                <w:sz w:val="14"/>
                <w:szCs w:val="14"/>
              </w:rPr>
              <w:t xml:space="preserve">2. ¿La adopción del Sistema Predictivo con Deep Learning reduce sustancialmente la probabilidad de que la obra incurra en penalidades por mora derivadas de retrasos no gestionados?"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tcW w:type="pct" w:w="25%"/>
            <w:vMerge w:val="restart"/>
          </w:tcPr>
          <w:p>
            <w:r>
              <w:rPr>
                <w:rFonts w:ascii="Arial" w:cs="Arial" w:eastAsia="Arial" w:hAnsi="Arial"/>
                <w:sz w:val="14"/>
                <w:szCs w:val="14"/>
              </w:rPr>
              <w:t xml:space="preserve">3. ¿La detección proactiva de riesgos generada por la Inteligencia Artificial salvaguarda la holgura del cronograma contractual durante toda la fase de ejecución física?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tcW w:type="pct" w:w="25%"/>
            <w:vMerge w:val="restart"/>
          </w:tcPr>
          <w:p>
            <w:r>
              <w:rPr>
                <w:rFonts w:ascii="Arial" w:cs="Arial" w:eastAsia="Arial" w:hAnsi="Arial"/>
                <w:sz w:val="14"/>
                <w:szCs w:val="14"/>
              </w:rPr>
              <w:t xml:space="preserve">4. ¿El uso de este Sistema Predictivo minimiza el riesgo de que una acumulación de retrasos operativos termine derivando en el abandono del contratista o en un arbitraje legal?</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tcW w:type="pct" w:w="25%"/>
            <w:vMerge w:val="restart"/>
          </w:tcPr>
          <w:p>
            <w:r>
              <w:rPr>
                <w:rFonts w:ascii="Arial" w:cs="Arial" w:eastAsia="Arial" w:hAnsi="Arial"/>
                <w:sz w:val="14"/>
                <w:szCs w:val="14"/>
              </w:rPr>
              <w:t xml:space="preserve">5. ¿La mitigación automatizada de los retrasos asegura que el Estado peruano entregue la infraestructura pública a la ciudadanía dentro de los plazos originalmente planificados?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tcW w:type="pct" w:w="25%"/>
            <w:vMerge w:val="restart"/>
          </w:tcPr>
          <w:p>
            <w:r>
              <w:rPr>
                <w:rFonts w:ascii="Arial" w:cs="Arial" w:eastAsia="Arial" w:hAnsi="Arial"/>
                <w:sz w:val="14"/>
                <w:szCs w:val="14"/>
              </w:rPr>
              <w:t xml:space="preserve">1. ¿Las alertas generadas por el Sistema Predictivo con Deep Learning proporcionan una ruta de acción lo suficientemente clara para que los directivos implementen planes de contingencia inmediatos?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tcW w:type="pct" w:w="25%"/>
            <w:vMerge w:val="restart"/>
          </w:tcPr>
          <w:p>
            <w:r>
              <w:rPr>
                <w:rFonts w:ascii="Arial" w:cs="Arial" w:eastAsia="Arial" w:hAnsi="Arial"/>
                <w:sz w:val="14"/>
                <w:szCs w:val="14"/>
              </w:rPr>
              <w:t xml:space="preserve">2. ¿El respaldo matemático del Sistema Predictivo con Deep Learning genera la confianza técnica necesaria para que las entidades estatales adopten formalmente sus recomendaciones de mitigación?</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tcW w:type="pct" w:w="25%"/>
            <w:vMerge w:val="restart"/>
          </w:tcPr>
          <w:p>
            <w:r>
              <w:rPr>
                <w:rFonts w:ascii="Arial" w:cs="Arial" w:eastAsia="Arial" w:hAnsi="Arial"/>
                <w:sz w:val="14"/>
                <w:szCs w:val="14"/>
              </w:rPr>
              <w:t xml:space="preserve">3. ¿La evidencia provista por el Sistema Predictivo con Deep Learning logra destrabar la indecisión administrativa típica, facilitando la aprobación oportuna de intervenciones preventivas en la obra?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tcW w:type="pct" w:w="25%"/>
            <w:vMerge w:val="restart"/>
          </w:tcPr>
          <w:p>
            <w:r>
              <w:rPr>
                <w:rFonts w:ascii="Arial" w:cs="Arial" w:eastAsia="Arial" w:hAnsi="Arial"/>
                <w:sz w:val="14"/>
                <w:szCs w:val="14"/>
              </w:rPr>
              <w:t xml:space="preserve">4.  ¿El uso institucional del Sistema Predictivo con Deep Learning estandariza la toma de decisiones, garantizando que el Estado aplique los mismos planes de contingencia ante riesgos idénticos a nivel nacional?</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tcW w:type="pct" w:w="25%"/>
            <w:vMerge w:val="restart"/>
          </w:tcPr>
          <w:p>
            <w:r>
              <w:rPr>
                <w:rFonts w:ascii="Arial" w:cs="Arial" w:eastAsia="Arial" w:hAnsi="Arial"/>
                <w:sz w:val="14"/>
                <w:szCs w:val="14"/>
              </w:rPr>
              <w:t xml:space="preserve">5. ¿La adopción del Sistema Predictivo con Deep Learning transforma el rol del Estado, pasando de ser un simple documentador de retrasos a un ejecutor activo de planes de mitigación temprana?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tcW w:type="pct" w:w="25%"/>
            <w:vMerge w:val="restart"/>
          </w:tcPr>
          <w:p>
            <w:r>
              <w:rPr>
                <w:rFonts w:ascii="Arial" w:cs="Arial" w:eastAsia="Arial" w:hAnsi="Arial"/>
                <w:sz w:val="14"/>
                <w:szCs w:val="14"/>
              </w:rPr>
              <w:t xml:space="preserve">1. ¿La capacidad de explicabilidad algorítmica del Sistema Predictivo con Deep Learning traduce eficazmente los cálculos matemáticos complejos en evidencia documental comprensible para el gestor público?</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2. ¿La fundamentación matemática provista por el Sistema Predictivo con Deep Learning posee la solidez técnica necesaria para proyectarse como sustento oficial en la toma de decisiones administrativas?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3. ¿El diseño del Sistema Predictivo con Deep Learning garantiza absoluta transparencia al permitir identificar matemáticamente qué variable específica de la obra origina la alerta de riesgo?</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4. ¿La integración del concepto de explicabilidad (XAI) en el Sistema Predictivo con Deep Learning asegura la eliminación del sesgo subjetivo humano al diagnosticar un proyecto?</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5. ¿El nivel de precisión proyectado por el Sistema Predictivo con Deep Learning otorga la seguridad institucional requerida para autorizar, a futuro, la ejecución inmediata de planes de mitigación?</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1. ¿El diseño arquitectónico del Sistema Predictivo con Deep Learning reduce sustancialmente el tiempo de reacción administrativa de las entidades frente a desviaciones críticas en la ejecución de la obra?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2. ¿La capacidad de procesamiento continuo del Sistema Predictivo con Deep Learning elimina la latencia burocrática históricamente asociada a la revisión manual y el traslado físico de expedientes?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tcW w:type="pct" w:w="25%"/>
            <w:vMerge w:val="restart"/>
          </w:tcPr>
          <w:p>
            <w:r>
              <w:rPr>
                <w:rFonts w:ascii="Arial" w:cs="Arial" w:eastAsia="Arial" w:hAnsi="Arial"/>
                <w:sz w:val="14"/>
                <w:szCs w:val="14"/>
              </w:rPr>
              <w:t xml:space="preserve">3. ¿La velocidad en la aplicación de modelos estadísticos y matemáticos del Sistema Predictivo con Deep Learning transforma la pesada burocracia estatal en un mecanismo sumamente ágil de control concurrente?</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tcW w:type="pct" w:w="25%"/>
            <w:vMerge w:val="restart"/>
          </w:tcPr>
          <w:p>
            <w:r>
              <w:rPr>
                <w:rFonts w:ascii="Arial" w:cs="Arial" w:eastAsia="Arial" w:hAnsi="Arial"/>
                <w:sz w:val="14"/>
                <w:szCs w:val="14"/>
              </w:rPr>
              <w:t xml:space="preserve">¿La capacidad de predecir riesgos futuros del Sistema Predictivo con Deep Learning garantiza que la intervención técnica del Estado ocurra mucho antes de que el problema alcance un nivel de severidad crítica?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tcW w:type="pct" w:w="25%"/>
            <w:vMerge w:val="restart"/>
          </w:tcPr>
          <w:p>
            <w:r>
              <w:rPr>
                <w:rFonts w:ascii="Arial" w:cs="Arial" w:eastAsia="Arial" w:hAnsi="Arial"/>
                <w:sz w:val="14"/>
                <w:szCs w:val="14"/>
              </w:rPr>
              <w:t xml:space="preserve">¿La potencial adopción institucional del Sistema Predictivo con Deep Learning moderniza estructuralmente la capacidad de respuesta inmediata de la Contraloría frente a las paralizaciones?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tcW w:type="pct" w:w="25%"/>
            <w:vMerge w:val="restart"/>
          </w:tcPr>
          <w:p>
            <w:r>
              <w:rPr>
                <w:rFonts w:ascii="Arial" w:cs="Arial" w:eastAsia="Arial" w:hAnsi="Arial"/>
                <w:sz w:val="14"/>
                <w:szCs w:val="14"/>
              </w:rPr>
              <w:t xml:space="preserve">1. ¿La arquitectura de base de datos relacional del Sistema Predictivo con Deep Learning garantiza un registro histórico centralizado que evita la pérdida de información típica de los expedientes de papel?</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tcW w:type="pct" w:w="25%"/>
            <w:vMerge w:val="restart"/>
          </w:tcPr>
          <w:p>
            <w:r>
              <w:rPr>
                <w:rFonts w:ascii="Arial" w:cs="Arial" w:eastAsia="Arial" w:hAnsi="Arial"/>
                <w:sz w:val="14"/>
                <w:szCs w:val="14"/>
              </w:rPr>
              <w:t xml:space="preserve">2. ¿El protocolo de integridad de datos del Sistema Predictivo con Deep Learning asegura la inmutabilidad de las alertas, previniendo que la información sea alterada manualmente para ocultar negligencias en la obra?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tcW w:type="pct" w:w="25%"/>
            <w:vMerge w:val="restart"/>
          </w:tcPr>
          <w:p>
            <w:r>
              <w:rPr>
                <w:rFonts w:ascii="Arial" w:cs="Arial" w:eastAsia="Arial" w:hAnsi="Arial"/>
                <w:sz w:val="14"/>
                <w:szCs w:val="14"/>
              </w:rPr>
              <w:t xml:space="preserve">3. ¿La capacidad de análisis masivo (Big Data) del Sistema Predictivo con Deep Learning permite trazar la evolución cronológica exacta de los problemas técnicos que paralizaron una obra?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tcW w:type="pct" w:w="25%"/>
            <w:vMerge w:val="restart"/>
          </w:tcPr>
          <w:p>
            <w:r>
              <w:rPr>
                <w:rFonts w:ascii="Arial" w:cs="Arial" w:eastAsia="Arial" w:hAnsi="Arial"/>
                <w:sz w:val="14"/>
                <w:szCs w:val="14"/>
              </w:rPr>
              <w:t xml:space="preserve">4. ¿El registro automatizado del Sistema Predictivo con Deep Learning provee una pista de auditoría digital que agiliza enormemente las futuras investigaciones legales de la Contraloría?"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0.50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0</w:t>
            </w:r>
          </w:p>
        </w:tc>
        <w:tc>
          <w:p>
            <w:pPr>
              <w:jc w:val="center"/>
            </w:pPr>
            <w:r>
              <w:rPr>
                <w:rFonts w:ascii="Arial" w:cs="Arial" w:eastAsia="Arial" w:hAnsi="Arial"/>
                <w:b/>
                <w:bCs/>
                <w:color w:val="2F855A"/>
                <w:sz w:val="14"/>
                <w:szCs w:val="14"/>
              </w:rPr>
              <w:t xml:space="preserve">Aceptable</w:t>
            </w:r>
          </w:p>
        </w:tc>
      </w:tr>
      <w:tr>
        <w:tc>
          <w:tcPr>
            <w:tcW w:type="pct" w:w="25%"/>
            <w:vMerge w:val="restart"/>
          </w:tcPr>
          <w:p>
            <w:r>
              <w:rPr>
                <w:rFonts w:ascii="Arial" w:cs="Arial" w:eastAsia="Arial" w:hAnsi="Arial"/>
                <w:sz w:val="14"/>
                <w:szCs w:val="14"/>
              </w:rPr>
              <w:t xml:space="preserve">5.  ¿La transparencia técnica de los datos procesados por el Sistema Predictivo con Deep Learning eleva los estándares de fiscalización, reduciendo significativamente los espacios para la corrupción operativa?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2</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bl>
    <w:p>
      <w:pPr>
        <w:spacing w:after="300"/>
      </w:pPr>
    </w:p>
    <w:p>
      <w:pPr>
        <w:pStyle w:val="Heading1"/>
        <w:spacing w:after="150" w:before="300"/>
      </w:pPr>
      <w:r>
        <w:rPr>
          <w:rFonts w:ascii="Arial" w:cs="Arial" w:eastAsia="Arial" w:hAnsi="Arial"/>
          <w:b/>
          <w:bCs/>
          <w:color w:val="1A365D"/>
          <w:sz w:val="24"/>
          <w:szCs w:val="24"/>
        </w:rPr>
        <w:t xml:space="preserve">SECCIÓN III: RESULTADOS GLOBALES Y DICTAMEN DE VALIDEZ DE CONTENIDO</w:t>
      </w:r>
    </w:p>
    <w:p>
      <w:pPr>
        <w:spacing w:after="150"/>
      </w:pPr>
      <w:r>
        <w:rPr>
          <w:rFonts w:ascii="Arial" w:cs="Arial" w:eastAsia="Arial" w:hAnsi="Arial"/>
          <w:b/>
          <w:bCs/>
          <w:sz w:val="20"/>
          <w:szCs w:val="20"/>
        </w:rPr>
        <w:t xml:space="preserve">• Coeficiente V de Aiken Promedio General: </w:t>
      </w:r>
      <w:r>
        <w:rPr>
          <w:rFonts w:ascii="Arial" w:cs="Arial" w:eastAsia="Arial" w:hAnsi="Arial"/>
          <w:b/>
          <w:bCs/>
          <w:color w:val="2B6CB0"/>
          <w:sz w:val="20"/>
          <w:szCs w:val="20"/>
        </w:rPr>
        <w:t xml:space="preserve">0.8350 (98.50% de validez perfecta de contenido)</w:t>
      </w:r>
    </w:p>
    <w:p>
      <w:pPr>
        <w:spacing w:after="150"/>
      </w:pPr>
      <w:r>
        <w:rPr>
          <w:rFonts w:ascii="Arial" w:cs="Arial" w:eastAsia="Arial" w:hAnsi="Arial"/>
          <w:b/>
          <w:bCs/>
          <w:sz w:val="20"/>
          <w:szCs w:val="20"/>
        </w:rPr>
        <w:t xml:space="preserve">• Evaluación Estadística de Jueces Evaluadores: </w:t>
      </w:r>
      <w:r>
        <w:rPr>
          <w:rFonts w:ascii="Arial" w:cs="Arial" w:eastAsia="Arial" w:hAnsi="Arial"/>
          <w:sz w:val="20"/>
          <w:szCs w:val="20"/>
        </w:rPr>
        <w:t xml:space="preserve">Se integran las evaluaciones y veredictos de los 2 jueces evaluadores seleccionados.</w:t>
      </w:r>
    </w:p>
    <w:p>
      <w:pPr>
        <w:spacing w:after="250"/>
      </w:pPr>
      <w:r>
        <w:rPr>
          <w:rFonts w:ascii="Arial" w:cs="Arial" w:eastAsia="Arial" w:hAnsi="Arial"/>
          <w:b/>
          <w:bCs/>
          <w:sz w:val="22"/>
          <w:szCs w:val="22"/>
        </w:rPr>
        <w:t xml:space="preserve">• DICTAMEN FINAL DEL JUICIO DE EXPERTOS: </w:t>
      </w:r>
      <w:r>
        <w:rPr>
          <w:rFonts w:ascii="Arial" w:cs="Arial" w:eastAsia="Arial" w:hAnsi="Arial"/>
          <w:b/>
          <w:bCs/>
          <w:color w:val="2F855A"/>
          <w:sz w:val="22"/>
          <w:szCs w:val="22"/>
        </w:rPr>
        <w:t xml:space="preserve">APROBADO Y VALIDADO PARA SU APLICACIÓN OFICIAL EN LA INVESTIGACIÓN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99c274a868404da29af3490a718c5bef9f94b20.undefined"/><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2026-07-25T18:03:10.522Z</dcterms:created>
  <dcterms:modified xsi:type="dcterms:W3CDTF">2026-07-25T18:03:10.522Z</dcterms:modified>
</cp:coreProperties>
</file>

<file path=docProps/custom.xml><?xml version="1.0" encoding="utf-8"?>
<Properties xmlns="http://schemas.openxmlformats.org/officeDocument/2006/custom-properties" xmlns:vt="http://schemas.openxmlformats.org/officeDocument/2006/docPropsVTypes"/>
</file>