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2689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Aprendizagem e Tecnologias Digitais — Sumários propostos, 2026/2027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544"/>
        <w:gridCol w:w="7414"/>
      </w:tblGrid>
      <w:tr w14:paraId="00EA6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B475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N.º</w:t>
            </w:r>
          </w:p>
        </w:tc>
        <w:tc>
          <w:tcPr>
            <w:tcW w:w="0" w:type="auto"/>
            <w:shd w:val="clear"/>
            <w:vAlign w:val="center"/>
          </w:tcPr>
          <w:p w14:paraId="658485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Tipo</w:t>
            </w:r>
          </w:p>
        </w:tc>
        <w:tc>
          <w:tcPr>
            <w:tcW w:w="0" w:type="auto"/>
            <w:shd w:val="clear"/>
            <w:vAlign w:val="center"/>
          </w:tcPr>
          <w:p w14:paraId="5417F0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Sumário</w:t>
            </w:r>
          </w:p>
        </w:tc>
      </w:tr>
      <w:tr w14:paraId="35C83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B1F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23DD6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729B5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Apresentação da unidade curricular: objetivos, conteúdos, metodologias de trabalho e avaliação. Introdução à ciência da aprendizagem e ao papel das tecnologias digitais em contextos </w:t>
            </w:r>
            <w:bookmarkStart w:id="0" w:name="_GoBack"/>
            <w:bookmarkEnd w:id="0"/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 educação e aconselhamento. Distinção entre envolvimento, desempenho e aprendizagem.</w:t>
            </w:r>
          </w:p>
        </w:tc>
      </w:tr>
      <w:tr w14:paraId="1BE32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56D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79E2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023EBC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Qualidade da evidência em investigação sobre aprendizagem. Estudos experimentais e quase-experimentais, revisões sistemáticas e meta-análises. Associação e causalidade; tamanhos de efeito, replicação e condições de generalização dos resultados.</w:t>
            </w:r>
          </w:p>
        </w:tc>
      </w:tr>
      <w:tr w14:paraId="0748DE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DA7A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36E5C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0BD56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Leitura orientada de um estudo sobre aprendizagem com tecnologias digitais. Identificação da questão de investigação, participantes, condições de comparação e medidas de aprendizagem. Discussão das conclusões e limitações metodológicas.</w:t>
            </w:r>
          </w:p>
        </w:tc>
      </w:tr>
      <w:tr w14:paraId="56522A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6E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B9C1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4C4D5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Arquitetura cognitiva: memória de trabalho, memória de longo prazo e conhecimentos prévios. Formação e utilização de esquemas. Implicações das características da memória para a organização do ensino e dos recursos digitais.</w:t>
            </w:r>
          </w:p>
        </w:tc>
      </w:tr>
      <w:tr w14:paraId="4328A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266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53DF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69F339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Análise crítica de afirmações sobre estilos de aprendizagem e nativos digitais. Distinção entre preferências, familiaridade tecnológica e condições que favorecem a aprendizagem. Discussão de exemplos à luz da evidência científica.</w:t>
            </w:r>
          </w:p>
        </w:tc>
      </w:tr>
      <w:tr w14:paraId="66AC6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2AC7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86A61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3D952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Análise de um recurso digital educativo ou psicoeducativo. Identificação dos objetivos, conhecimentos prévios exigidos e possíveis dificuldades de compreensão. Construção de uma grelha inicial de avaliação da qualidade pedagógica e da acessibilidade.</w:t>
            </w:r>
          </w:p>
        </w:tc>
      </w:tr>
      <w:tr w14:paraId="4B06A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5D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6C184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42551E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Teoria da carga cognitiva e design instrucional. Complexidade das tarefas e exigências desnecessárias de processamento. Exemplos resolvidos, modelação e redução progressiva do apoio em função dos conhecimentos do estudante.</w:t>
            </w:r>
          </w:p>
        </w:tc>
      </w:tr>
      <w:tr w14:paraId="039D3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7E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3647B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767176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Aplicação dos princípios da carga cognitiva à análise de situações de ensino. Comparação entre resolução autónoma, exemplos resolvidos e tarefas com apoio parcial. Discussão da adequação das estratégias a principiantes e estudantes mais experientes.</w:t>
            </w:r>
          </w:p>
        </w:tc>
      </w:tr>
      <w:tr w14:paraId="04A66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18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607C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5A4707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Redesenho de um recurso com problemas de sobrecarga cognitiva. Organização da informação, explicitação de etapas e construção de um exemplo resolvido. Comparação das versões e fundamentação das alterações efetuadas.</w:t>
            </w:r>
          </w:p>
        </w:tc>
      </w:tr>
      <w:tr w14:paraId="38F85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487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552ADA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3AADEB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Aprendizagem multimédia: articulação entre palavras e imagens. Princípios de contiguidade, modalidade e redundância. Condições de aplicação e implicações para a conceção de apresentações e materiais digitais.</w:t>
            </w:r>
          </w:p>
        </w:tc>
      </w:tr>
      <w:tr w14:paraId="0950F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92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CEDA6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2A982F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Princípios de coerência, sinalização, personalização e corporização. Análise comparativa de materiais multimédia. Discussão dos limites das recomendações e da sua adequação aos destinatários e às tarefas.</w:t>
            </w:r>
          </w:p>
        </w:tc>
      </w:tr>
      <w:tr w14:paraId="21550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96B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F55F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41347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Conceção ou melhoria de um recurso multimédia acessível. Aplicação dos princípios estudados à organização de texto, imagens e áudio. Revisão entre pares com base em critérios explícitos de compreensão e acessibilidade.</w:t>
            </w:r>
          </w:p>
        </w:tc>
      </w:tr>
      <w:tr w14:paraId="1187B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53C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61E25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298DA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Vídeo educativo: segmentação, pré-treino e controlo do ritmo. Legendagem e acessibilidade. Integração de questões e atividades no visionamento; distinção entre exposição ao conteúdo e processamento cognitivo.</w:t>
            </w:r>
          </w:p>
        </w:tc>
      </w:tr>
      <w:tr w14:paraId="2D1F1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FD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52AAD4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18BDE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Análise crítica de vídeos educativos e da investigação sobre a sua eficácia. Identificação das atividades propostas ao estudante e das medidas utilizadas para avaliar a aprendizagem. Discussão das condições que podem explicar diferenças nos resultados.</w:t>
            </w:r>
          </w:p>
        </w:tc>
      </w:tr>
      <w:tr w14:paraId="51C44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23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3055A7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4F97F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Elaboração de um guião de vídeo educativo ou psicoeducativo. Definição de segmentos, conhecimentos prévios, pistas visuais e momentos de recuperação de informação. Planeamento da legendagem e de uma atividade de aplicação.</w:t>
            </w:r>
          </w:p>
        </w:tc>
      </w:tr>
      <w:tr w14:paraId="37249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B65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010BD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3B9EA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Envolvimento cognitivo e aprendizagem generativa. Modelo ICAP: modos passivo, ativo, construtivo e interativo. Autoexplicação, desenho, mapas e aprendizagem pelo ensino como estratégias de elaboração do conhecimento.</w:t>
            </w:r>
          </w:p>
        </w:tc>
      </w:tr>
      <w:tr w14:paraId="5773A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B0B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3AF415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73E3D3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Classificação e discussão de atividades à luz do modelo ICAP. Colaboração orientada em ambientes virtuais: explicação, negociação de significados e construção conjunta de respostas. Custos de coordenação e condições de eficácia do trabalho colaborativo.</w:t>
            </w:r>
          </w:p>
        </w:tc>
      </w:tr>
      <w:tr w14:paraId="3F602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66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0AAA53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3E91F2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Construção de atividades de autoexplicação, representação visual e aprendizagem pelo ensino. Experimentação de uma tarefa colaborativa com papéis e orientações definidos. Análise dos produtos e revisão das instruções.</w:t>
            </w:r>
          </w:p>
        </w:tc>
      </w:tr>
      <w:tr w14:paraId="1A46C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DBD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30786D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</w:t>
            </w:r>
          </w:p>
        </w:tc>
        <w:tc>
          <w:tcPr>
            <w:tcW w:w="0" w:type="auto"/>
            <w:shd w:val="clear"/>
            <w:vAlign w:val="center"/>
          </w:tcPr>
          <w:p w14:paraId="3F716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Orientação do trabalho de grupo: definição do problema, destinatários e objetivos de aprendizagem. Seleção do recurso ou atividade a conceber ou redesenhar. Planeamento das etapas e identificação de evidência relevante para a fundamentação.</w:t>
            </w:r>
          </w:p>
        </w:tc>
      </w:tr>
      <w:tr w14:paraId="5EE1A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DC1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254341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7B6637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Prática de recuperação e espaçamento na aprendizagem. Distinção entre facilidade durante o estudo e retenção duradoura. Questionários formativos, avaliação diferida e transferência para situações novas.</w:t>
            </w:r>
          </w:p>
        </w:tc>
      </w:tr>
      <w:tr w14:paraId="047A5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781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1A52A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352B75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Feedback formativo: informação sobre o desempenho, explicação dos erros e orientação da revisão. Análise de exemplos de feedback e das oportunidades de utilização pelo estudante. Articulação entre objetivos, tarefas e critérios de avaliação.</w:t>
            </w:r>
          </w:p>
        </w:tc>
      </w:tr>
      <w:tr w14:paraId="6D6BF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28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3E5122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12CAE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Construção de um questionário formativo com feedback explicativo. Planeamento de oportunidades de recuperação espaçada, revisão das respostas e avaliação diferida. Elaboração de uma tarefa de aplicação a uma situação nova.</w:t>
            </w:r>
          </w:p>
        </w:tc>
      </w:tr>
      <w:tr w14:paraId="758C0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C0DD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3AD12B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</w:t>
            </w:r>
          </w:p>
        </w:tc>
        <w:tc>
          <w:tcPr>
            <w:tcW w:w="0" w:type="auto"/>
            <w:shd w:val="clear"/>
            <w:vAlign w:val="center"/>
          </w:tcPr>
          <w:p w14:paraId="712D6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Orientação do ensaio individual de revisão crítica de um artigo ou capítulo. Delimitação da questão de análise e identificação do modelo de aprendizagem, da evidência e das limitações. Discussão da estrutura do ensaio e da sustentação das implicações para a prática.</w:t>
            </w:r>
          </w:p>
        </w:tc>
      </w:tr>
      <w:tr w14:paraId="1F1CF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BE3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709523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03A01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Autorregulação da aprendizagem: definição de objetivos, planeamento, monitorização e reflexão. Apoios digitais ao estudo e à gestão do esforço. Organização de ambientes de ensino online e misto em função das atividades e interações de aprendizagem.</w:t>
            </w:r>
          </w:p>
        </w:tc>
      </w:tr>
      <w:tr w14:paraId="01A09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B4E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5BB841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62653F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Análise de casos de ensino online e misto. Discussão das diferenças entre comparar meios tecnológicos e comparar práticas pedagógicas. Identificação de apoios à autorregulação e de indicadores que permitam avaliar os seus efeitos.</w:t>
            </w:r>
          </w:p>
        </w:tc>
      </w:tr>
      <w:tr w14:paraId="41CB2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59C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788D3A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490B4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Conceção de uma sequência de estudo com objetivos, calendário de prática, instrumentos de monitorização e reflexão final. Integração de recuperação espaçada e feedback. Adaptação da proposta a um contexto educativo ou de aconselhamento.</w:t>
            </w:r>
          </w:p>
        </w:tc>
      </w:tr>
      <w:tr w14:paraId="2969C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A9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5C09E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</w:t>
            </w:r>
          </w:p>
        </w:tc>
        <w:tc>
          <w:tcPr>
            <w:tcW w:w="0" w:type="auto"/>
            <w:shd w:val="clear"/>
            <w:vAlign w:val="center"/>
          </w:tcPr>
          <w:p w14:paraId="10885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Acompanhamento dos trabalhos de grupo. Verificação da coerência entre objetivos, atividades, princípios de aprendizagem e acessibilidade. Discussão do plano de avaliação da retenção, da transferência e do desempenho autónomo.</w:t>
            </w:r>
          </w:p>
        </w:tc>
      </w:tr>
      <w:tr w14:paraId="28390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66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28E63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1A873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Exploração orientada de jogos e simulações educativos. Identificação dos objetivos, das oportunidades de prática e do feedback. Comparação entre elementos motivacionais, desempenho na atividade e indícios de aprendizagem.</w:t>
            </w:r>
          </w:p>
        </w:tc>
      </w:tr>
      <w:tr w14:paraId="6E283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8E26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/>
            <w:vAlign w:val="center"/>
          </w:tcPr>
          <w:p w14:paraId="601243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</w:t>
            </w:r>
          </w:p>
        </w:tc>
        <w:tc>
          <w:tcPr>
            <w:tcW w:w="0" w:type="auto"/>
            <w:shd w:val="clear"/>
            <w:vAlign w:val="center"/>
          </w:tcPr>
          <w:p w14:paraId="76B7D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Acompanhamento da elaboração dos trabalhos e discussão das dificuldades encontradas. Revisão da fundamentação científica, das fontes e da articulação entre evidência e decisões de design. Orientação da gestão do trabalho autónomo e da explicitação do uso de IA.</w:t>
            </w:r>
          </w:p>
        </w:tc>
      </w:tr>
      <w:tr w14:paraId="65093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CF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4B3BF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669FE6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Jogos e simulações: análise de evidência e condições de eficácia. Articulação entre instrução direta e investigação guiada. Planeamento da discussão após a atividade e de tarefas que permitam avaliar compreensão e transferência.</w:t>
            </w:r>
          </w:p>
        </w:tc>
      </w:tr>
      <w:tr w14:paraId="1EEF1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5E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vAlign w:val="center"/>
          </w:tcPr>
          <w:p w14:paraId="5FD3A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14BA38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Exploração de tutores inteligentes e ferramentas de IA generativa. Análise de modelos do aluno, pistas e apoio adaptativo. Verificação de respostas e fontes; discussão da autonomia, privacidade e transparência na utilização destas ferramentas.</w:t>
            </w:r>
          </w:p>
        </w:tc>
      </w:tr>
      <w:tr w14:paraId="0D3A0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69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49FF6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</w:t>
            </w:r>
          </w:p>
        </w:tc>
        <w:tc>
          <w:tcPr>
            <w:tcW w:w="0" w:type="auto"/>
            <w:shd w:val="clear"/>
            <w:vAlign w:val="center"/>
          </w:tcPr>
          <w:p w14:paraId="47CD68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Orientação final dos projetos: revisão dos recursos e das propostas de avaliação da aprendizagem. Discussão das limitações e das melhorias prioritárias. Preparação da apresentação e da fundamentação das opções adotadas.</w:t>
            </w:r>
          </w:p>
        </w:tc>
      </w:tr>
      <w:tr w14:paraId="3C065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A4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63C61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</w:t>
            </w:r>
          </w:p>
        </w:tc>
        <w:tc>
          <w:tcPr>
            <w:tcW w:w="0" w:type="auto"/>
            <w:shd w:val="clear"/>
            <w:vAlign w:val="center"/>
          </w:tcPr>
          <w:p w14:paraId="48D3BB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Conceção de uma atividade de aprendizagem com apoio de IA. Definição de regras de utilização, procedimentos de verificação e redução progressiva do apoio. Construção de uma tarefa sem assistência para avaliar a aprendizagem autónoma.</w:t>
            </w:r>
          </w:p>
        </w:tc>
      </w:tr>
      <w:tr w14:paraId="3C2C0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67D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/>
            <w:vAlign w:val="center"/>
          </w:tcPr>
          <w:p w14:paraId="16FBE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TP</w:t>
            </w:r>
          </w:p>
        </w:tc>
        <w:tc>
          <w:tcPr>
            <w:tcW w:w="0" w:type="auto"/>
            <w:shd w:val="clear"/>
            <w:vAlign w:val="center"/>
          </w:tcPr>
          <w:p w14:paraId="1D038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Apresentação e discussão dos trabalhos de grupo — A1. Apreciação da fundamentação científica, qualidade pedagógica, acessibilidade e propostas de avaliação da aprendizagem. Síntese das implicações para contextos de educação e aconselhamento.</w:t>
            </w:r>
          </w:p>
        </w:tc>
      </w:tr>
      <w:tr w14:paraId="16597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208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122F24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</w:t>
            </w:r>
          </w:p>
        </w:tc>
        <w:tc>
          <w:tcPr>
            <w:tcW w:w="0" w:type="auto"/>
            <w:shd w:val="clear"/>
            <w:vAlign w:val="center"/>
          </w:tcPr>
          <w:p w14:paraId="78E14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Realização do teste escrito final — A3. Avaliação da compreensão dos conceitos, da interpretação de evidência e da aplicação dos princípios estudados ao design e à avaliação de recursos digitais.</w:t>
            </w:r>
          </w:p>
        </w:tc>
      </w:tr>
    </w:tbl>
    <w:p w14:paraId="5E373218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Carga horária:</w:t>
      </w:r>
      <w:r>
        <w:t xml:space="preserve"> T — 10 × 2 h = 20 h; TP — 10 × 2 h = 20 h; PL — 10 × 2 h = 20 h; OT — 5 × 2 h = 10 h. </w:t>
      </w:r>
      <w:r>
        <w:rPr>
          <w:rStyle w:val="5"/>
        </w:rPr>
        <w:t>Total: 70 horas.</w:t>
      </w:r>
    </w:p>
    <w:p w14:paraId="1B5BB9EB">
      <w:pPr>
        <w:pStyle w:val="6"/>
        <w:keepNext w:val="0"/>
        <w:keepLines w:val="0"/>
        <w:widowControl/>
        <w:suppressLineNumbers w:val="0"/>
      </w:pPr>
      <w:r>
        <w:rPr>
          <w:rStyle w:val="4"/>
        </w:rPr>
        <w:t>T — Teórico; TP — Teórico-Prático; PL — Prático e Laboratorial; OT — Orientação Tutorial.</w:t>
      </w:r>
    </w:p>
    <w:p w14:paraId="2880AE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81442A"/>
    <w:rsid w:val="2D81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Strong"/>
    <w:basedOn w:val="2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2026-10-09T17:13:00Z</dcterms:created>
  <dc:creator>Luís Cunha</dc:creator>
  <cp:lastModifiedBy>Luís Cunha</cp:lastModifiedBy>
  <dcterms:modified xsi:type="dcterms:W3CDTF">2026-10-09T17:14:23Z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2070-12.1.0.28485</vt:lpwstr>
  </property>
  <property fmtid="{D5CDD505-2E9C-101B-9397-08002B2CF9AE}" pid="3" name="ICV">
    <vt:lpwstr>9B1866A7B5084910A2F46C150C3E97FB_11</vt:lpwstr>
  </property>
  <property fmtid="{D5CDD505-2E9C-101B-9397-08002B2CF9AE}" pid="4" name="KSOTemplateDocerSaveRecord">
    <vt:lpwstr>eyJoZGlkIjoiNDllYzg3NjIwMDY5NzQxNzJhYTYwNmM5YjJmMTgyODQiLCJ1c2VySWQiOiI2NzM0NTE1Mzg5MjY4In0=</vt:lpwstr>
  </property>
</Properties>
</file>