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4"/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  <w:sectPr>
          <w:footnotePr/>
          <w:endnotePr/>
          <w:type w:val="nextPage"/>
          <w:pgSz w:h="16834" w:orient="portrait" w:w="11909"/>
          <w:pgMar w:top="1440" w:right="1440" w:bottom="1440" w:left="1440" w:header="720" w:footer="720" w:gutter="0"/>
          <w:pgNumType w:start="1"/>
          <w:cols w:num="1" w:sep="0" w:space="1701" w:equalWidth="1"/>
        </w:sectPr>
      </w:pPr>
      <w:r/>
      <w:bookmarkStart w:id="0" w:name="_hzxusf4pc5qd"/>
      <w:r/>
      <w:bookmarkEnd w:id="0"/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p>
      <w:pPr>
        <w:pStyle w:val="900"/>
        <w:keepNext w:val="false"/>
        <w:keepLines w:val="false"/>
        <w:pBdr/>
        <w:spacing w:before="280"/>
        <w:ind/>
        <w:rPr/>
      </w:pPr>
      <w:r/>
      <w:bookmarkStart w:id="1" w:name="_z9tr8ansoo5u"/>
      <w:r/>
      <w:bookmarkEnd w:id="1"/>
      <w:r>
        <w:rPr>
          <w:b/>
          <w:bCs/>
          <w:color w:val="000000"/>
          <w:sz w:val="26"/>
          <w:szCs w:val="26"/>
          <w:rtl w:val="0"/>
        </w:rPr>
        <w:t xml:space="preserve">Requerimiento</w:t>
      </w:r>
      <w:r>
        <w:rPr>
          <w:rtl w:val="0"/>
        </w:rPr>
      </w:r>
      <w:r/>
    </w:p>
    <w:p>
      <w:pPr>
        <w:pBdr/>
        <w:spacing w:after="240" w:before="240"/>
        <w:ind/>
        <w:jc w:val="both"/>
        <w:rPr/>
      </w:pPr>
      <w:r>
        <w:rPr>
          <w:rtl w:val="0"/>
        </w:rPr>
        <w:t xml:space="preserve">La comp</w:t>
      </w:r>
      <w:r>
        <w:rPr>
          <w:rtl w:val="0"/>
        </w:rPr>
        <w:t xml:space="preserve">añía se encuentra en una etapa de crecimiento sostenido, reflejado en un incremento significativo en la cantidad de unidades transportadas y entregadas semanalmente.</w:t>
        <w:br/>
        <w:t xml:space="preserve"> A pesar de este crecimiento, actualmente no se cuenta con un modelo de pronóstico que per</w:t>
      </w:r>
      <w:r>
        <w:rPr>
          <w:rtl w:val="0"/>
        </w:rPr>
        <w:t xml:space="preserve">mita anticipar la cantidad de unidades que se entregarán en las próximas semanas. Esta falta de visibilidad dificulta la planeación de recursos técnicos, operativos y de flota necesarios para cumplir con los compromisos y expectativas de nuestros clientes.</w:t>
      </w:r>
      <w:r/>
    </w:p>
    <w:p>
      <w:pPr>
        <w:pBdr/>
        <w:spacing w:after="240" w:before="240"/>
        <w:ind/>
        <w:jc w:val="both"/>
        <w:rPr>
          <w:b/>
          <w:bCs/>
          <w:sz w:val="26"/>
          <w:szCs w:val="26"/>
        </w:rPr>
      </w:pPr>
      <w:r>
        <w:rPr>
          <w:rtl w:val="0"/>
        </w:rPr>
        <w:t xml:space="preserve">Por este motivo, se busca desarrollar modelos analíticos que ayuden a resolver estas problemáticas.</w:t>
      </w:r>
      <w:r>
        <w:rPr>
          <w:b/>
          <w:bCs/>
          <w:sz w:val="26"/>
          <w:szCs w:val="26"/>
        </w:rPr>
      </w:r>
      <w:r>
        <w:rPr>
          <w:b/>
          <w:bCs/>
          <w:sz w:val="26"/>
          <w:szCs w:val="26"/>
        </w:rPr>
      </w:r>
    </w:p>
    <w:p>
      <w:pPr>
        <w:pBdr/>
        <w:spacing w:after="240" w:before="240"/>
        <w:ind/>
        <w:jc w:val="both"/>
        <w:rPr/>
      </w:pPr>
      <w:r>
        <w:rPr>
          <w:rtl w:val="0"/>
        </w:rPr>
        <w:t xml:space="preserve">Con base en los conjuntos de datos entregados se espera:</w:t>
      </w:r>
      <w:r/>
    </w:p>
    <w:p>
      <w:pPr>
        <w:pStyle w:val="901"/>
        <w:keepNext w:val="false"/>
        <w:keepLines w:val="false"/>
        <w:pBdr/>
        <w:spacing w:after="40" w:before="240"/>
        <w:ind/>
        <w:jc w:val="both"/>
        <w:rPr>
          <w:b/>
          <w:bCs/>
          <w:color w:val="000000"/>
          <w:sz w:val="22"/>
          <w:szCs w:val="22"/>
          <w:highlight w:val="green"/>
        </w:rPr>
      </w:pPr>
      <w:r>
        <w:rPr>
          <w:highlight w:val="green"/>
        </w:rPr>
      </w:r>
      <w:bookmarkStart w:id="2" w:name="_6ds3tv72k46"/>
      <w:r>
        <w:rPr>
          <w:highlight w:val="green"/>
        </w:rPr>
      </w:r>
      <w:bookmarkEnd w:id="2"/>
      <w:r>
        <w:rPr>
          <w:b/>
          <w:bCs/>
          <w:color w:val="000000"/>
          <w:sz w:val="22"/>
          <w:szCs w:val="22"/>
          <w:highlight w:val="green"/>
          <w:rtl w:val="0"/>
        </w:rPr>
        <w:t xml:space="preserve">1. Pronóstico de entregas</w:t>
      </w:r>
      <w:r>
        <w:rPr>
          <w:b/>
          <w:bCs/>
          <w:color w:val="000000"/>
          <w:sz w:val="22"/>
          <w:szCs w:val="22"/>
          <w:highlight w:val="green"/>
        </w:rPr>
      </w:r>
      <w:r>
        <w:rPr>
          <w:b/>
          <w:bCs/>
          <w:color w:val="000000"/>
          <w:sz w:val="22"/>
          <w:szCs w:val="22"/>
          <w:highlight w:val="green"/>
        </w:rPr>
      </w:r>
    </w:p>
    <w:p>
      <w:pPr>
        <w:numPr>
          <w:ilvl w:val="0"/>
          <w:numId w:val="1"/>
        </w:numPr>
        <w:pBdr/>
        <w:spacing w:after="0" w:afterAutospacing="0" w:before="240"/>
        <w:ind w:hanging="360" w:left="720"/>
        <w:jc w:val="both"/>
        <w:rPr/>
      </w:pPr>
      <w:r>
        <w:rPr>
          <w:rtl w:val="0"/>
        </w:rPr>
        <w:t xml:space="preserve">Estimar la cantidad de unidades que serán entregadas en las próximas </w:t>
      </w:r>
      <w:r>
        <w:rPr>
          <w:b/>
          <w:bCs/>
          <w:rtl w:val="0"/>
        </w:rPr>
        <w:t xml:space="preserve">6 semanas</w:t>
      </w:r>
      <w:r>
        <w:rPr>
          <w:rtl w:val="0"/>
        </w:rPr>
        <w:t xml:space="preserve">.</w:t>
        <w:br/>
      </w:r>
      <w:r/>
    </w:p>
    <w:p>
      <w:pPr>
        <w:numPr>
          <w:ilvl w:val="0"/>
          <w:numId w:val="1"/>
        </w:numPr>
        <w:pBdr/>
        <w:spacing w:after="0" w:afterAutospacing="0" w:before="0" w:beforeAutospacing="0"/>
        <w:ind w:hanging="360" w:left="720"/>
        <w:jc w:val="both"/>
        <w:rPr/>
      </w:pPr>
      <w:r>
        <w:rPr>
          <w:rtl w:val="0"/>
        </w:rPr>
        <w:t xml:space="preserve">El pronóstico debe estar </w:t>
      </w:r>
      <w:r>
        <w:rPr>
          <w:b/>
          <w:bCs/>
          <w:rtl w:val="0"/>
        </w:rPr>
        <w:t xml:space="preserve">segmentado por terminal y por producto</w:t>
      </w:r>
      <w:r>
        <w:rPr>
          <w:rtl w:val="0"/>
        </w:rPr>
        <w:t xml:space="preserve">.</w:t>
        <w:br/>
      </w:r>
      <w:r/>
    </w:p>
    <w:p>
      <w:pPr>
        <w:numPr>
          <w:ilvl w:val="0"/>
          <w:numId w:val="1"/>
        </w:numPr>
        <w:pBdr/>
        <w:spacing w:after="240" w:before="0" w:beforeAutospacing="0"/>
        <w:ind w:hanging="360" w:left="720"/>
        <w:jc w:val="both"/>
        <w:rPr/>
      </w:pPr>
      <w:r>
        <w:rPr>
          <w:rtl w:val="0"/>
        </w:rPr>
        <w:t xml:space="preserve">Se espera que el resultado incluya tanto los valores estimados como la incertidumbre o nivel de confianza del modelo</w:t>
      </w:r>
      <w:r/>
    </w:p>
    <w:p>
      <w:pPr>
        <w:pStyle w:val="901"/>
        <w:keepNext w:val="false"/>
        <w:keepLines w:val="false"/>
        <w:pBdr/>
        <w:spacing w:after="40" w:before="240"/>
        <w:ind/>
        <w:jc w:val="both"/>
        <w:rPr>
          <w:b/>
          <w:bCs/>
          <w:color w:val="000000"/>
          <w:sz w:val="22"/>
          <w:szCs w:val="22"/>
          <w:highlight w:val="green"/>
        </w:rPr>
      </w:pPr>
      <w:r>
        <w:rPr>
          <w:highlight w:val="green"/>
        </w:rPr>
      </w:r>
      <w:bookmarkStart w:id="3" w:name="_fb4il6bb6bjd"/>
      <w:r>
        <w:rPr>
          <w:highlight w:val="green"/>
        </w:rPr>
      </w:r>
      <w:bookmarkEnd w:id="3"/>
      <w:r>
        <w:rPr>
          <w:b/>
          <w:bCs/>
          <w:color w:val="000000"/>
          <w:sz w:val="22"/>
          <w:szCs w:val="22"/>
          <w:highlight w:val="green"/>
          <w:rtl w:val="0"/>
        </w:rPr>
        <w:t xml:space="preserve">2. Puntualidad de las entregas</w:t>
      </w:r>
      <w:r>
        <w:rPr>
          <w:b/>
          <w:bCs/>
          <w:color w:val="000000"/>
          <w:sz w:val="22"/>
          <w:szCs w:val="22"/>
          <w:highlight w:val="green"/>
        </w:rPr>
      </w:r>
      <w:r>
        <w:rPr>
          <w:b/>
          <w:bCs/>
          <w:color w:val="000000"/>
          <w:sz w:val="22"/>
          <w:szCs w:val="22"/>
          <w:highlight w:val="green"/>
        </w:rPr>
      </w:r>
    </w:p>
    <w:p>
      <w:pPr>
        <w:numPr>
          <w:ilvl w:val="0"/>
          <w:numId w:val="2"/>
        </w:numPr>
        <w:pBdr/>
        <w:spacing w:after="240" w:before="240"/>
        <w:ind w:hanging="360" w:left="720"/>
        <w:jc w:val="both"/>
        <w:rPr/>
      </w:pPr>
      <w:r>
        <w:rPr>
          <w:rtl w:val="0"/>
        </w:rPr>
        <w:t xml:space="preserve">Desarrollar un modelo que determine si una entrega será </w:t>
      </w:r>
      <w:r>
        <w:rPr>
          <w:b/>
          <w:bCs/>
          <w:rtl w:val="0"/>
        </w:rPr>
        <w:t xml:space="preserve">a tiempo</w:t>
      </w:r>
      <w:r>
        <w:rPr>
          <w:rtl w:val="0"/>
        </w:rPr>
        <w:t xml:space="preserve"> o </w:t>
      </w:r>
      <w:r>
        <w:rPr>
          <w:b/>
          <w:bCs/>
          <w:rtl w:val="0"/>
        </w:rPr>
        <w:t xml:space="preserve">tardía</w:t>
      </w:r>
      <w:r>
        <w:rPr>
          <w:rtl w:val="0"/>
        </w:rPr>
        <w:t xml:space="preserve">.</w:t>
      </w:r>
      <w:r/>
    </w:p>
    <w:p>
      <w:pPr>
        <w:pStyle w:val="901"/>
        <w:keepNext w:val="false"/>
        <w:keepLines w:val="false"/>
        <w:pBdr/>
        <w:spacing w:after="40" w:before="240"/>
        <w:ind/>
        <w:jc w:val="both"/>
        <w:rPr>
          <w:b/>
          <w:bCs/>
          <w:color w:val="000000"/>
          <w:sz w:val="22"/>
          <w:szCs w:val="22"/>
        </w:rPr>
      </w:pPr>
      <w:r/>
      <w:bookmarkStart w:id="4" w:name="_ym4w1u2m1012"/>
      <w:r/>
      <w:bookmarkEnd w:id="4"/>
      <w:r>
        <w:rPr>
          <w:b/>
          <w:bCs/>
          <w:color w:val="000000"/>
          <w:sz w:val="22"/>
          <w:szCs w:val="22"/>
          <w:rtl w:val="0"/>
        </w:rPr>
        <w:t xml:space="preserve">3. Crecimiento proyectado por cliente</w:t>
      </w:r>
      <w:r>
        <w:rPr>
          <w:b/>
          <w:bCs/>
          <w:color w:val="000000"/>
          <w:sz w:val="22"/>
          <w:szCs w:val="22"/>
        </w:rPr>
      </w:r>
      <w:r>
        <w:rPr>
          <w:b/>
          <w:bCs/>
          <w:color w:val="000000"/>
          <w:sz w:val="22"/>
          <w:szCs w:val="22"/>
        </w:rPr>
      </w:r>
    </w:p>
    <w:p>
      <w:pPr>
        <w:numPr>
          <w:ilvl w:val="0"/>
          <w:numId w:val="4"/>
        </w:numPr>
        <w:pBdr/>
        <w:spacing w:after="240" w:before="240"/>
        <w:ind w:hanging="360" w:left="720"/>
        <w:jc w:val="both"/>
        <w:rPr/>
      </w:pPr>
      <w:r>
        <w:rPr>
          <w:rtl w:val="0"/>
        </w:rPr>
        <w:t xml:space="preserve">Visualizar el </w:t>
      </w:r>
      <w:r>
        <w:rPr>
          <w:b/>
          <w:bCs/>
          <w:rtl w:val="0"/>
        </w:rPr>
        <w:t xml:space="preserve">crecimiento esperado</w:t>
      </w:r>
      <w:r>
        <w:rPr>
          <w:rtl w:val="0"/>
        </w:rPr>
        <w:t xml:space="preserve"> en la cantidad de unidades a entregar durante las próximas 6 semanas, desglosado </w:t>
      </w:r>
      <w:r>
        <w:rPr>
          <w:b/>
          <w:bCs/>
          <w:rtl w:val="0"/>
        </w:rPr>
        <w:t xml:space="preserve">por cliente</w:t>
      </w:r>
      <w:r>
        <w:rPr>
          <w:rtl w:val="0"/>
        </w:rPr>
        <w:t xml:space="preserve">.</w:t>
      </w:r>
      <w:r/>
    </w:p>
    <w:p>
      <w:pPr>
        <w:pStyle w:val="901"/>
        <w:keepNext w:val="false"/>
        <w:keepLines w:val="false"/>
        <w:pBdr/>
        <w:spacing w:after="40" w:before="240"/>
        <w:ind/>
        <w:jc w:val="both"/>
        <w:rPr>
          <w:b/>
          <w:bCs/>
          <w:color w:val="000000"/>
          <w:sz w:val="22"/>
          <w:szCs w:val="22"/>
          <w:highlight w:val="green"/>
        </w:rPr>
      </w:pPr>
      <w:r>
        <w:rPr>
          <w:highlight w:val="green"/>
        </w:rPr>
      </w:r>
      <w:bookmarkStart w:id="5" w:name="_1o7b0hpe45mk"/>
      <w:r>
        <w:rPr>
          <w:highlight w:val="green"/>
        </w:rPr>
      </w:r>
      <w:bookmarkEnd w:id="5"/>
      <w:r>
        <w:rPr>
          <w:b/>
          <w:bCs/>
          <w:color w:val="000000"/>
          <w:sz w:val="22"/>
          <w:szCs w:val="22"/>
          <w:highlight w:val="green"/>
          <w:rtl w:val="0"/>
        </w:rPr>
        <w:t xml:space="preserve">4. Dimensionamiento de flota – Terminal de Turbaco</w:t>
      </w:r>
      <w:r>
        <w:rPr>
          <w:b/>
          <w:bCs/>
          <w:color w:val="000000"/>
          <w:sz w:val="22"/>
          <w:szCs w:val="22"/>
          <w:highlight w:val="green"/>
        </w:rPr>
      </w:r>
      <w:r>
        <w:rPr>
          <w:b/>
          <w:bCs/>
          <w:color w:val="000000"/>
          <w:sz w:val="22"/>
          <w:szCs w:val="22"/>
          <w:highlight w:val="green"/>
        </w:rPr>
      </w:r>
    </w:p>
    <w:p>
      <w:pPr>
        <w:numPr>
          <w:ilvl w:val="0"/>
          <w:numId w:val="3"/>
        </w:numPr>
        <w:pBdr/>
        <w:spacing w:after="0" w:afterAutospacing="0" w:before="240"/>
        <w:ind w:hanging="360" w:left="720"/>
        <w:jc w:val="both"/>
        <w:rPr/>
      </w:pPr>
      <w:r>
        <w:rPr>
          <w:rtl w:val="0"/>
        </w:rPr>
        <w:t xml:space="preserve">La terminal de </w:t>
      </w:r>
      <w:r>
        <w:rPr>
          <w:b/>
          <w:bCs/>
          <w:rtl w:val="0"/>
        </w:rPr>
        <w:t xml:space="preserve">Turbaco</w:t>
      </w:r>
      <w:r>
        <w:rPr>
          <w:rtl w:val="0"/>
        </w:rPr>
        <w:t xml:space="preserve"> proyecta un incremento del </w:t>
      </w:r>
      <w:r>
        <w:rPr>
          <w:b/>
          <w:bCs/>
          <w:rtl w:val="0"/>
        </w:rPr>
        <w:t xml:space="preserve">20%</w:t>
      </w:r>
      <w:r>
        <w:rPr>
          <w:rtl w:val="0"/>
        </w:rPr>
        <w:t xml:space="preserve"> en la cantidad de unidades recogidas durante el próximo mes.</w:t>
        <w:br/>
      </w:r>
      <w:r/>
    </w:p>
    <w:p>
      <w:pPr>
        <w:numPr>
          <w:ilvl w:val="0"/>
          <w:numId w:val="3"/>
        </w:numPr>
        <w:pBdr/>
        <w:spacing w:after="240" w:before="0" w:beforeAutospacing="0"/>
        <w:ind w:hanging="360" w:left="720"/>
        <w:jc w:val="both"/>
        <w:rPr/>
      </w:pPr>
      <w:r>
        <w:rPr>
          <w:rtl w:val="0"/>
        </w:rPr>
        <w:t xml:space="preserve">A partir de esta información, determinar </w:t>
      </w:r>
      <w:r>
        <w:rPr>
          <w:b/>
          <w:bCs/>
          <w:rtl w:val="0"/>
        </w:rPr>
        <w:t xml:space="preserve">cuántos vehículos adicionales</w:t>
      </w:r>
      <w:r>
        <w:rPr>
          <w:rtl w:val="0"/>
        </w:rPr>
        <w:t xml:space="preserve"> serían necesarios para soportar esta nueva demanda.</w:t>
      </w:r>
      <w:r/>
    </w:p>
    <w:p>
      <w:pPr>
        <w:pBdr/>
        <w:spacing w:after="240" w:before="240"/>
        <w:ind/>
        <w:jc w:val="both"/>
        <w:rPr/>
      </w:pPr>
      <w:r>
        <w:rPr>
          <w:rtl w:val="0"/>
        </w:rPr>
        <w:t xml:space="preserve">Cualquier análisis o propuesta adicional será valorada al momento de la revisión de la prueba técnica. </w:t>
      </w:r>
      <w:r/>
    </w:p>
    <w:p>
      <w:pPr>
        <w:pBdr/>
        <w:spacing/>
        <w:ind/>
        <w:jc w:val="both"/>
        <w:rPr/>
      </w:pPr>
      <w:r>
        <w:rPr>
          <w:rtl w:val="0"/>
        </w:rPr>
      </w:r>
      <w:r/>
    </w:p>
    <w:p>
      <w:pPr>
        <w:pBdr/>
        <w:spacing/>
        <w:ind/>
        <w:jc w:val="both"/>
        <w:rPr/>
      </w:pPr>
      <w:r>
        <w:rPr>
          <w:rtl w:val="0"/>
        </w:rPr>
      </w:r>
      <w:r/>
    </w:p>
    <w:p>
      <w:pPr>
        <w:pBdr/>
        <w:spacing/>
        <w:ind/>
        <w:jc w:val="both"/>
        <w:rPr/>
      </w:pPr>
      <w:r>
        <w:rPr>
          <w:rtl w:val="0"/>
        </w:rPr>
      </w:r>
      <w:r/>
    </w:p>
    <w:p>
      <w:pPr>
        <w:pBdr/>
        <w:spacing/>
        <w:ind/>
        <w:jc w:val="both"/>
        <w:rPr/>
      </w:pPr>
      <w:r>
        <w:rPr>
          <w:rtl w:val="0"/>
        </w:rPr>
      </w:r>
      <w:r/>
    </w:p>
    <w:p>
      <w:pPr>
        <w:pStyle w:val="900"/>
        <w:keepNext w:val="false"/>
        <w:keepLines w:val="false"/>
        <w:pBdr/>
        <w:spacing w:before="280"/>
        <w:ind/>
        <w:rPr>
          <w:b/>
          <w:bCs/>
          <w:color w:val="000000"/>
          <w:sz w:val="26"/>
          <w:szCs w:val="26"/>
        </w:rPr>
      </w:pPr>
      <w:r/>
      <w:bookmarkStart w:id="6" w:name="_pzxrr9wm1me5"/>
      <w:r/>
      <w:bookmarkEnd w:id="6"/>
      <w:r>
        <w:rPr>
          <w:b/>
          <w:bCs/>
          <w:color w:val="000000"/>
          <w:sz w:val="26"/>
          <w:szCs w:val="26"/>
          <w:rtl w:val="0"/>
        </w:rPr>
        <w:t xml:space="preserve">Diccionario de datos</w:t>
      </w:r>
      <w:r>
        <w:rPr>
          <w:b/>
          <w:bCs/>
          <w:color w:val="000000"/>
          <w:sz w:val="26"/>
          <w:szCs w:val="26"/>
        </w:rPr>
      </w:r>
      <w:r>
        <w:rPr>
          <w:b/>
          <w:bCs/>
          <w:color w:val="000000"/>
          <w:sz w:val="26"/>
          <w:szCs w:val="26"/>
        </w:rPr>
      </w:r>
    </w:p>
    <w:p>
      <w:pPr>
        <w:pBdr/>
        <w:spacing/>
        <w:ind/>
        <w:rPr/>
      </w:pPr>
      <w:r>
        <w:rPr>
          <w:rtl w:val="0"/>
        </w:rPr>
        <w:t xml:space="preserve">Data Set Entregas</w:t>
      </w:r>
      <w:r/>
    </w:p>
    <w:p>
      <w:pPr>
        <w:pBdr/>
        <w:spacing/>
        <w:ind/>
        <w:jc w:val="both"/>
        <w:rPr/>
      </w:pPr>
      <w:r>
        <w:rPr>
          <w:rtl w:val="0"/>
        </w:rPr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ID: identificador único del envío</w:t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Ciudad_Origen: Ciudad origen donde se realizó la recogida del envío</w:t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Ciudad_Destino: Ciudad para donde va en envío</w:t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Terminal_Origen:  Terminal que atiende a la ciudad origen.</w:t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Terminal_Destino: Terminal que atiende a la ciudad de destino.</w:t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Producto: Categoría de producto al que pertenece el envío.</w:t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Cliente: Cliente que realiza el envío y a quien se le factura.</w:t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Fecha_Recogida y Fecha_Entrega: Fechas donde fue recogido y entregado el producto o envío respectivamente.</w:t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Dias_Ofrecidos:  Cantidad de días prometidos que se demorara el envío en llegar a la ciudad de destino.</w:t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Dias_Transcurridos: Días hábiles transcurridos desde la fecha de recogida hasta la fecha de entrega.</w:t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Peso: Peso en kilogramos del artículo que se está enviando.</w:t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Peso_Volumen: Peso volumen del artículo que se está enviando.</w:t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Unidades: Cantidad de unidades enviadas.</w:t>
      </w:r>
      <w:r/>
    </w:p>
    <w:p>
      <w:pPr>
        <w:pBdr/>
        <w:spacing/>
        <w:ind/>
        <w:jc w:val="both"/>
        <w:rPr/>
      </w:pPr>
      <w:r>
        <w:rPr>
          <w:rtl w:val="0"/>
        </w:rPr>
      </w:r>
      <w:r/>
    </w:p>
    <w:p>
      <w:pPr>
        <w:pBdr/>
        <w:spacing/>
        <w:ind/>
        <w:jc w:val="both"/>
        <w:rPr/>
      </w:pPr>
      <w:r>
        <w:rPr>
          <w:rtl w:val="0"/>
        </w:rPr>
        <w:t xml:space="preserve">Data Set Móviles</w:t>
      </w:r>
      <w:r/>
    </w:p>
    <w:p>
      <w:pPr>
        <w:pBdr/>
        <w:spacing/>
        <w:ind/>
        <w:rPr/>
      </w:pPr>
      <w:r>
        <w:rPr>
          <w:rtl w:val="0"/>
        </w:rPr>
        <w:t xml:space="preserve">Terminal: Terminal a la que pertenece el móvil o vehículo.</w:t>
      </w:r>
      <w:r/>
    </w:p>
    <w:p>
      <w:pPr>
        <w:pBdr/>
        <w:spacing/>
        <w:ind/>
        <w:rPr/>
      </w:pPr>
      <w:r>
        <w:rPr>
          <w:rtl w:val="0"/>
        </w:rPr>
        <w:t xml:space="preserve">Capacidad: Capacidad de transporte del vehículo.</w:t>
      </w:r>
      <w:r/>
    </w:p>
    <w:p>
      <w:pPr>
        <w:pBdr/>
        <w:spacing/>
        <w:ind/>
        <w:rPr/>
      </w:pPr>
      <w:r>
        <w:rPr>
          <w:rtl w:val="0"/>
        </w:rPr>
        <w:t xml:space="preserve">Unidad: Unidad de medida de la capacidad.</w:t>
      </w:r>
      <w:r/>
    </w:p>
    <w:p>
      <w:pPr>
        <w:pBdr/>
        <w:spacing/>
        <w:ind/>
        <w:rPr>
          <w:rFonts w:ascii="Roboto Mono" w:hAnsi="Roboto Mono" w:eastAsia="Roboto Mono" w:cs="Roboto Mono"/>
          <w:sz w:val="18"/>
          <w:szCs w:val="18"/>
        </w:rPr>
      </w:pPr>
      <w:r>
        <w:rPr>
          <w:rtl w:val="0"/>
        </w:rPr>
        <w:t xml:space="preserve">Movil: identificador único del móvil.</w:t>
      </w:r>
      <w:r>
        <w:rPr>
          <w:rFonts w:ascii="Roboto Mono" w:hAnsi="Roboto Mono" w:eastAsia="Roboto Mono" w:cs="Roboto Mono"/>
          <w:sz w:val="18"/>
          <w:szCs w:val="18"/>
        </w:rPr>
      </w:r>
      <w:r>
        <w:rPr>
          <w:rFonts w:ascii="Roboto Mono" w:hAnsi="Roboto Mono" w:eastAsia="Roboto Mono" w:cs="Roboto Mono"/>
          <w:sz w:val="18"/>
          <w:szCs w:val="18"/>
        </w:rPr>
      </w:r>
    </w:p>
    <w:p>
      <w:pPr>
        <w:pBdr/>
        <w:spacing/>
        <w:ind/>
        <w:jc w:val="both"/>
        <w:rPr/>
      </w:pPr>
      <w:r>
        <w:rPr>
          <w:rtl w:val="0"/>
        </w:rPr>
      </w:r>
      <w:r/>
    </w:p>
    <w:p>
      <w:pPr>
        <w:pBdr/>
        <w:spacing/>
        <w:ind/>
        <w:jc w:val="both"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200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s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Table Grid Light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1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2"/>
    <w:basedOn w:val="7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1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2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3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4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5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6"/>
    <w:basedOn w:val="7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1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2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3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4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5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6"/>
    <w:basedOn w:val="7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1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2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3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4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5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6"/>
    <w:basedOn w:val="7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2">
    <w:name w:val="Heading 7"/>
    <w:basedOn w:val="897"/>
    <w:next w:val="897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3">
    <w:name w:val="Heading 8"/>
    <w:basedOn w:val="897"/>
    <w:next w:val="897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Heading 9"/>
    <w:basedOn w:val="897"/>
    <w:next w:val="897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  <w:pPr>
      <w:pBdr/>
      <w:spacing/>
      <w:ind/>
    </w:pPr>
  </w:style>
  <w:style w:type="numbering" w:styleId="846" w:default="1">
    <w:name w:val="No List"/>
    <w:uiPriority w:val="99"/>
    <w:semiHidden/>
    <w:unhideWhenUsed/>
    <w:pPr>
      <w:pBdr/>
      <w:spacing/>
      <w:ind/>
    </w:pPr>
  </w:style>
  <w:style w:type="character" w:styleId="847">
    <w:name w:val="Heading 1 Char"/>
    <w:basedOn w:val="845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5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5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5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5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5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5"/>
    <w:link w:val="8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5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5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6">
    <w:name w:val="Title Char"/>
    <w:basedOn w:val="845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Subtitle Char"/>
    <w:basedOn w:val="845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7"/>
    <w:next w:val="897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5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0">
    <w:name w:val="List Paragraph"/>
    <w:basedOn w:val="897"/>
    <w:uiPriority w:val="34"/>
    <w:qFormat/>
    <w:pPr>
      <w:pBdr/>
      <w:spacing/>
      <w:ind w:left="720"/>
      <w:contextualSpacing w:val="true"/>
    </w:pPr>
  </w:style>
  <w:style w:type="character" w:styleId="861">
    <w:name w:val="Intense Emphasis"/>
    <w:basedOn w:val="8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2">
    <w:name w:val="Intense Quote"/>
    <w:basedOn w:val="897"/>
    <w:next w:val="897"/>
    <w:link w:val="8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3">
    <w:name w:val="Intense Quote Char"/>
    <w:basedOn w:val="845"/>
    <w:link w:val="8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4">
    <w:name w:val="Intense Reference"/>
    <w:basedOn w:val="8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5">
    <w:name w:val="No Spacing"/>
    <w:basedOn w:val="897"/>
    <w:uiPriority w:val="1"/>
    <w:qFormat/>
    <w:pPr>
      <w:pBdr/>
      <w:spacing w:after="0" w:line="240" w:lineRule="auto"/>
      <w:ind/>
    </w:pPr>
  </w:style>
  <w:style w:type="character" w:styleId="866">
    <w:name w:val="Subtle Emphasis"/>
    <w:basedOn w:val="8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5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5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7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5"/>
    <w:link w:val="871"/>
    <w:uiPriority w:val="99"/>
    <w:pPr>
      <w:pBdr/>
      <w:spacing/>
      <w:ind/>
    </w:pPr>
  </w:style>
  <w:style w:type="paragraph" w:styleId="873">
    <w:name w:val="Footer"/>
    <w:basedOn w:val="897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5"/>
    <w:link w:val="873"/>
    <w:uiPriority w:val="99"/>
    <w:pPr>
      <w:pBdr/>
      <w:spacing/>
      <w:ind/>
    </w:pPr>
  </w:style>
  <w:style w:type="paragraph" w:styleId="875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7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5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7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5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5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885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886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887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888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889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890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891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892">
    <w:name w:val="toc 9"/>
    <w:basedOn w:val="897"/>
    <w:next w:val="897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5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table" w:styleId="896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 w:default="1">
    <w:name w:val="Normal"/>
    <w:pPr>
      <w:pBdr/>
      <w:spacing/>
      <w:ind/>
    </w:pPr>
  </w:style>
  <w:style w:type="paragraph" w:styleId="898">
    <w:name w:val="Heading 1"/>
    <w:basedOn w:val="897"/>
    <w:next w:val="897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9">
    <w:name w:val="Heading 2"/>
    <w:basedOn w:val="897"/>
    <w:next w:val="897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900">
    <w:name w:val="Heading 3"/>
    <w:basedOn w:val="897"/>
    <w:next w:val="897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901">
    <w:name w:val="Heading 4"/>
    <w:basedOn w:val="897"/>
    <w:next w:val="897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902">
    <w:name w:val="Heading 5"/>
    <w:basedOn w:val="897"/>
    <w:next w:val="897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903">
    <w:name w:val="Heading 6"/>
    <w:basedOn w:val="897"/>
    <w:next w:val="897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904">
    <w:name w:val="Title"/>
    <w:basedOn w:val="897"/>
    <w:next w:val="897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905">
    <w:name w:val="Subtitle"/>
    <w:basedOn w:val="897"/>
    <w:next w:val="897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modified xsi:type="dcterms:W3CDTF">2025-11-18T05:07:05Z</dcterms:modified>
</cp:coreProperties>
</file>