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01E40" w14:textId="77777777" w:rsidR="005A2454" w:rsidRPr="00424943" w:rsidRDefault="005A2454" w:rsidP="00F80B54">
      <w:pPr>
        <w:pStyle w:val="Ttulo1"/>
        <w:ind w:firstLine="567"/>
        <w:jc w:val="center"/>
        <w:rPr>
          <w:b/>
          <w:bCs/>
          <w:color w:val="000000"/>
        </w:rPr>
      </w:pPr>
    </w:p>
    <w:p w14:paraId="205577E9" w14:textId="77777777" w:rsidR="005A2454" w:rsidRPr="00424943" w:rsidRDefault="005A2454" w:rsidP="00F80B54">
      <w:pPr>
        <w:pStyle w:val="Ttulo1"/>
        <w:ind w:firstLine="567"/>
        <w:jc w:val="center"/>
        <w:rPr>
          <w:b/>
          <w:bCs/>
          <w:color w:val="000000"/>
        </w:rPr>
      </w:pPr>
    </w:p>
    <w:p w14:paraId="53C6F4EA" w14:textId="77777777" w:rsidR="005A2454" w:rsidRPr="00424943" w:rsidRDefault="005A2454" w:rsidP="00F80B54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color w:val="000000"/>
        </w:rPr>
      </w:pPr>
    </w:p>
    <w:p w14:paraId="12AE89C1" w14:textId="77777777" w:rsidR="005A2454" w:rsidRPr="00424943" w:rsidRDefault="005A2454" w:rsidP="00F80B54">
      <w:pPr>
        <w:pStyle w:val="Ttulo1"/>
        <w:ind w:firstLine="567"/>
        <w:jc w:val="center"/>
        <w:rPr>
          <w:b/>
          <w:bCs/>
          <w:color w:val="000000"/>
        </w:rPr>
      </w:pPr>
    </w:p>
    <w:p w14:paraId="23B58F7A" w14:textId="49365FEE" w:rsidR="00F677FA" w:rsidRPr="00424943" w:rsidRDefault="00F677FA" w:rsidP="00F80B54">
      <w:pPr>
        <w:pStyle w:val="Ttulo1"/>
        <w:ind w:firstLine="567"/>
        <w:jc w:val="center"/>
        <w:rPr>
          <w:b/>
          <w:bCs/>
          <w:color w:val="000000"/>
        </w:rPr>
      </w:pPr>
      <w:r w:rsidRPr="00424943">
        <w:rPr>
          <w:b/>
          <w:bCs/>
          <w:color w:val="000000"/>
        </w:rPr>
        <w:t>Tarea #</w:t>
      </w:r>
      <w:r w:rsidR="00453B3D">
        <w:rPr>
          <w:b/>
          <w:bCs/>
          <w:color w:val="000000"/>
        </w:rPr>
        <w:t>2</w:t>
      </w:r>
    </w:p>
    <w:p w14:paraId="793707C3" w14:textId="2CD872CA" w:rsidR="005A2454" w:rsidRPr="00424943" w:rsidRDefault="00453B3D" w:rsidP="00453B3D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</w:rPr>
      </w:pPr>
      <w:r w:rsidRPr="00453B3D">
        <w:rPr>
          <w:b/>
          <w:bCs/>
          <w:color w:val="000000"/>
          <w:sz w:val="40"/>
          <w:szCs w:val="40"/>
        </w:rPr>
        <w:t>Profundización en Mecanismos y</w:t>
      </w:r>
      <w:r>
        <w:rPr>
          <w:b/>
          <w:bCs/>
          <w:color w:val="000000"/>
          <w:sz w:val="40"/>
          <w:szCs w:val="40"/>
        </w:rPr>
        <w:t xml:space="preserve"> </w:t>
      </w:r>
      <w:r w:rsidRPr="00453B3D">
        <w:rPr>
          <w:b/>
          <w:bCs/>
          <w:color w:val="000000"/>
          <w:sz w:val="40"/>
          <w:szCs w:val="40"/>
        </w:rPr>
        <w:t>Metodologías de Seguridad</w:t>
      </w:r>
    </w:p>
    <w:p w14:paraId="44294115" w14:textId="77777777" w:rsidR="005A2454" w:rsidRPr="00424943" w:rsidRDefault="005A2454" w:rsidP="00F80B54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color w:val="000000"/>
        </w:rPr>
      </w:pPr>
    </w:p>
    <w:p w14:paraId="7DB2AD2C" w14:textId="77777777" w:rsidR="005A2454" w:rsidRPr="00424943" w:rsidRDefault="005A2454" w:rsidP="00F80B54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color w:val="000000"/>
        </w:rPr>
      </w:pPr>
    </w:p>
    <w:p w14:paraId="4AAA7C6D" w14:textId="77777777" w:rsidR="005A2454" w:rsidRPr="00424943" w:rsidRDefault="005A2454" w:rsidP="00F80B54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color w:val="000000"/>
        </w:rPr>
      </w:pPr>
    </w:p>
    <w:tbl>
      <w:tblPr>
        <w:tblStyle w:val="ab"/>
        <w:tblW w:w="901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509"/>
        <w:gridCol w:w="4510"/>
      </w:tblGrid>
      <w:tr w:rsidR="005A2454" w:rsidRPr="00424943" w14:paraId="62C2CE39" w14:textId="77777777">
        <w:tc>
          <w:tcPr>
            <w:tcW w:w="4509" w:type="dxa"/>
          </w:tcPr>
          <w:p w14:paraId="09743CCA" w14:textId="07B199DB" w:rsidR="005A2454" w:rsidRPr="00424943" w:rsidRDefault="00000000" w:rsidP="00F80B54">
            <w:pPr>
              <w:spacing w:line="360" w:lineRule="auto"/>
              <w:ind w:firstLine="567"/>
              <w:rPr>
                <w:b/>
                <w:bCs/>
              </w:rPr>
            </w:pPr>
            <w:r w:rsidRPr="00424943">
              <w:rPr>
                <w:b/>
                <w:bCs/>
              </w:rPr>
              <w:t>Profesor:</w:t>
            </w:r>
          </w:p>
          <w:p w14:paraId="4C8F8870" w14:textId="147FC088" w:rsidR="005A2454" w:rsidRPr="00424943" w:rsidRDefault="00F677FA" w:rsidP="00F80B54">
            <w:pPr>
              <w:spacing w:line="360" w:lineRule="auto"/>
              <w:ind w:firstLine="567"/>
            </w:pPr>
            <w:proofErr w:type="spellStart"/>
            <w:r w:rsidRPr="00424943">
              <w:t>Dedaniel</w:t>
            </w:r>
            <w:proofErr w:type="spellEnd"/>
            <w:r w:rsidRPr="00424943">
              <w:t xml:space="preserve"> Urribarri</w:t>
            </w:r>
          </w:p>
        </w:tc>
        <w:tc>
          <w:tcPr>
            <w:tcW w:w="4510" w:type="dxa"/>
          </w:tcPr>
          <w:p w14:paraId="397209C7" w14:textId="77777777" w:rsidR="005A2454" w:rsidRPr="00424943" w:rsidRDefault="00000000" w:rsidP="00F80B54">
            <w:pPr>
              <w:spacing w:line="360" w:lineRule="auto"/>
              <w:ind w:firstLine="567"/>
              <w:jc w:val="right"/>
              <w:rPr>
                <w:b/>
                <w:bCs/>
              </w:rPr>
            </w:pPr>
            <w:r w:rsidRPr="00424943">
              <w:rPr>
                <w:b/>
                <w:bCs/>
              </w:rPr>
              <w:t>Elaborado por:</w:t>
            </w:r>
          </w:p>
          <w:p w14:paraId="6DEAC635" w14:textId="66376FD4" w:rsidR="00F677FA" w:rsidRPr="00424943" w:rsidRDefault="00000000" w:rsidP="00F80B54">
            <w:pPr>
              <w:spacing w:line="360" w:lineRule="auto"/>
              <w:ind w:firstLine="567"/>
              <w:jc w:val="right"/>
            </w:pPr>
            <w:r w:rsidRPr="00424943">
              <w:t>Luisdavid Colina V24766381</w:t>
            </w:r>
          </w:p>
        </w:tc>
      </w:tr>
    </w:tbl>
    <w:p w14:paraId="4B029B9A" w14:textId="77777777" w:rsidR="00F677FA" w:rsidRPr="00424943" w:rsidRDefault="00F677FA" w:rsidP="00F80B54">
      <w:pPr>
        <w:pStyle w:val="Ttulo1"/>
        <w:widowControl w:val="0"/>
        <w:spacing w:before="370" w:after="0"/>
        <w:ind w:firstLine="567"/>
        <w:jc w:val="center"/>
        <w:rPr>
          <w:sz w:val="22"/>
          <w:szCs w:val="22"/>
        </w:rPr>
      </w:pPr>
    </w:p>
    <w:p w14:paraId="54C1132A" w14:textId="77777777" w:rsidR="00F677FA" w:rsidRPr="00424943" w:rsidRDefault="00F677FA" w:rsidP="00F80B54">
      <w:pPr>
        <w:ind w:firstLine="567"/>
      </w:pPr>
    </w:p>
    <w:p w14:paraId="0DBCFA43" w14:textId="77777777" w:rsidR="00F677FA" w:rsidRPr="00424943" w:rsidRDefault="00F677FA" w:rsidP="00F80B54">
      <w:pPr>
        <w:ind w:firstLine="567"/>
      </w:pPr>
    </w:p>
    <w:p w14:paraId="2A09CD16" w14:textId="77777777" w:rsidR="00F677FA" w:rsidRPr="00424943" w:rsidRDefault="00F677FA" w:rsidP="00F80B54">
      <w:pPr>
        <w:ind w:firstLine="567"/>
      </w:pPr>
    </w:p>
    <w:p w14:paraId="16D2C473" w14:textId="3F690CFC" w:rsidR="00424943" w:rsidRPr="00424943" w:rsidRDefault="00F677FA" w:rsidP="00F80B54">
      <w:pPr>
        <w:pStyle w:val="Ttulo1"/>
        <w:widowControl w:val="0"/>
        <w:spacing w:before="370" w:after="0"/>
        <w:ind w:firstLine="567"/>
        <w:jc w:val="center"/>
        <w:rPr>
          <w:b/>
          <w:bCs/>
          <w:color w:val="auto"/>
          <w:sz w:val="22"/>
          <w:szCs w:val="22"/>
        </w:rPr>
      </w:pPr>
      <w:r w:rsidRPr="00424943">
        <w:rPr>
          <w:b/>
          <w:bCs/>
          <w:color w:val="auto"/>
          <w:sz w:val="22"/>
          <w:szCs w:val="22"/>
        </w:rPr>
        <w:t xml:space="preserve">Fecha de solicitud: </w:t>
      </w:r>
      <w:r w:rsidR="00453B3D" w:rsidRPr="00424943">
        <w:rPr>
          <w:b/>
          <w:bCs/>
          <w:color w:val="auto"/>
          <w:sz w:val="22"/>
          <w:szCs w:val="22"/>
        </w:rPr>
        <w:t>0</w:t>
      </w:r>
      <w:r w:rsidR="00453B3D">
        <w:rPr>
          <w:b/>
          <w:bCs/>
          <w:color w:val="auto"/>
          <w:sz w:val="22"/>
          <w:szCs w:val="22"/>
        </w:rPr>
        <w:t>7</w:t>
      </w:r>
      <w:r w:rsidR="00453B3D" w:rsidRPr="00424943">
        <w:rPr>
          <w:b/>
          <w:bCs/>
          <w:color w:val="auto"/>
          <w:sz w:val="22"/>
          <w:szCs w:val="22"/>
        </w:rPr>
        <w:t xml:space="preserve"> de mayo </w:t>
      </w:r>
      <w:r w:rsidRPr="00424943">
        <w:rPr>
          <w:b/>
          <w:bCs/>
          <w:color w:val="auto"/>
          <w:sz w:val="22"/>
          <w:szCs w:val="22"/>
        </w:rPr>
        <w:t>del 2026</w:t>
      </w:r>
    </w:p>
    <w:p w14:paraId="57E05D45" w14:textId="1EB76738" w:rsidR="00F677FA" w:rsidRPr="00424943" w:rsidRDefault="00F677FA" w:rsidP="00F80B54">
      <w:pPr>
        <w:pStyle w:val="Ttulo1"/>
        <w:widowControl w:val="0"/>
        <w:spacing w:before="370" w:after="0"/>
        <w:ind w:firstLine="567"/>
        <w:jc w:val="center"/>
        <w:rPr>
          <w:b/>
          <w:bCs/>
          <w:color w:val="auto"/>
          <w:sz w:val="22"/>
          <w:szCs w:val="22"/>
        </w:rPr>
      </w:pPr>
      <w:r w:rsidRPr="00424943">
        <w:rPr>
          <w:b/>
          <w:bCs/>
          <w:color w:val="auto"/>
          <w:sz w:val="22"/>
          <w:szCs w:val="22"/>
        </w:rPr>
        <w:t xml:space="preserve">Fecha de Entrega: </w:t>
      </w:r>
      <w:r w:rsidR="00453B3D">
        <w:rPr>
          <w:b/>
          <w:bCs/>
          <w:color w:val="auto"/>
          <w:sz w:val="22"/>
          <w:szCs w:val="22"/>
        </w:rPr>
        <w:t>13</w:t>
      </w:r>
      <w:r w:rsidRPr="00424943">
        <w:rPr>
          <w:b/>
          <w:bCs/>
          <w:color w:val="auto"/>
          <w:sz w:val="22"/>
          <w:szCs w:val="22"/>
        </w:rPr>
        <w:t xml:space="preserve"> de</w:t>
      </w:r>
      <w:r w:rsidR="00424943" w:rsidRPr="00424943">
        <w:rPr>
          <w:b/>
          <w:bCs/>
          <w:color w:val="auto"/>
          <w:sz w:val="22"/>
          <w:szCs w:val="22"/>
        </w:rPr>
        <w:t xml:space="preserve"> mayo 2026</w:t>
      </w:r>
    </w:p>
    <w:p w14:paraId="73D46BAD" w14:textId="77777777" w:rsidR="00F677FA" w:rsidRPr="00424943" w:rsidRDefault="00F677FA" w:rsidP="00F80B54">
      <w:pPr>
        <w:ind w:firstLine="567"/>
      </w:pPr>
      <w:bookmarkStart w:id="0" w:name="_heading=h.d7yiu2ey8pf0" w:colFirst="0" w:colLast="0"/>
      <w:bookmarkEnd w:id="0"/>
    </w:p>
    <w:p w14:paraId="2DF48A0E" w14:textId="721574B2" w:rsidR="005A2454" w:rsidRPr="00424943" w:rsidRDefault="00526F5C" w:rsidP="00F80B54">
      <w:pPr>
        <w:pStyle w:val="Ttulo1"/>
        <w:ind w:firstLine="567"/>
        <w:rPr>
          <w:b/>
          <w:bCs/>
        </w:rPr>
      </w:pPr>
      <w:r>
        <w:rPr>
          <w:b/>
          <w:bCs/>
        </w:rPr>
        <w:lastRenderedPageBreak/>
        <w:t>Conceptos a Investigar</w:t>
      </w:r>
    </w:p>
    <w:p w14:paraId="196100D9" w14:textId="091BB8A3" w:rsidR="005A2454" w:rsidRPr="00424943" w:rsidRDefault="005A2454" w:rsidP="00F80B54">
      <w:pPr>
        <w:ind w:firstLine="567"/>
        <w:jc w:val="both"/>
        <w:rPr>
          <w:b/>
          <w:bCs/>
        </w:rPr>
      </w:pPr>
    </w:p>
    <w:p w14:paraId="62916B36" w14:textId="77777777" w:rsidR="00453B3D" w:rsidRDefault="00453B3D" w:rsidP="00F80B54">
      <w:pPr>
        <w:ind w:firstLine="567"/>
        <w:jc w:val="both"/>
        <w:rPr>
          <w:b/>
          <w:bCs/>
          <w:sz w:val="28"/>
          <w:szCs w:val="28"/>
        </w:rPr>
      </w:pPr>
      <w:r w:rsidRPr="00453B3D">
        <w:rPr>
          <w:b/>
          <w:bCs/>
          <w:sz w:val="28"/>
          <w:szCs w:val="28"/>
        </w:rPr>
        <w:t>Computación Cuántica y Mecanismos de Cifrado</w:t>
      </w:r>
      <w:r w:rsidRPr="00453B3D">
        <w:rPr>
          <w:b/>
          <w:bCs/>
          <w:sz w:val="28"/>
          <w:szCs w:val="28"/>
        </w:rPr>
        <w:t xml:space="preserve"> </w:t>
      </w:r>
    </w:p>
    <w:p w14:paraId="34634A7D" w14:textId="395540CA" w:rsidR="00453B3D" w:rsidRDefault="00453B3D" w:rsidP="00453B3D">
      <w:pPr>
        <w:ind w:firstLine="567"/>
        <w:jc w:val="both"/>
      </w:pPr>
      <w:r>
        <w:t>La computación cuántica utiliza principios de la mecánica cuántica, como la superposición y el entrelazamiento, para procesar información a velocidades exponencialmente superiores a las computadoras clásicas en tareas específicas. En el ámbito de la seguridad, esto representa un riesgo crítico para los sistemas de Criptografía de Clave Pública (RSA, Diffie-Hellman), que podrían ser vulnerados mediante el Algoritmo de Shor [1].</w:t>
      </w:r>
    </w:p>
    <w:p w14:paraId="13AE6936" w14:textId="77777777" w:rsidR="00453B3D" w:rsidRDefault="00453B3D" w:rsidP="00453B3D">
      <w:pPr>
        <w:ind w:firstLine="567"/>
        <w:jc w:val="both"/>
        <w:rPr>
          <w:b/>
          <w:bCs/>
          <w:sz w:val="28"/>
          <w:szCs w:val="28"/>
        </w:rPr>
      </w:pPr>
      <w:r>
        <w:t>Como contrapartida, se están implementando mecanismos de Criptografía Post-Cuántica (PQC), diseñados para ser seguros frente a ataques de ordenadores cuánticos y clásicos. Estos se basan en problemas matemáticos complejos (como redes o retículos) que no pueden ser resueltos eficientemente por la computación cuántica [1].</w:t>
      </w:r>
      <w:r w:rsidRPr="00F80B54">
        <w:rPr>
          <w:b/>
          <w:bCs/>
          <w:sz w:val="28"/>
          <w:szCs w:val="28"/>
        </w:rPr>
        <w:t xml:space="preserve"> </w:t>
      </w:r>
    </w:p>
    <w:p w14:paraId="7E32D3FD" w14:textId="77777777" w:rsidR="00453B3D" w:rsidRDefault="00453B3D" w:rsidP="00F80B54">
      <w:pPr>
        <w:ind w:firstLine="567"/>
        <w:jc w:val="both"/>
        <w:rPr>
          <w:b/>
          <w:bCs/>
          <w:sz w:val="28"/>
          <w:szCs w:val="28"/>
        </w:rPr>
      </w:pPr>
      <w:r w:rsidRPr="00453B3D">
        <w:rPr>
          <w:b/>
          <w:bCs/>
          <w:sz w:val="28"/>
          <w:szCs w:val="28"/>
        </w:rPr>
        <w:t>Estándar X.509</w:t>
      </w:r>
      <w:r w:rsidRPr="00453B3D">
        <w:rPr>
          <w:b/>
          <w:bCs/>
          <w:sz w:val="28"/>
          <w:szCs w:val="28"/>
        </w:rPr>
        <w:t xml:space="preserve"> </w:t>
      </w:r>
    </w:p>
    <w:p w14:paraId="69C22AC9" w14:textId="77777777" w:rsidR="00453B3D" w:rsidRDefault="00453B3D" w:rsidP="00F80B54">
      <w:pPr>
        <w:ind w:firstLine="567"/>
        <w:jc w:val="both"/>
      </w:pPr>
      <w:r w:rsidRPr="00453B3D">
        <w:t>El estándar X.509 define el formato estandarizado para los Certificados de Clave Pública dentro de una Infraestructura de Clave Pública (PKI) [2]. Un certificado X.509 actúa como una credencial digital que vincula una identidad (persona o entidad) con una clave pública, asegurada mediante la firma de una Autoridad de Certificación (CA). Es la tecnología base que permite la autenticación y el cifrado en protocolos fundamentales como TLS/SSL (HTTPS).</w:t>
      </w:r>
      <w:r w:rsidRPr="00453B3D">
        <w:t xml:space="preserve"> </w:t>
      </w:r>
    </w:p>
    <w:p w14:paraId="5E448BFC" w14:textId="77777777" w:rsidR="00453B3D" w:rsidRDefault="00453B3D" w:rsidP="00453B3D">
      <w:pPr>
        <w:ind w:firstLine="567"/>
        <w:jc w:val="both"/>
        <w:rPr>
          <w:b/>
          <w:bCs/>
          <w:sz w:val="28"/>
          <w:szCs w:val="28"/>
        </w:rPr>
      </w:pPr>
      <w:r w:rsidRPr="00453B3D">
        <w:rPr>
          <w:b/>
          <w:bCs/>
          <w:sz w:val="28"/>
          <w:szCs w:val="28"/>
        </w:rPr>
        <w:t>Phishing (Ingeniería Social)</w:t>
      </w:r>
    </w:p>
    <w:p w14:paraId="7A3502E4" w14:textId="7FD9B6BE" w:rsidR="00526F5C" w:rsidRDefault="00453B3D" w:rsidP="00453B3D">
      <w:pPr>
        <w:ind w:firstLine="567"/>
        <w:jc w:val="both"/>
      </w:pPr>
      <w:r w:rsidRPr="00453B3D">
        <w:t>El Phishing es una metodología de ataque basada en la ingeniería social donde el atacante suplanta una identidad legítima para obtener información sensible (credenciales, datos bancarios) [3]. A diferencia de los ataques técnicos, el phishing busca engañar al factor humano mediante el sentido de urgencia o el miedo. Sus variantes incluyen el Spear Phishing (ataque dirigido) y el Whaling (dirigido a altos ejecutivos).</w:t>
      </w:r>
    </w:p>
    <w:p w14:paraId="1DD6AD05" w14:textId="77777777" w:rsidR="00453B3D" w:rsidRDefault="00453B3D" w:rsidP="00453B3D">
      <w:pPr>
        <w:ind w:firstLine="567"/>
        <w:jc w:val="both"/>
        <w:rPr>
          <w:b/>
          <w:bCs/>
          <w:sz w:val="28"/>
          <w:szCs w:val="28"/>
        </w:rPr>
      </w:pPr>
      <w:r w:rsidRPr="00453B3D">
        <w:rPr>
          <w:b/>
          <w:bCs/>
          <w:sz w:val="28"/>
          <w:szCs w:val="28"/>
        </w:rPr>
        <w:t xml:space="preserve">Service Level </w:t>
      </w:r>
      <w:proofErr w:type="spellStart"/>
      <w:r w:rsidRPr="00453B3D">
        <w:rPr>
          <w:b/>
          <w:bCs/>
          <w:sz w:val="28"/>
          <w:szCs w:val="28"/>
        </w:rPr>
        <w:t>Agreement</w:t>
      </w:r>
      <w:proofErr w:type="spellEnd"/>
      <w:r w:rsidRPr="00453B3D">
        <w:rPr>
          <w:b/>
          <w:bCs/>
          <w:sz w:val="28"/>
          <w:szCs w:val="28"/>
        </w:rPr>
        <w:t xml:space="preserve"> (SLA)</w:t>
      </w:r>
    </w:p>
    <w:p w14:paraId="1D6A78B2" w14:textId="77777777" w:rsidR="00453B3D" w:rsidRDefault="00453B3D" w:rsidP="00453B3D">
      <w:pPr>
        <w:ind w:firstLine="567"/>
        <w:jc w:val="both"/>
      </w:pPr>
      <w:r w:rsidRPr="00453B3D">
        <w:t>El SLA o Acuerdo de Nivel de Servicio es un documento contractual que especifica los niveles de servicio esperados entre un proveedor y un cliente [4]. En seguridad, los SLA son fundamentales para definir tiempos de respuesta ante incidentes (</w:t>
      </w:r>
      <w:proofErr w:type="spellStart"/>
      <w:r w:rsidRPr="00453B3D">
        <w:t>Incident</w:t>
      </w:r>
      <w:proofErr w:type="spellEnd"/>
      <w:r w:rsidRPr="00453B3D">
        <w:t xml:space="preserve"> Response Time), disponibilidad del sistema (</w:t>
      </w:r>
      <w:proofErr w:type="spellStart"/>
      <w:r w:rsidRPr="00453B3D">
        <w:t>Uptime</w:t>
      </w:r>
      <w:proofErr w:type="spellEnd"/>
      <w:r w:rsidRPr="00453B3D">
        <w:t>) y responsabilidades en caso de brechas de datos, garantizando la transparencia operativa y la gestión de riesgos.</w:t>
      </w:r>
    </w:p>
    <w:p w14:paraId="51FDCFA0" w14:textId="77777777" w:rsidR="006D087D" w:rsidRDefault="006D087D" w:rsidP="00453B3D">
      <w:pPr>
        <w:ind w:firstLine="567"/>
        <w:jc w:val="both"/>
        <w:rPr>
          <w:b/>
          <w:bCs/>
          <w:sz w:val="28"/>
          <w:szCs w:val="28"/>
        </w:rPr>
      </w:pPr>
      <w:r w:rsidRPr="006D087D">
        <w:rPr>
          <w:b/>
          <w:bCs/>
          <w:sz w:val="28"/>
          <w:szCs w:val="28"/>
        </w:rPr>
        <w:lastRenderedPageBreak/>
        <w:t>Metodologías de Pruebas: Caja Negra, Blanca y Gris</w:t>
      </w:r>
    </w:p>
    <w:p w14:paraId="789A4A4E" w14:textId="77777777" w:rsidR="006D087D" w:rsidRDefault="006D087D" w:rsidP="006D087D">
      <w:pPr>
        <w:ind w:firstLine="567"/>
        <w:jc w:val="both"/>
      </w:pPr>
      <w:r w:rsidRPr="006D087D">
        <w:t>En el ámbito de la auditoría de seguridad, el "color" de la caja define la transparencia del objetivo para el auditor:</w:t>
      </w:r>
    </w:p>
    <w:p w14:paraId="41FF3EB2" w14:textId="52219276" w:rsidR="006D087D" w:rsidRPr="006D087D" w:rsidRDefault="006D087D" w:rsidP="006D087D">
      <w:pPr>
        <w:ind w:firstLine="567"/>
        <w:jc w:val="both"/>
      </w:pPr>
      <w:r w:rsidRPr="006D087D">
        <w:rPr>
          <w:b/>
          <w:bCs/>
        </w:rPr>
        <w:t>Caja Negra (Black Box):</w:t>
      </w:r>
      <w:r w:rsidRPr="006D087D">
        <w:t xml:space="preserve"> El auditor no posee información previa. Simula la perspectiva de un atacante externo sin privilegios [5].</w:t>
      </w:r>
    </w:p>
    <w:p w14:paraId="57B08383" w14:textId="1F555714" w:rsidR="006D087D" w:rsidRPr="006D087D" w:rsidRDefault="006D087D" w:rsidP="006D087D">
      <w:pPr>
        <w:ind w:firstLine="567"/>
        <w:jc w:val="both"/>
      </w:pPr>
      <w:r w:rsidRPr="006D087D">
        <w:rPr>
          <w:b/>
          <w:bCs/>
        </w:rPr>
        <w:t>Caja Blanca (White Box):</w:t>
      </w:r>
      <w:r w:rsidRPr="006D087D">
        <w:t xml:space="preserve"> El auditor tiene acceso total al código fuente y arquitectura. Es ideal para auditorías internas exhaustivas [5].</w:t>
      </w:r>
    </w:p>
    <w:p w14:paraId="200C311B" w14:textId="29B2211E" w:rsidR="00453B3D" w:rsidRDefault="006D087D" w:rsidP="006D087D">
      <w:pPr>
        <w:ind w:firstLine="567"/>
        <w:jc w:val="both"/>
      </w:pPr>
      <w:r w:rsidRPr="006D087D">
        <w:rPr>
          <w:b/>
          <w:bCs/>
        </w:rPr>
        <w:t>Caja Gris (Grey Box):</w:t>
      </w:r>
      <w:r w:rsidRPr="006D087D">
        <w:t xml:space="preserve"> Se otorga información parcial (como credenciales de usuario básico). Simula el riesgo de un atacante que ya ha penetrado el perímetro o un empleado con malas intenciones [5].</w:t>
      </w:r>
    </w:p>
    <w:p w14:paraId="159A0435" w14:textId="77777777" w:rsidR="006D087D" w:rsidRDefault="006D087D" w:rsidP="006D087D">
      <w:pPr>
        <w:ind w:firstLine="567"/>
        <w:jc w:val="both"/>
      </w:pPr>
    </w:p>
    <w:p w14:paraId="2B14F642" w14:textId="77777777" w:rsidR="006D087D" w:rsidRDefault="006D087D" w:rsidP="006D087D">
      <w:pPr>
        <w:ind w:firstLine="567"/>
        <w:jc w:val="both"/>
      </w:pPr>
    </w:p>
    <w:p w14:paraId="292E36FF" w14:textId="77777777" w:rsidR="006D087D" w:rsidRDefault="006D087D" w:rsidP="006D087D">
      <w:pPr>
        <w:ind w:firstLine="567"/>
        <w:jc w:val="both"/>
      </w:pPr>
    </w:p>
    <w:p w14:paraId="4C2167CA" w14:textId="77777777" w:rsidR="006D087D" w:rsidRDefault="006D087D" w:rsidP="006D087D">
      <w:pPr>
        <w:ind w:firstLine="567"/>
        <w:jc w:val="both"/>
      </w:pPr>
    </w:p>
    <w:p w14:paraId="273A0E6B" w14:textId="77777777" w:rsidR="006D087D" w:rsidRDefault="006D087D" w:rsidP="006D087D">
      <w:pPr>
        <w:ind w:firstLine="567"/>
        <w:jc w:val="both"/>
      </w:pPr>
    </w:p>
    <w:p w14:paraId="55239D92" w14:textId="77777777" w:rsidR="006D087D" w:rsidRDefault="006D087D" w:rsidP="006D087D">
      <w:pPr>
        <w:ind w:firstLine="567"/>
        <w:jc w:val="both"/>
      </w:pPr>
    </w:p>
    <w:p w14:paraId="655E5F60" w14:textId="77777777" w:rsidR="006D087D" w:rsidRDefault="006D087D" w:rsidP="006D087D">
      <w:pPr>
        <w:ind w:firstLine="567"/>
        <w:jc w:val="both"/>
      </w:pPr>
    </w:p>
    <w:p w14:paraId="23EE589E" w14:textId="77777777" w:rsidR="006D087D" w:rsidRDefault="006D087D" w:rsidP="006D087D">
      <w:pPr>
        <w:ind w:firstLine="567"/>
        <w:jc w:val="both"/>
      </w:pPr>
    </w:p>
    <w:p w14:paraId="37EA9F8F" w14:textId="77777777" w:rsidR="006D087D" w:rsidRDefault="006D087D" w:rsidP="006D087D">
      <w:pPr>
        <w:ind w:firstLine="567"/>
        <w:jc w:val="both"/>
      </w:pPr>
    </w:p>
    <w:p w14:paraId="4A50153F" w14:textId="77777777" w:rsidR="006D087D" w:rsidRDefault="006D087D" w:rsidP="006D087D">
      <w:pPr>
        <w:ind w:firstLine="567"/>
        <w:jc w:val="both"/>
      </w:pPr>
    </w:p>
    <w:p w14:paraId="66F4F557" w14:textId="77777777" w:rsidR="006D087D" w:rsidRDefault="006D087D" w:rsidP="006D087D">
      <w:pPr>
        <w:ind w:firstLine="567"/>
        <w:jc w:val="both"/>
      </w:pPr>
    </w:p>
    <w:p w14:paraId="49271026" w14:textId="77777777" w:rsidR="006D087D" w:rsidRDefault="006D087D" w:rsidP="006D087D">
      <w:pPr>
        <w:ind w:firstLine="567"/>
        <w:jc w:val="both"/>
      </w:pPr>
    </w:p>
    <w:p w14:paraId="7F5A5B39" w14:textId="77777777" w:rsidR="006D087D" w:rsidRDefault="006D087D" w:rsidP="006D087D">
      <w:pPr>
        <w:ind w:firstLine="567"/>
        <w:jc w:val="both"/>
      </w:pPr>
    </w:p>
    <w:p w14:paraId="3E48BE40" w14:textId="77777777" w:rsidR="006D087D" w:rsidRPr="006D087D" w:rsidRDefault="006D087D" w:rsidP="006D087D">
      <w:pPr>
        <w:ind w:firstLine="567"/>
        <w:jc w:val="both"/>
      </w:pPr>
    </w:p>
    <w:p w14:paraId="526FC1C4" w14:textId="165E9F83" w:rsidR="00F80B54" w:rsidRPr="00424943" w:rsidRDefault="00F80B54" w:rsidP="00F80B54">
      <w:pPr>
        <w:pStyle w:val="Ttulo1"/>
        <w:ind w:firstLine="567"/>
        <w:rPr>
          <w:b/>
          <w:bCs/>
        </w:rPr>
      </w:pPr>
      <w:r>
        <w:rPr>
          <w:b/>
          <w:bCs/>
        </w:rPr>
        <w:lastRenderedPageBreak/>
        <w:t>Conclusiones</w:t>
      </w:r>
    </w:p>
    <w:p w14:paraId="7FDDEAF5" w14:textId="77777777" w:rsidR="00F80B54" w:rsidRDefault="00F80B54" w:rsidP="00F80B54">
      <w:pPr>
        <w:ind w:firstLine="567"/>
        <w:jc w:val="both"/>
      </w:pPr>
    </w:p>
    <w:p w14:paraId="2BAD678F" w14:textId="42A3BBBE" w:rsidR="006D087D" w:rsidRDefault="006D087D" w:rsidP="006D087D">
      <w:pPr>
        <w:ind w:firstLine="567"/>
        <w:jc w:val="both"/>
      </w:pPr>
      <w:r>
        <w:t>E</w:t>
      </w:r>
      <w:r>
        <w:t>n</w:t>
      </w:r>
      <w:r>
        <w:t xml:space="preserve"> análisis de los conceptos </w:t>
      </w:r>
      <w:r>
        <w:t>indicados</w:t>
      </w:r>
      <w:r>
        <w:t xml:space="preserve"> permite establecer una distinción clara entre la infraestructura técnica, la gestión operativa y las metodologías de evaluación en seguridad informática. Se concluye que:</w:t>
      </w:r>
    </w:p>
    <w:p w14:paraId="33D8BDE5" w14:textId="5227E1E8" w:rsidR="006D087D" w:rsidRPr="006D087D" w:rsidRDefault="006D087D" w:rsidP="006D087D">
      <w:pPr>
        <w:pStyle w:val="Prrafodelista"/>
        <w:numPr>
          <w:ilvl w:val="0"/>
          <w:numId w:val="4"/>
        </w:numPr>
        <w:ind w:left="142" w:firstLine="284"/>
        <w:jc w:val="both"/>
        <w:rPr>
          <w:lang w:val="es-419"/>
        </w:rPr>
      </w:pPr>
      <w:r w:rsidRPr="006D087D">
        <w:rPr>
          <w:lang w:val="es-419"/>
        </w:rPr>
        <w:t>La Computación Cuántica y el estándar X.509 representan los pilares de la criptografía moderna</w:t>
      </w:r>
      <w:r>
        <w:rPr>
          <w:lang w:val="es-419"/>
        </w:rPr>
        <w:t>,</w:t>
      </w:r>
      <w:r w:rsidRPr="006D087D">
        <w:rPr>
          <w:lang w:val="es-419"/>
        </w:rPr>
        <w:t xml:space="preserve"> el primero como el desafío de seguridad emergente y el segundo como el marco actual para la validación de identidades digitales.</w:t>
      </w:r>
    </w:p>
    <w:p w14:paraId="36F4AC54" w14:textId="33FD71D3" w:rsidR="006D087D" w:rsidRPr="006D087D" w:rsidRDefault="006D087D" w:rsidP="006D087D">
      <w:pPr>
        <w:pStyle w:val="Prrafodelista"/>
        <w:numPr>
          <w:ilvl w:val="0"/>
          <w:numId w:val="4"/>
        </w:numPr>
        <w:ind w:left="142" w:firstLine="284"/>
        <w:jc w:val="both"/>
        <w:rPr>
          <w:lang w:val="es-419"/>
        </w:rPr>
      </w:pPr>
      <w:r w:rsidRPr="006D087D">
        <w:rPr>
          <w:lang w:val="es-419"/>
        </w:rPr>
        <w:t>El Phishing demuestra que la seguridad no depende únicamente de algoritmos robustos, sino de la gestión del factor humano, siendo una de las amenazas más persistentes mediante ingeniería social.</w:t>
      </w:r>
    </w:p>
    <w:p w14:paraId="57A789E0" w14:textId="60A4A5E5" w:rsidR="006D087D" w:rsidRPr="006D087D" w:rsidRDefault="006D087D" w:rsidP="006D087D">
      <w:pPr>
        <w:pStyle w:val="Prrafodelista"/>
        <w:numPr>
          <w:ilvl w:val="0"/>
          <w:numId w:val="4"/>
        </w:numPr>
        <w:ind w:left="142" w:firstLine="284"/>
        <w:jc w:val="both"/>
        <w:rPr>
          <w:lang w:val="es-419"/>
        </w:rPr>
      </w:pPr>
      <w:r w:rsidRPr="006D087D">
        <w:rPr>
          <w:lang w:val="es-419"/>
        </w:rPr>
        <w:t>El SLA actúa como el mecanismo de gobernanza que formaliza las expectativas de disponibilidad y respuesta, vinculando la parte técnica con la responsabilidad contractual.</w:t>
      </w:r>
    </w:p>
    <w:p w14:paraId="2E2907DF" w14:textId="51613B87" w:rsidR="006D087D" w:rsidRPr="006D087D" w:rsidRDefault="006D087D" w:rsidP="006D087D">
      <w:pPr>
        <w:pStyle w:val="Prrafodelista"/>
        <w:numPr>
          <w:ilvl w:val="0"/>
          <w:numId w:val="4"/>
        </w:numPr>
        <w:ind w:left="142" w:firstLine="284"/>
        <w:jc w:val="both"/>
        <w:rPr>
          <w:lang w:val="es-419"/>
        </w:rPr>
      </w:pPr>
      <w:r w:rsidRPr="006D087D">
        <w:rPr>
          <w:lang w:val="es-419"/>
        </w:rPr>
        <w:t>Finalmente, las metodologías de Caja Blanca, Gris y Negra proporcionan un enfoque estructurado para auditar sistemas desde diferentes niveles de visibilidad, permitiendo una evaluación integral de la superficie de ataque de una organización.</w:t>
      </w:r>
    </w:p>
    <w:p w14:paraId="1AC62C40" w14:textId="77777777" w:rsidR="006D087D" w:rsidRDefault="006D087D" w:rsidP="00F80B54">
      <w:pPr>
        <w:ind w:firstLine="567"/>
        <w:jc w:val="both"/>
      </w:pPr>
    </w:p>
    <w:p w14:paraId="693B2046" w14:textId="77777777" w:rsidR="006D087D" w:rsidRDefault="006D087D" w:rsidP="00F80B54">
      <w:pPr>
        <w:ind w:firstLine="567"/>
        <w:jc w:val="both"/>
      </w:pPr>
    </w:p>
    <w:p w14:paraId="14676B9D" w14:textId="77777777" w:rsidR="006D087D" w:rsidRDefault="006D087D" w:rsidP="00F80B54">
      <w:pPr>
        <w:ind w:firstLine="567"/>
        <w:jc w:val="both"/>
      </w:pPr>
    </w:p>
    <w:p w14:paraId="607D6C11" w14:textId="77777777" w:rsidR="006D087D" w:rsidRDefault="006D087D" w:rsidP="00F80B54">
      <w:pPr>
        <w:ind w:firstLine="567"/>
        <w:jc w:val="both"/>
      </w:pPr>
    </w:p>
    <w:p w14:paraId="2AE4E3C3" w14:textId="77777777" w:rsidR="006D087D" w:rsidRDefault="006D087D" w:rsidP="00F80B54">
      <w:pPr>
        <w:ind w:firstLine="567"/>
        <w:jc w:val="both"/>
      </w:pPr>
    </w:p>
    <w:p w14:paraId="3A3B59FE" w14:textId="77777777" w:rsidR="006D087D" w:rsidRDefault="006D087D" w:rsidP="00F80B54">
      <w:pPr>
        <w:ind w:firstLine="567"/>
        <w:jc w:val="both"/>
      </w:pPr>
    </w:p>
    <w:p w14:paraId="7B4F5091" w14:textId="77777777" w:rsidR="006D087D" w:rsidRDefault="006D087D" w:rsidP="00F80B54">
      <w:pPr>
        <w:ind w:firstLine="567"/>
        <w:jc w:val="both"/>
      </w:pPr>
    </w:p>
    <w:p w14:paraId="2C7BF9F9" w14:textId="77777777" w:rsidR="006D087D" w:rsidRDefault="006D087D" w:rsidP="00F80B54">
      <w:pPr>
        <w:ind w:firstLine="567"/>
        <w:jc w:val="both"/>
      </w:pPr>
    </w:p>
    <w:p w14:paraId="25214D2D" w14:textId="77777777" w:rsidR="006D087D" w:rsidRDefault="006D087D" w:rsidP="00F80B54">
      <w:pPr>
        <w:ind w:firstLine="567"/>
        <w:jc w:val="both"/>
      </w:pPr>
    </w:p>
    <w:p w14:paraId="09509528" w14:textId="77777777" w:rsidR="006D087D" w:rsidRDefault="006D087D" w:rsidP="00F80B54">
      <w:pPr>
        <w:ind w:firstLine="567"/>
        <w:jc w:val="both"/>
      </w:pPr>
    </w:p>
    <w:p w14:paraId="318F59A2" w14:textId="77777777" w:rsidR="006D087D" w:rsidRPr="00424943" w:rsidRDefault="006D087D" w:rsidP="00F80B54">
      <w:pPr>
        <w:ind w:firstLine="567"/>
        <w:jc w:val="both"/>
      </w:pPr>
    </w:p>
    <w:p w14:paraId="17B88904" w14:textId="77777777" w:rsidR="005A2454" w:rsidRPr="00453B3D" w:rsidRDefault="00000000" w:rsidP="00F80B54">
      <w:pPr>
        <w:pStyle w:val="Ttulo1"/>
        <w:ind w:firstLine="567"/>
        <w:rPr>
          <w:b/>
          <w:bCs/>
          <w:lang w:val="en-US"/>
        </w:rPr>
      </w:pPr>
      <w:proofErr w:type="spellStart"/>
      <w:r w:rsidRPr="00453B3D">
        <w:rPr>
          <w:b/>
          <w:bCs/>
          <w:lang w:val="en-US"/>
        </w:rPr>
        <w:lastRenderedPageBreak/>
        <w:t>Referencias</w:t>
      </w:r>
      <w:proofErr w:type="spellEnd"/>
    </w:p>
    <w:p w14:paraId="7EC4A9D5" w14:textId="76EE6594" w:rsidR="00F80B54" w:rsidRPr="00453B3D" w:rsidRDefault="00F80B54" w:rsidP="00F80B54">
      <w:pPr>
        <w:ind w:firstLine="567"/>
        <w:rPr>
          <w:lang w:val="en-US"/>
        </w:rPr>
      </w:pPr>
    </w:p>
    <w:p w14:paraId="1C1039A3" w14:textId="77777777" w:rsidR="006D087D" w:rsidRPr="006D087D" w:rsidRDefault="006D087D" w:rsidP="006D087D">
      <w:pPr>
        <w:spacing w:after="140"/>
        <w:ind w:firstLine="567"/>
        <w:jc w:val="both"/>
        <w:rPr>
          <w:lang w:val="en-US"/>
        </w:rPr>
      </w:pPr>
      <w:r w:rsidRPr="006D087D">
        <w:rPr>
          <w:lang w:val="en-US"/>
        </w:rPr>
        <w:t>[1] National Institute of Standards and Technology (NIST), "Post-Quantum Cryptography: Current Status and Future Directions," NIST IR 8105, 2024.</w:t>
      </w:r>
    </w:p>
    <w:p w14:paraId="357FD9AA" w14:textId="77777777" w:rsidR="006D087D" w:rsidRPr="006D087D" w:rsidRDefault="006D087D" w:rsidP="006D087D">
      <w:pPr>
        <w:spacing w:after="140"/>
        <w:ind w:firstLine="567"/>
        <w:jc w:val="both"/>
        <w:rPr>
          <w:lang w:val="en-US"/>
        </w:rPr>
      </w:pPr>
      <w:r w:rsidRPr="006D087D">
        <w:rPr>
          <w:lang w:val="en-US"/>
        </w:rPr>
        <w:t>[2] International Telecommunication Union (ITU), "ITU-T X.509: Public-key and attribute certificate frameworks," Recommendation X.509, 2019.</w:t>
      </w:r>
    </w:p>
    <w:p w14:paraId="04CE121F" w14:textId="77777777" w:rsidR="006D087D" w:rsidRPr="006D087D" w:rsidRDefault="006D087D" w:rsidP="006D087D">
      <w:pPr>
        <w:spacing w:after="140"/>
        <w:ind w:firstLine="567"/>
        <w:jc w:val="both"/>
        <w:rPr>
          <w:lang w:val="en-US"/>
        </w:rPr>
      </w:pPr>
      <w:r w:rsidRPr="006D087D">
        <w:rPr>
          <w:lang w:val="en-US"/>
        </w:rPr>
        <w:t>[3] Cybersecurity &amp; Infrastructure Security Agency (CISA), "Avoiding Phishing Attacks," Security Tips ST04-014, 2023.</w:t>
      </w:r>
    </w:p>
    <w:p w14:paraId="7099EE0D" w14:textId="77777777" w:rsidR="006D087D" w:rsidRPr="006D087D" w:rsidRDefault="006D087D" w:rsidP="006D087D">
      <w:pPr>
        <w:spacing w:after="140"/>
        <w:ind w:firstLine="567"/>
        <w:jc w:val="both"/>
        <w:rPr>
          <w:lang w:val="en-US"/>
        </w:rPr>
      </w:pPr>
      <w:r w:rsidRPr="006D087D">
        <w:rPr>
          <w:lang w:val="en-US"/>
        </w:rPr>
        <w:t>[4] ISO/IEC 20000-1:2018, "Information technology — Service management — Part 1: Service management system requirements," International Organization for Standardization.</w:t>
      </w:r>
    </w:p>
    <w:p w14:paraId="5C4E4ACD" w14:textId="77777777" w:rsidR="006D087D" w:rsidRPr="006D087D" w:rsidRDefault="006D087D" w:rsidP="006D087D">
      <w:pPr>
        <w:spacing w:after="140"/>
        <w:ind w:firstLine="567"/>
        <w:jc w:val="both"/>
        <w:rPr>
          <w:lang w:val="en-US"/>
        </w:rPr>
      </w:pPr>
      <w:r w:rsidRPr="006D087D">
        <w:rPr>
          <w:lang w:val="en-US"/>
        </w:rPr>
        <w:t>[5] EC-Council, "Certified Ethical Hacker (CEH) Version 12 Study Guide," 2023.</w:t>
      </w:r>
    </w:p>
    <w:p w14:paraId="5EC700FB" w14:textId="24E26382" w:rsidR="005A2454" w:rsidRPr="00424943" w:rsidRDefault="005A2454" w:rsidP="006D087D">
      <w:pPr>
        <w:spacing w:after="140"/>
        <w:ind w:firstLine="567"/>
        <w:jc w:val="both"/>
        <w:rPr>
          <w:lang w:val="en-US"/>
        </w:rPr>
      </w:pPr>
    </w:p>
    <w:sectPr w:rsidR="005A2454" w:rsidRPr="0042494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84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EE76E" w14:textId="77777777" w:rsidR="004A262A" w:rsidRPr="00424943" w:rsidRDefault="004A262A">
      <w:pPr>
        <w:spacing w:after="0" w:line="240" w:lineRule="auto"/>
      </w:pPr>
      <w:r w:rsidRPr="00424943">
        <w:separator/>
      </w:r>
    </w:p>
  </w:endnote>
  <w:endnote w:type="continuationSeparator" w:id="0">
    <w:p w14:paraId="5AEDB185" w14:textId="77777777" w:rsidR="004A262A" w:rsidRPr="00424943" w:rsidRDefault="004A262A">
      <w:pPr>
        <w:spacing w:after="0" w:line="240" w:lineRule="auto"/>
      </w:pPr>
      <w:r w:rsidRPr="0042494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69133" w14:textId="77777777" w:rsidR="005A2454" w:rsidRPr="00424943" w:rsidRDefault="005A2454">
    <w:pPr>
      <w:pBdr>
        <w:top w:val="nil"/>
        <w:left w:val="nil"/>
        <w:bottom w:val="nil"/>
        <w:right w:val="nil"/>
        <w:between w:val="nil"/>
      </w:pBdr>
      <w:tabs>
        <w:tab w:val="center" w:pos="4844"/>
        <w:tab w:val="right" w:pos="9689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7EA4F" w14:textId="4ECFA8AA" w:rsidR="005A2454" w:rsidRPr="0042494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44"/>
        <w:tab w:val="right" w:pos="9689"/>
      </w:tabs>
      <w:spacing w:after="0" w:line="240" w:lineRule="auto"/>
      <w:jc w:val="center"/>
      <w:rPr>
        <w:color w:val="000000"/>
      </w:rPr>
    </w:pPr>
    <w:r w:rsidRPr="00424943">
      <w:rPr>
        <w:color w:val="000000"/>
      </w:rPr>
      <w:t xml:space="preserve">Semestre </w:t>
    </w:r>
    <w:r w:rsidR="00F677FA" w:rsidRPr="00424943">
      <w:rPr>
        <w:color w:val="000000"/>
      </w:rPr>
      <w:t>1</w:t>
    </w:r>
    <w:r w:rsidRPr="00424943">
      <w:rPr>
        <w:color w:val="000000"/>
      </w:rPr>
      <w:t>-202</w:t>
    </w:r>
    <w:r w:rsidR="00F677FA" w:rsidRPr="00424943">
      <w:rPr>
        <w:color w:val="000000"/>
      </w:rPr>
      <w:t>6</w:t>
    </w:r>
  </w:p>
  <w:p w14:paraId="2934D4A2" w14:textId="77777777" w:rsidR="005A2454" w:rsidRPr="0042494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44"/>
        <w:tab w:val="right" w:pos="9689"/>
      </w:tabs>
      <w:spacing w:after="0" w:line="240" w:lineRule="auto"/>
      <w:jc w:val="right"/>
    </w:pPr>
    <w:r w:rsidRPr="00424943">
      <w:rPr>
        <w:color w:val="000000"/>
      </w:rPr>
      <w:fldChar w:fldCharType="begin"/>
    </w:r>
    <w:r w:rsidRPr="00424943">
      <w:rPr>
        <w:color w:val="000000"/>
      </w:rPr>
      <w:instrText>PAGE</w:instrText>
    </w:r>
    <w:r w:rsidRPr="00424943">
      <w:rPr>
        <w:color w:val="000000"/>
      </w:rPr>
      <w:fldChar w:fldCharType="separate"/>
    </w:r>
    <w:r w:rsidR="006B298D" w:rsidRPr="00424943">
      <w:rPr>
        <w:color w:val="000000"/>
      </w:rPr>
      <w:t>1</w:t>
    </w:r>
    <w:r w:rsidRPr="00424943">
      <w:rPr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1A65E" w14:textId="77777777" w:rsidR="005A2454" w:rsidRPr="0042494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44"/>
        <w:tab w:val="right" w:pos="9689"/>
      </w:tabs>
      <w:spacing w:after="0" w:line="240" w:lineRule="auto"/>
      <w:jc w:val="center"/>
      <w:rPr>
        <w:color w:val="000000"/>
      </w:rPr>
    </w:pPr>
    <w:r w:rsidRPr="00424943">
      <w:rPr>
        <w:color w:val="000000"/>
      </w:rPr>
      <w:t>Semestre II-2025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235F0" w14:textId="77777777" w:rsidR="004A262A" w:rsidRPr="00424943" w:rsidRDefault="004A262A">
      <w:pPr>
        <w:spacing w:after="0" w:line="240" w:lineRule="auto"/>
      </w:pPr>
      <w:r w:rsidRPr="00424943">
        <w:separator/>
      </w:r>
    </w:p>
  </w:footnote>
  <w:footnote w:type="continuationSeparator" w:id="0">
    <w:p w14:paraId="79A00086" w14:textId="77777777" w:rsidR="004A262A" w:rsidRPr="00424943" w:rsidRDefault="004A262A">
      <w:pPr>
        <w:spacing w:after="0" w:line="240" w:lineRule="auto"/>
      </w:pPr>
      <w:r w:rsidRPr="0042494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7331A" w14:textId="77777777" w:rsidR="005A2454" w:rsidRPr="00424943" w:rsidRDefault="005A2454">
    <w:pPr>
      <w:pBdr>
        <w:top w:val="nil"/>
        <w:left w:val="nil"/>
        <w:bottom w:val="nil"/>
        <w:right w:val="nil"/>
        <w:between w:val="nil"/>
      </w:pBdr>
      <w:tabs>
        <w:tab w:val="center" w:pos="4844"/>
        <w:tab w:val="right" w:pos="9689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504AF" w14:textId="15C36F8B" w:rsidR="005A2454" w:rsidRPr="00424943" w:rsidRDefault="00BE17D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424943">
      <w:rPr>
        <w:noProof/>
        <w:color w:val="000000"/>
      </w:rPr>
      <w:drawing>
        <wp:anchor distT="0" distB="0" distL="0" distR="0" simplePos="0" relativeHeight="251658240" behindDoc="0" locked="0" layoutInCell="1" hidden="0" allowOverlap="1" wp14:anchorId="0955C74F" wp14:editId="7360345B">
          <wp:simplePos x="0" y="0"/>
          <wp:positionH relativeFrom="page">
            <wp:posOffset>960755</wp:posOffset>
          </wp:positionH>
          <wp:positionV relativeFrom="page">
            <wp:posOffset>334010</wp:posOffset>
          </wp:positionV>
          <wp:extent cx="800100" cy="741045"/>
          <wp:effectExtent l="0" t="0" r="0" b="0"/>
          <wp:wrapSquare wrapText="bothSides" distT="0" distB="0" distL="0" distR="0"/>
          <wp:docPr id="33170943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0100" cy="7410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677FA" w:rsidRPr="00424943">
      <w:rPr>
        <w:b/>
        <w:bCs/>
        <w:noProof/>
        <w:color w:val="000000"/>
      </w:rPr>
      <w:drawing>
        <wp:anchor distT="0" distB="0" distL="114300" distR="114300" simplePos="0" relativeHeight="251664384" behindDoc="0" locked="0" layoutInCell="1" allowOverlap="1" wp14:anchorId="5593ED03" wp14:editId="0E63168D">
          <wp:simplePos x="0" y="0"/>
          <wp:positionH relativeFrom="margin">
            <wp:align>right</wp:align>
          </wp:positionH>
          <wp:positionV relativeFrom="paragraph">
            <wp:posOffset>-99060</wp:posOffset>
          </wp:positionV>
          <wp:extent cx="677545" cy="716280"/>
          <wp:effectExtent l="0" t="0" r="8255" b="7620"/>
          <wp:wrapSquare wrapText="bothSides"/>
          <wp:docPr id="364968326" name="Picture 2">
            <a:extLst xmlns:a="http://schemas.openxmlformats.org/drawingml/2006/main">
              <a:ext uri="{FF2B5EF4-FFF2-40B4-BE49-F238E27FC236}">
                <a16:creationId xmlns:a16="http://schemas.microsoft.com/office/drawing/2014/main" id="{797FF14E-F948-1593-BB94-0100DF1667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>
                    <a:extLst>
                      <a:ext uri="{FF2B5EF4-FFF2-40B4-BE49-F238E27FC236}">
                        <a16:creationId xmlns:a16="http://schemas.microsoft.com/office/drawing/2014/main" id="{797FF14E-F948-1593-BB94-0100DF16678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7545" cy="716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24943">
      <w:rPr>
        <w:b/>
        <w:bCs/>
        <w:color w:val="000000"/>
      </w:rPr>
      <w:t>Universidad Central de Venezuela</w:t>
    </w:r>
  </w:p>
  <w:p w14:paraId="62D17175" w14:textId="77777777" w:rsidR="005A2454" w:rsidRPr="00424943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424943">
      <w:rPr>
        <w:b/>
        <w:bCs/>
        <w:color w:val="000000"/>
      </w:rPr>
      <w:t>Facultad de Ciencias</w:t>
    </w:r>
  </w:p>
  <w:p w14:paraId="17FA8513" w14:textId="77777777" w:rsidR="005A2454" w:rsidRPr="00424943" w:rsidRDefault="00000000">
    <w:pPr>
      <w:pBdr>
        <w:top w:val="nil"/>
        <w:left w:val="nil"/>
        <w:bottom w:val="nil"/>
        <w:right w:val="nil"/>
        <w:between w:val="nil"/>
      </w:pBdr>
      <w:spacing w:after="0" w:line="238" w:lineRule="auto"/>
      <w:jc w:val="center"/>
      <w:rPr>
        <w:color w:val="000000"/>
      </w:rPr>
    </w:pPr>
    <w:r w:rsidRPr="00424943">
      <w:rPr>
        <w:b/>
        <w:bCs/>
        <w:color w:val="000000"/>
      </w:rPr>
      <w:t>Escuela de Computación</w:t>
    </w:r>
  </w:p>
  <w:p w14:paraId="00CFEF24" w14:textId="77777777" w:rsidR="005A2454" w:rsidRPr="00424943" w:rsidRDefault="005A2454">
    <w:pPr>
      <w:pBdr>
        <w:top w:val="nil"/>
        <w:left w:val="nil"/>
        <w:bottom w:val="nil"/>
        <w:right w:val="nil"/>
        <w:between w:val="nil"/>
      </w:pBdr>
      <w:spacing w:after="0" w:line="14" w:lineRule="auto"/>
      <w:jc w:val="center"/>
      <w:rPr>
        <w:color w:val="000000"/>
      </w:rPr>
    </w:pPr>
  </w:p>
  <w:p w14:paraId="4415E543" w14:textId="0DEE61E5" w:rsidR="005A2454" w:rsidRPr="00424943" w:rsidRDefault="00F677FA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424943">
      <w:rPr>
        <w:b/>
        <w:bCs/>
        <w:color w:val="000000"/>
      </w:rPr>
      <w:t>Seguridad En Redes De Computadoras (6022)</w:t>
    </w:r>
  </w:p>
  <w:p w14:paraId="17090320" w14:textId="77777777" w:rsidR="005A2454" w:rsidRPr="00424943" w:rsidRDefault="005A2454">
    <w:pPr>
      <w:pBdr>
        <w:top w:val="nil"/>
        <w:left w:val="nil"/>
        <w:bottom w:val="nil"/>
        <w:right w:val="nil"/>
        <w:between w:val="nil"/>
      </w:pBdr>
      <w:spacing w:after="0" w:line="14" w:lineRule="auto"/>
      <w:jc w:val="center"/>
      <w:rPr>
        <w:color w:val="000000"/>
      </w:rPr>
    </w:pPr>
  </w:p>
  <w:p w14:paraId="0559408F" w14:textId="77777777" w:rsidR="005A2454" w:rsidRPr="0042494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 w:rsidRPr="00424943">
      <w:rPr>
        <w:noProof/>
      </w:rPr>
      <w:drawing>
        <wp:anchor distT="0" distB="0" distL="0" distR="0" simplePos="0" relativeHeight="251660288" behindDoc="1" locked="0" layoutInCell="1" hidden="0" allowOverlap="1" wp14:anchorId="56058A3C" wp14:editId="2D94FD89">
          <wp:simplePos x="0" y="0"/>
          <wp:positionH relativeFrom="column">
            <wp:posOffset>60325</wp:posOffset>
          </wp:positionH>
          <wp:positionV relativeFrom="paragraph">
            <wp:posOffset>60325</wp:posOffset>
          </wp:positionV>
          <wp:extent cx="5608955" cy="97790"/>
          <wp:effectExtent l="0" t="0" r="0" b="0"/>
          <wp:wrapNone/>
          <wp:docPr id="140797128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08955" cy="97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C0E5DE7" w14:textId="77777777" w:rsidR="005A2454" w:rsidRPr="00424943" w:rsidRDefault="005A2454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3660"/>
      <w:rPr>
        <w:color w:val="000000"/>
      </w:rPr>
    </w:pPr>
  </w:p>
  <w:p w14:paraId="5E354A59" w14:textId="77777777" w:rsidR="005A2454" w:rsidRPr="00424943" w:rsidRDefault="005A2454">
    <w:pPr>
      <w:pBdr>
        <w:top w:val="nil"/>
        <w:left w:val="nil"/>
        <w:bottom w:val="nil"/>
        <w:right w:val="nil"/>
        <w:between w:val="nil"/>
      </w:pBdr>
      <w:tabs>
        <w:tab w:val="center" w:pos="4844"/>
        <w:tab w:val="right" w:pos="9689"/>
      </w:tabs>
      <w:spacing w:after="0" w:line="240" w:lineRule="auto"/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69137" w14:textId="77777777" w:rsidR="005A2454" w:rsidRPr="00424943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  <w:sz w:val="20"/>
        <w:szCs w:val="20"/>
      </w:rPr>
    </w:pPr>
    <w:r w:rsidRPr="00424943">
      <w:rPr>
        <w:noProof/>
        <w:color w:val="000000"/>
      </w:rPr>
      <w:drawing>
        <wp:anchor distT="0" distB="0" distL="0" distR="0" simplePos="0" relativeHeight="251661312" behindDoc="0" locked="0" layoutInCell="1" hidden="0" allowOverlap="1" wp14:anchorId="47CF2D29" wp14:editId="7204672B">
          <wp:simplePos x="0" y="0"/>
          <wp:positionH relativeFrom="page">
            <wp:posOffset>1006475</wp:posOffset>
          </wp:positionH>
          <wp:positionV relativeFrom="page">
            <wp:posOffset>442595</wp:posOffset>
          </wp:positionV>
          <wp:extent cx="800100" cy="741045"/>
          <wp:effectExtent l="0" t="0" r="0" b="0"/>
          <wp:wrapSquare wrapText="bothSides" distT="0" distB="0" distL="0" distR="0"/>
          <wp:docPr id="156109214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0100" cy="7410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424943">
      <w:rPr>
        <w:noProof/>
        <w:color w:val="000000"/>
      </w:rPr>
      <w:drawing>
        <wp:anchor distT="0" distB="0" distL="0" distR="0" simplePos="0" relativeHeight="251662336" behindDoc="0" locked="0" layoutInCell="1" hidden="0" allowOverlap="1" wp14:anchorId="2DF6BE54" wp14:editId="6DF070F5">
          <wp:simplePos x="0" y="0"/>
          <wp:positionH relativeFrom="page">
            <wp:posOffset>5766435</wp:posOffset>
          </wp:positionH>
          <wp:positionV relativeFrom="page">
            <wp:posOffset>463550</wp:posOffset>
          </wp:positionV>
          <wp:extent cx="800100" cy="763905"/>
          <wp:effectExtent l="0" t="0" r="0" b="0"/>
          <wp:wrapSquare wrapText="bothSides" distT="0" distB="0" distL="0" distR="0"/>
          <wp:docPr id="156262757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0100" cy="7639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424943">
      <w:rPr>
        <w:b/>
        <w:bCs/>
        <w:color w:val="000000"/>
        <w:sz w:val="18"/>
        <w:szCs w:val="18"/>
      </w:rPr>
      <w:t>Universidad Central de Venezuela</w:t>
    </w:r>
  </w:p>
  <w:p w14:paraId="289DE87D" w14:textId="77777777" w:rsidR="005A2454" w:rsidRPr="00424943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  <w:sz w:val="20"/>
        <w:szCs w:val="20"/>
      </w:rPr>
    </w:pPr>
    <w:r w:rsidRPr="00424943">
      <w:rPr>
        <w:b/>
        <w:bCs/>
        <w:color w:val="000000"/>
        <w:sz w:val="18"/>
        <w:szCs w:val="18"/>
      </w:rPr>
      <w:t>Facultad de Ciencias</w:t>
    </w:r>
  </w:p>
  <w:p w14:paraId="4CECC07A" w14:textId="77777777" w:rsidR="005A2454" w:rsidRPr="00424943" w:rsidRDefault="00000000">
    <w:pPr>
      <w:pBdr>
        <w:top w:val="nil"/>
        <w:left w:val="nil"/>
        <w:bottom w:val="nil"/>
        <w:right w:val="nil"/>
        <w:between w:val="nil"/>
      </w:pBdr>
      <w:spacing w:after="0" w:line="238" w:lineRule="auto"/>
      <w:jc w:val="center"/>
      <w:rPr>
        <w:color w:val="000000"/>
        <w:sz w:val="20"/>
        <w:szCs w:val="20"/>
      </w:rPr>
    </w:pPr>
    <w:r w:rsidRPr="00424943">
      <w:rPr>
        <w:b/>
        <w:bCs/>
        <w:color w:val="000000"/>
        <w:sz w:val="18"/>
        <w:szCs w:val="18"/>
      </w:rPr>
      <w:t>Escuela de Computación</w:t>
    </w:r>
  </w:p>
  <w:p w14:paraId="31A0E396" w14:textId="77777777" w:rsidR="005A2454" w:rsidRPr="00424943" w:rsidRDefault="005A2454">
    <w:pPr>
      <w:pBdr>
        <w:top w:val="nil"/>
        <w:left w:val="nil"/>
        <w:bottom w:val="nil"/>
        <w:right w:val="nil"/>
        <w:between w:val="nil"/>
      </w:pBdr>
      <w:spacing w:after="0" w:line="14" w:lineRule="auto"/>
      <w:jc w:val="center"/>
      <w:rPr>
        <w:color w:val="000000"/>
        <w:sz w:val="20"/>
        <w:szCs w:val="20"/>
      </w:rPr>
    </w:pPr>
  </w:p>
  <w:p w14:paraId="0447AE1D" w14:textId="77777777" w:rsidR="005A2454" w:rsidRPr="00424943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  <w:sz w:val="20"/>
        <w:szCs w:val="20"/>
      </w:rPr>
    </w:pPr>
    <w:r w:rsidRPr="00424943">
      <w:rPr>
        <w:b/>
        <w:bCs/>
        <w:color w:val="000000"/>
        <w:sz w:val="18"/>
        <w:szCs w:val="18"/>
      </w:rPr>
      <w:t>Redes de Computadoras (6012)</w:t>
    </w:r>
  </w:p>
  <w:p w14:paraId="4CEF3FFD" w14:textId="77777777" w:rsidR="005A2454" w:rsidRPr="00424943" w:rsidRDefault="005A2454">
    <w:pPr>
      <w:pBdr>
        <w:top w:val="nil"/>
        <w:left w:val="nil"/>
        <w:bottom w:val="nil"/>
        <w:right w:val="nil"/>
        <w:between w:val="nil"/>
      </w:pBdr>
      <w:spacing w:after="0" w:line="14" w:lineRule="auto"/>
      <w:jc w:val="center"/>
      <w:rPr>
        <w:color w:val="000000"/>
        <w:sz w:val="20"/>
        <w:szCs w:val="20"/>
      </w:rPr>
    </w:pPr>
  </w:p>
  <w:p w14:paraId="1176A242" w14:textId="77777777" w:rsidR="005A2454" w:rsidRPr="00424943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b/>
        <w:bCs/>
        <w:color w:val="000000"/>
      </w:rPr>
    </w:pPr>
    <w:r w:rsidRPr="00424943">
      <w:rPr>
        <w:b/>
        <w:bCs/>
        <w:color w:val="000000"/>
      </w:rPr>
      <w:t>Laboratorio #4</w:t>
    </w:r>
  </w:p>
  <w:p w14:paraId="0F3B6D2F" w14:textId="77777777" w:rsidR="005A2454" w:rsidRPr="0042494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 w:rsidRPr="00424943">
      <w:rPr>
        <w:noProof/>
      </w:rPr>
      <w:drawing>
        <wp:anchor distT="0" distB="0" distL="0" distR="0" simplePos="0" relativeHeight="251663360" behindDoc="1" locked="0" layoutInCell="1" hidden="0" allowOverlap="1" wp14:anchorId="3C2A5C0B" wp14:editId="4019E158">
          <wp:simplePos x="0" y="0"/>
          <wp:positionH relativeFrom="column">
            <wp:posOffset>60325</wp:posOffset>
          </wp:positionH>
          <wp:positionV relativeFrom="paragraph">
            <wp:posOffset>60325</wp:posOffset>
          </wp:positionV>
          <wp:extent cx="5608955" cy="97790"/>
          <wp:effectExtent l="0" t="0" r="0" b="0"/>
          <wp:wrapNone/>
          <wp:docPr id="58840894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08955" cy="97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D8682E" w14:textId="77777777" w:rsidR="005A2454" w:rsidRPr="00424943" w:rsidRDefault="005A2454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3660"/>
      <w:rPr>
        <w:color w:val="000000"/>
        <w:sz w:val="20"/>
        <w:szCs w:val="20"/>
      </w:rPr>
    </w:pPr>
  </w:p>
  <w:p w14:paraId="0A21B130" w14:textId="77777777" w:rsidR="005A2454" w:rsidRPr="00424943" w:rsidRDefault="005A2454">
    <w:pPr>
      <w:pBdr>
        <w:top w:val="nil"/>
        <w:left w:val="nil"/>
        <w:bottom w:val="nil"/>
        <w:right w:val="nil"/>
        <w:between w:val="nil"/>
      </w:pBdr>
      <w:tabs>
        <w:tab w:val="center" w:pos="4844"/>
        <w:tab w:val="right" w:pos="9689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66B"/>
    <w:multiLevelType w:val="multilevel"/>
    <w:tmpl w:val="EE84F9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E15478"/>
    <w:multiLevelType w:val="multilevel"/>
    <w:tmpl w:val="991C5A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05457D"/>
    <w:multiLevelType w:val="hybridMultilevel"/>
    <w:tmpl w:val="2B7C9EEE"/>
    <w:lvl w:ilvl="0" w:tplc="5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5C7820FF"/>
    <w:multiLevelType w:val="hybridMultilevel"/>
    <w:tmpl w:val="44ACD5E8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494857">
    <w:abstractNumId w:val="0"/>
  </w:num>
  <w:num w:numId="2" w16cid:durableId="63451311">
    <w:abstractNumId w:val="1"/>
  </w:num>
  <w:num w:numId="3" w16cid:durableId="1707412274">
    <w:abstractNumId w:val="3"/>
  </w:num>
  <w:num w:numId="4" w16cid:durableId="982270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454"/>
    <w:rsid w:val="000650EC"/>
    <w:rsid w:val="00106937"/>
    <w:rsid w:val="00171C12"/>
    <w:rsid w:val="0036067D"/>
    <w:rsid w:val="00424943"/>
    <w:rsid w:val="00453B3D"/>
    <w:rsid w:val="004A262A"/>
    <w:rsid w:val="00526F5C"/>
    <w:rsid w:val="005A2454"/>
    <w:rsid w:val="006B298D"/>
    <w:rsid w:val="006D087D"/>
    <w:rsid w:val="00845145"/>
    <w:rsid w:val="00BE17D7"/>
    <w:rsid w:val="00C95798"/>
    <w:rsid w:val="00F677FA"/>
    <w:rsid w:val="00F8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73CD35"/>
  <w15:docId w15:val="{8D9B63EF-2251-45C0-96BF-D4089E4A6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 w:line="240" w:lineRule="auto"/>
      <w:outlineLvl w:val="0"/>
    </w:pPr>
    <w:rPr>
      <w:color w:val="2E75B5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 w:line="240" w:lineRule="auto"/>
      <w:outlineLvl w:val="1"/>
    </w:pPr>
    <w:rPr>
      <w:color w:val="2E75B5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 w:line="240" w:lineRule="auto"/>
      <w:outlineLvl w:val="2"/>
    </w:pPr>
    <w:rPr>
      <w:color w:val="2E75B5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80" w:after="40" w:line="240" w:lineRule="auto"/>
      <w:outlineLvl w:val="3"/>
    </w:pPr>
    <w:rPr>
      <w:i/>
      <w:iCs/>
      <w:color w:val="2E75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color w:val="2E75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i/>
      <w:iCs/>
      <w:color w:val="595959"/>
    </w:rPr>
  </w:style>
  <w:style w:type="paragraph" w:styleId="Ttulo7">
    <w:name w:val="heading 7"/>
    <w:basedOn w:val="Heading"/>
    <w:link w:val="Ttulo7Car"/>
    <w:uiPriority w:val="9"/>
    <w:unhideWhenUsed/>
    <w:qFormat/>
    <w:pPr>
      <w:keepLines/>
      <w:spacing w:before="40" w:after="0"/>
      <w:outlineLvl w:val="6"/>
    </w:pPr>
    <w:rPr>
      <w:rFonts w:ascii="Arial" w:eastAsia="Arial" w:hAnsi="Arial"/>
      <w:color w:val="595959" w:themeColor="text1" w:themeTint="A6"/>
    </w:rPr>
  </w:style>
  <w:style w:type="paragraph" w:styleId="Ttulo8">
    <w:name w:val="heading 8"/>
    <w:basedOn w:val="Heading"/>
    <w:link w:val="Ttulo8Car"/>
    <w:uiPriority w:val="9"/>
    <w:unhideWhenUsed/>
    <w:qFormat/>
    <w:pPr>
      <w:keepLines/>
      <w:spacing w:after="0"/>
      <w:outlineLvl w:val="7"/>
    </w:pPr>
    <w:rPr>
      <w:rFonts w:ascii="Arial" w:eastAsia="Arial" w:hAnsi="Arial"/>
      <w:i/>
      <w:iCs/>
      <w:color w:val="272727" w:themeColor="text1" w:themeTint="D8"/>
    </w:rPr>
  </w:style>
  <w:style w:type="paragraph" w:styleId="Ttulo9">
    <w:name w:val="heading 9"/>
    <w:basedOn w:val="Heading"/>
    <w:link w:val="Ttulo9Car"/>
    <w:uiPriority w:val="9"/>
    <w:unhideWhenUsed/>
    <w:qFormat/>
    <w:pPr>
      <w:keepLines/>
      <w:spacing w:after="0"/>
      <w:outlineLvl w:val="8"/>
    </w:pPr>
    <w:rPr>
      <w:rFonts w:ascii="Arial" w:eastAsia="Arial" w:hAnsi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Fuentedeprrafopredeter"/>
    <w:uiPriority w:val="9"/>
    <w:qFormat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qFormat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qFormat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qFormat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Fuentedeprrafopredeter"/>
    <w:uiPriority w:val="9"/>
    <w:qFormat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Fuentedeprrafopredeter"/>
    <w:uiPriority w:val="9"/>
    <w:qFormat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uentedeprrafopredeter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extonotapieCar">
    <w:name w:val="Texto nota pie Car"/>
    <w:basedOn w:val="Fuentedeprrafopredeter"/>
    <w:link w:val="Textonotapie"/>
    <w:uiPriority w:val="99"/>
    <w:semiHidden/>
    <w:qFormat/>
    <w:rPr>
      <w:sz w:val="20"/>
      <w:szCs w:val="20"/>
    </w:rPr>
  </w:style>
  <w:style w:type="character" w:customStyle="1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qFormat/>
    <w:rPr>
      <w:sz w:val="20"/>
      <w:szCs w:val="20"/>
    </w:rPr>
  </w:style>
  <w:style w:type="character" w:customStyle="1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  <w:pPr>
      <w:suppressAutoHyphens/>
    </w:pPr>
    <w:rPr>
      <w:lang w:val="en-US" w:eastAsia="zh-CN" w:bidi="hi-IN"/>
    </w:rPr>
  </w:style>
  <w:style w:type="paragraph" w:styleId="Cita">
    <w:name w:val="Quote"/>
    <w:link w:val="CitaCar"/>
    <w:uiPriority w:val="29"/>
    <w:qFormat/>
    <w:pPr>
      <w:suppressAutoHyphens/>
      <w:spacing w:before="160"/>
      <w:jc w:val="center"/>
    </w:pPr>
    <w:rPr>
      <w:i/>
      <w:iCs/>
      <w:color w:val="404040" w:themeColor="text1" w:themeTint="BF"/>
      <w:lang w:val="en-US" w:eastAsia="zh-CN" w:bidi="hi-IN"/>
    </w:rPr>
  </w:style>
  <w:style w:type="paragraph" w:styleId="Citadestacada">
    <w:name w:val="Intense Quote"/>
    <w:link w:val="Citadestacada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uppressAutoHyphens/>
      <w:spacing w:before="360" w:after="360"/>
      <w:ind w:left="864" w:right="864"/>
      <w:jc w:val="center"/>
    </w:pPr>
    <w:rPr>
      <w:i/>
      <w:iCs/>
      <w:color w:val="2E74B5" w:themeColor="accent1" w:themeShade="BF"/>
      <w:lang w:val="en-US" w:eastAsia="zh-CN" w:bidi="hi-IN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HeaderandFooter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Piedepgina">
    <w:name w:val="footer"/>
    <w:basedOn w:val="HeaderandFooter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TDC1">
    <w:name w:val="toc 1"/>
    <w:basedOn w:val="Index"/>
    <w:uiPriority w:val="39"/>
    <w:unhideWhenUsed/>
    <w:pPr>
      <w:spacing w:after="100"/>
    </w:pPr>
  </w:style>
  <w:style w:type="paragraph" w:styleId="TDC2">
    <w:name w:val="toc 2"/>
    <w:basedOn w:val="Index"/>
    <w:uiPriority w:val="39"/>
    <w:unhideWhenUsed/>
    <w:pPr>
      <w:spacing w:after="100"/>
      <w:ind w:left="220"/>
    </w:pPr>
  </w:style>
  <w:style w:type="paragraph" w:styleId="TDC3">
    <w:name w:val="toc 3"/>
    <w:basedOn w:val="Index"/>
    <w:uiPriority w:val="39"/>
    <w:unhideWhenUsed/>
    <w:pPr>
      <w:spacing w:after="100"/>
      <w:ind w:left="440"/>
    </w:pPr>
  </w:style>
  <w:style w:type="paragraph" w:styleId="TDC4">
    <w:name w:val="toc 4"/>
    <w:basedOn w:val="Index"/>
    <w:uiPriority w:val="39"/>
    <w:unhideWhenUsed/>
    <w:pPr>
      <w:spacing w:after="100"/>
      <w:ind w:left="660"/>
    </w:pPr>
  </w:style>
  <w:style w:type="paragraph" w:styleId="TDC5">
    <w:name w:val="toc 5"/>
    <w:basedOn w:val="Index"/>
    <w:uiPriority w:val="39"/>
    <w:unhideWhenUsed/>
    <w:pPr>
      <w:spacing w:after="100"/>
      <w:ind w:left="880"/>
    </w:pPr>
  </w:style>
  <w:style w:type="paragraph" w:styleId="TDC6">
    <w:name w:val="toc 6"/>
    <w:basedOn w:val="Index"/>
    <w:uiPriority w:val="39"/>
    <w:unhideWhenUsed/>
    <w:pPr>
      <w:spacing w:after="100"/>
      <w:ind w:left="1100"/>
    </w:pPr>
  </w:style>
  <w:style w:type="paragraph" w:styleId="TDC7">
    <w:name w:val="toc 7"/>
    <w:basedOn w:val="Index"/>
    <w:uiPriority w:val="39"/>
    <w:unhideWhenUsed/>
    <w:pPr>
      <w:spacing w:after="100"/>
      <w:ind w:left="1320"/>
    </w:pPr>
  </w:style>
  <w:style w:type="paragraph" w:styleId="TDC8">
    <w:name w:val="toc 8"/>
    <w:basedOn w:val="Index"/>
    <w:uiPriority w:val="39"/>
    <w:unhideWhenUsed/>
    <w:pPr>
      <w:spacing w:after="100"/>
      <w:ind w:left="1540"/>
    </w:pPr>
  </w:style>
  <w:style w:type="paragraph" w:styleId="TDC9">
    <w:name w:val="toc 9"/>
    <w:basedOn w:val="Index"/>
    <w:uiPriority w:val="39"/>
    <w:unhideWhenUsed/>
    <w:pPr>
      <w:spacing w:after="100"/>
      <w:ind w:left="1760"/>
    </w:pPr>
  </w:style>
  <w:style w:type="paragraph" w:styleId="Ttulodendice">
    <w:name w:val="index heading"/>
    <w:basedOn w:val="Heading"/>
  </w:style>
  <w:style w:type="paragraph" w:styleId="TtuloTDC">
    <w:name w:val="TOC Heading"/>
    <w:uiPriority w:val="39"/>
    <w:unhideWhenUsed/>
    <w:qFormat/>
    <w:pPr>
      <w:suppressAutoHyphens/>
    </w:pPr>
    <w:rPr>
      <w:lang w:val="en-US" w:eastAsia="zh-CN" w:bidi="hi-IN"/>
    </w:rPr>
  </w:style>
  <w:style w:type="paragraph" w:styleId="Tabladeilustraciones">
    <w:name w:val="table of figures"/>
    <w:basedOn w:val="Index"/>
    <w:uiPriority w:val="99"/>
    <w:unhideWhenUsed/>
    <w:pPr>
      <w:spacing w:after="0"/>
    </w:pPr>
  </w:style>
  <w:style w:type="paragraph" w:styleId="Sinespaciado">
    <w:name w:val="No Spacing"/>
    <w:uiPriority w:val="1"/>
    <w:qFormat/>
    <w:pPr>
      <w:suppressAutoHyphens/>
      <w:spacing w:after="0" w:line="240" w:lineRule="auto"/>
    </w:pPr>
    <w:rPr>
      <w:lang w:val="en-US" w:eastAsia="zh-CN" w:bidi="hi-IN"/>
    </w:rPr>
  </w:style>
  <w:style w:type="paragraph" w:styleId="Prrafodelista">
    <w:name w:val="List Paragraph"/>
    <w:uiPriority w:val="34"/>
    <w:qFormat/>
    <w:pPr>
      <w:suppressAutoHyphens/>
      <w:ind w:left="720"/>
      <w:contextualSpacing/>
    </w:pPr>
    <w:rPr>
      <w:lang w:val="en-US" w:eastAsia="zh-CN" w:bidi="hi-IN"/>
    </w:rPr>
  </w:style>
  <w:style w:type="paragraph" w:customStyle="1" w:styleId="HorizontalLine">
    <w:name w:val="Horizontal Line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caption11">
    <w:name w:val="caption11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FrameContentsuser">
    <w:name w:val="Frame Contents (user)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FFFFFF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sz w:val="22"/>
      </w:rPr>
      <w:tblPr/>
      <w:tcPr>
        <w:shd w:val="clear" w:color="FFFFFF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FFFFF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FFFFFF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FFFF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customStyle="1" w:styleId="a">
    <w:basedOn w:val="TableNormal3"/>
    <w:tblPr>
      <w:tblStyleRowBandSize w:val="1"/>
      <w:tblStyleColBandSize w:val="1"/>
    </w:tblPr>
  </w:style>
  <w:style w:type="table" w:customStyle="1" w:styleId="a0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Ttulo1Car">
    <w:name w:val="Título 1 Car"/>
    <w:basedOn w:val="Fuentedeprrafopredeter"/>
    <w:uiPriority w:val="9"/>
    <w:rsid w:val="00070813"/>
    <w:rPr>
      <w:color w:val="2E75B5"/>
      <w:sz w:val="40"/>
      <w:szCs w:val="40"/>
    </w:rPr>
  </w:style>
  <w:style w:type="character" w:styleId="Mencinsinresolver">
    <w:name w:val="Unresolved Mention"/>
    <w:basedOn w:val="Fuentedeprrafopredeter"/>
    <w:uiPriority w:val="99"/>
    <w:semiHidden/>
    <w:unhideWhenUsed/>
    <w:rsid w:val="00066689"/>
    <w:rPr>
      <w:color w:val="605E5C"/>
      <w:shd w:val="clear" w:color="auto" w:fill="E1DFDD"/>
    </w:r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Hv6d4f9j/fBi/U4ZJvWtAKlWrw==">CgMxLjAaHwoBMBIaChgICVIUChJ0YWJsZS4ydjM0YzdndWIyMncaHwoBMRIaChgICVIUChJ0YWJsZS5najEzMWQ5YmlzdzMyDmguNnN3ZHppNjd3cDcyMg5oLmQ3eWl1MmV5OHBmMDIOaC43dHg2ZmhlY2doMGYyDmguNjJ2eThxdHQ1dDJrMg5oLnN3djZvN29rOXFpMTIOaC4xM2YyOGd0aTk1a2UyDmguYXo3b3pvZHo3bWtrMg5oLjhuc3Y0cDNheXVsNzgAciExR1J2NmF1R1J1Z1BPVDJBeHZCRWFDY1A0dFNiVHpCM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738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Gabriela Workforce</cp:lastModifiedBy>
  <cp:revision>3</cp:revision>
  <cp:lastPrinted>2026-05-07T22:33:00Z</cp:lastPrinted>
  <dcterms:created xsi:type="dcterms:W3CDTF">2026-05-14T02:50:00Z</dcterms:created>
  <dcterms:modified xsi:type="dcterms:W3CDTF">2026-05-14T03:08:00Z</dcterms:modified>
</cp:coreProperties>
</file>