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1E41" w14:textId="77777777" w:rsidR="005A2454" w:rsidRDefault="005A2454" w:rsidP="00F80B54">
      <w:pPr>
        <w:pStyle w:val="Ttulo1"/>
        <w:ind w:firstLine="567"/>
        <w:jc w:val="center"/>
        <w:rPr>
          <w:b/>
          <w:bCs/>
          <w:color w:val="000000"/>
        </w:rPr>
      </w:pPr>
    </w:p>
    <w:p w14:paraId="205577EA" w14:textId="77777777" w:rsidR="005A2454" w:rsidRDefault="005A2454" w:rsidP="00F80B54">
      <w:pPr>
        <w:pStyle w:val="Ttulo1"/>
        <w:ind w:firstLine="567"/>
        <w:jc w:val="center"/>
        <w:rPr>
          <w:b/>
          <w:bCs/>
          <w:color w:val="000000"/>
        </w:rPr>
      </w:pPr>
    </w:p>
    <w:p w14:paraId="53C6F4EB" w14:textId="77777777" w:rsidR="005A2454" w:rsidRDefault="005A2454" w:rsidP="00F80B54">
      <w:pPr>
        <w:pBdr>
          <w:top w:val="nil"/>
          <w:left w:val="nil"/>
          <w:bottom w:val="nil"/>
          <w:right w:val="nil"/>
          <w:between w:val="nil"/>
        </w:pBdr>
        <w:ind w:firstLine="567"/>
        <w:rPr>
          <w:color w:val="000000"/>
        </w:rPr>
      </w:pPr>
    </w:p>
    <w:p w14:paraId="12AE89C2" w14:textId="77777777" w:rsidR="005A2454" w:rsidRDefault="005A2454" w:rsidP="00F80B54">
      <w:pPr>
        <w:pStyle w:val="Ttulo1"/>
        <w:ind w:firstLine="567"/>
        <w:jc w:val="center"/>
        <w:rPr>
          <w:b/>
          <w:bCs/>
          <w:color w:val="000000"/>
        </w:rPr>
      </w:pPr>
    </w:p>
    <w:p w14:paraId="23B58F7B" w14:textId="5D45B730" w:rsidR="00F677FA" w:rsidRDefault="00F677FA" w:rsidP="00F80B54">
      <w:pPr>
        <w:pStyle w:val="Ttulo1"/>
        <w:ind w:firstLine="567"/>
        <w:jc w:val="center"/>
        <w:rPr>
          <w:b/>
          <w:bCs/>
          <w:color w:val="000000"/>
        </w:rPr>
      </w:pPr>
      <w:r>
        <w:rPr>
          <w:b/>
          <w:bCs/>
          <w:color w:val="000000"/>
        </w:rPr>
        <w:t>Tarea #4</w:t>
      </w:r>
    </w:p>
    <w:p w14:paraId="44294116" w14:textId="5D98B1AD" w:rsidR="005A2454" w:rsidRDefault="0003025D" w:rsidP="0003025D">
      <w:pPr>
        <w:pBdr>
          <w:top w:val="nil"/>
          <w:left w:val="nil"/>
          <w:bottom w:val="nil"/>
          <w:right w:val="nil"/>
          <w:between w:val="nil"/>
        </w:pBdr>
        <w:ind w:firstLine="567"/>
        <w:jc w:val="center"/>
        <w:rPr>
          <w:color w:val="000000"/>
        </w:rPr>
      </w:pPr>
      <w:r>
        <w:rPr>
          <w:b/>
          <w:bCs/>
          <w:color w:val="000000"/>
          <w:sz w:val="40"/>
          <w:szCs w:val="40"/>
        </w:rPr>
        <w:t xml:space="preserve">Ataques </w:t>
      </w:r>
      <w:proofErr w:type="spellStart"/>
      <w:r>
        <w:rPr>
          <w:b/>
          <w:bCs/>
          <w:color w:val="000000"/>
          <w:sz w:val="40"/>
          <w:szCs w:val="40"/>
        </w:rPr>
        <w:t>DDoS</w:t>
      </w:r>
      <w:proofErr w:type="spellEnd"/>
      <w:r>
        <w:rPr>
          <w:b/>
          <w:bCs/>
          <w:color w:val="000000"/>
          <w:sz w:val="40"/>
          <w:szCs w:val="40"/>
        </w:rPr>
        <w:t xml:space="preserve">: El Caso </w:t>
      </w:r>
      <w:proofErr w:type="spellStart"/>
      <w:r>
        <w:rPr>
          <w:b/>
          <w:bCs/>
          <w:color w:val="000000"/>
          <w:sz w:val="40"/>
          <w:szCs w:val="40"/>
        </w:rPr>
        <w:t>Cloudflare</w:t>
      </w:r>
      <w:proofErr w:type="spellEnd"/>
      <w:r>
        <w:rPr>
          <w:b/>
          <w:bCs/>
          <w:color w:val="000000"/>
          <w:sz w:val="40"/>
          <w:szCs w:val="40"/>
        </w:rPr>
        <w:t xml:space="preserve"> y la Evolución de las Amenazas Volumétricas</w:t>
      </w:r>
    </w:p>
    <w:p w14:paraId="7DB2AD2D" w14:textId="77777777" w:rsidR="005A2454" w:rsidRDefault="005A2454" w:rsidP="00F80B54">
      <w:pPr>
        <w:pBdr>
          <w:top w:val="nil"/>
          <w:left w:val="nil"/>
          <w:bottom w:val="nil"/>
          <w:right w:val="nil"/>
          <w:between w:val="nil"/>
        </w:pBdr>
        <w:ind w:firstLine="567"/>
        <w:rPr>
          <w:color w:val="000000"/>
        </w:rPr>
      </w:pPr>
    </w:p>
    <w:p w14:paraId="23E2711F" w14:textId="77777777" w:rsidR="0003025D" w:rsidRDefault="0003025D" w:rsidP="00F80B54">
      <w:pPr>
        <w:pBdr>
          <w:top w:val="nil"/>
          <w:left w:val="nil"/>
          <w:bottom w:val="nil"/>
          <w:right w:val="nil"/>
          <w:between w:val="nil"/>
        </w:pBdr>
        <w:ind w:firstLine="567"/>
        <w:rPr>
          <w:color w:val="000000"/>
        </w:rPr>
      </w:pPr>
    </w:p>
    <w:p w14:paraId="4AAA7C6E" w14:textId="77777777" w:rsidR="005A2454" w:rsidRDefault="005A2454" w:rsidP="00F80B54">
      <w:pPr>
        <w:pBdr>
          <w:top w:val="nil"/>
          <w:left w:val="nil"/>
          <w:bottom w:val="nil"/>
          <w:right w:val="nil"/>
          <w:between w:val="nil"/>
        </w:pBdr>
        <w:ind w:firstLine="567"/>
        <w:rPr>
          <w:color w:val="000000"/>
        </w:rPr>
      </w:pPr>
    </w:p>
    <w:tbl>
      <w:tblPr>
        <w:tblStyle w:val="ab"/>
        <w:tblW w:w="9019" w:type="dxa"/>
        <w:tblInd w:w="0" w:type="dxa"/>
        <w:tblLayout w:type="fixed"/>
        <w:tblLook w:val="0400" w:firstRow="0" w:lastRow="0" w:firstColumn="0" w:lastColumn="0" w:noHBand="0" w:noVBand="1"/>
      </w:tblPr>
      <w:tblGrid>
        <w:gridCol w:w="4509"/>
        <w:gridCol w:w="4510"/>
      </w:tblGrid>
      <w:tr w:rsidR="005A2454" w14:paraId="62C2CE40" w14:textId="77777777">
        <w:tc>
          <w:tcPr>
            <w:tcW w:w="4509" w:type="dxa"/>
          </w:tcPr>
          <w:p w14:paraId="09743CCB" w14:textId="07B199DC" w:rsidR="005A2454" w:rsidRDefault="00000000" w:rsidP="00F80B54">
            <w:pPr>
              <w:spacing w:line="360" w:lineRule="auto"/>
              <w:ind w:firstLine="567"/>
              <w:rPr>
                <w:b/>
                <w:bCs/>
              </w:rPr>
            </w:pPr>
            <w:r>
              <w:rPr>
                <w:b/>
                <w:bCs/>
              </w:rPr>
              <w:t>Profesor:</w:t>
            </w:r>
          </w:p>
          <w:p w14:paraId="4C8F8871" w14:textId="147FC089" w:rsidR="005A2454" w:rsidRDefault="00F677FA" w:rsidP="00F80B54">
            <w:pPr>
              <w:spacing w:line="360" w:lineRule="auto"/>
              <w:ind w:firstLine="567"/>
            </w:pPr>
            <w:proofErr w:type="spellStart"/>
            <w:r>
              <w:t>Dedaniel</w:t>
            </w:r>
            <w:proofErr w:type="spellEnd"/>
            <w:r>
              <w:t xml:space="preserve"> Urribarri</w:t>
            </w:r>
          </w:p>
        </w:tc>
        <w:tc>
          <w:tcPr>
            <w:tcW w:w="4510" w:type="dxa"/>
          </w:tcPr>
          <w:p w14:paraId="397209C8" w14:textId="77777777" w:rsidR="005A2454" w:rsidRDefault="00000000" w:rsidP="00F80B54">
            <w:pPr>
              <w:spacing w:line="360" w:lineRule="auto"/>
              <w:ind w:firstLine="567"/>
              <w:jc w:val="right"/>
              <w:rPr>
                <w:b/>
                <w:bCs/>
              </w:rPr>
            </w:pPr>
            <w:r>
              <w:rPr>
                <w:b/>
                <w:bCs/>
              </w:rPr>
              <w:t>Elaborado por:</w:t>
            </w:r>
          </w:p>
          <w:p w14:paraId="6DEAC636" w14:textId="66376FD5" w:rsidR="00F677FA" w:rsidRDefault="00000000" w:rsidP="00F80B54">
            <w:pPr>
              <w:spacing w:line="360" w:lineRule="auto"/>
              <w:ind w:firstLine="567"/>
              <w:jc w:val="right"/>
            </w:pPr>
            <w:r>
              <w:t>Luisdavid Colina V24766381</w:t>
            </w:r>
          </w:p>
        </w:tc>
      </w:tr>
    </w:tbl>
    <w:p w14:paraId="4B029B9B" w14:textId="77777777" w:rsidR="00F677FA" w:rsidRDefault="00F677FA" w:rsidP="00F80B54">
      <w:pPr>
        <w:pStyle w:val="Ttulo1"/>
        <w:widowControl w:val="0"/>
        <w:spacing w:before="370" w:after="0"/>
        <w:ind w:firstLine="567"/>
        <w:jc w:val="center"/>
        <w:rPr>
          <w:sz w:val="22"/>
          <w:szCs w:val="22"/>
        </w:rPr>
      </w:pPr>
    </w:p>
    <w:p w14:paraId="54C1132B" w14:textId="77777777" w:rsidR="00F677FA" w:rsidRDefault="00F677FA" w:rsidP="00F80B54">
      <w:pPr>
        <w:ind w:firstLine="567"/>
      </w:pPr>
    </w:p>
    <w:p w14:paraId="0DBCFA44" w14:textId="77777777" w:rsidR="00F677FA" w:rsidRDefault="00F677FA" w:rsidP="00F80B54">
      <w:pPr>
        <w:ind w:firstLine="567"/>
      </w:pPr>
    </w:p>
    <w:p w14:paraId="2A09CD17" w14:textId="77777777" w:rsidR="00F677FA" w:rsidRDefault="00F677FA" w:rsidP="00F80B54">
      <w:pPr>
        <w:ind w:firstLine="567"/>
      </w:pPr>
    </w:p>
    <w:p w14:paraId="16D2C474" w14:textId="7B504A2E" w:rsidR="00424943" w:rsidRDefault="00F677FA" w:rsidP="00F80B54">
      <w:pPr>
        <w:pStyle w:val="Ttulo1"/>
        <w:widowControl w:val="0"/>
        <w:spacing w:before="370" w:after="0"/>
        <w:ind w:firstLine="567"/>
        <w:jc w:val="center"/>
        <w:rPr>
          <w:b/>
          <w:bCs/>
          <w:color w:val="auto"/>
          <w:sz w:val="22"/>
          <w:szCs w:val="22"/>
        </w:rPr>
      </w:pPr>
      <w:r>
        <w:rPr>
          <w:b/>
          <w:bCs/>
          <w:color w:val="auto"/>
          <w:sz w:val="22"/>
          <w:szCs w:val="22"/>
        </w:rPr>
        <w:t xml:space="preserve">Fecha de solicitud: </w:t>
      </w:r>
      <w:r w:rsidR="00461B83">
        <w:rPr>
          <w:b/>
          <w:bCs/>
          <w:color w:val="auto"/>
          <w:sz w:val="22"/>
          <w:szCs w:val="22"/>
        </w:rPr>
        <w:t>21</w:t>
      </w:r>
      <w:r>
        <w:rPr>
          <w:b/>
          <w:bCs/>
          <w:color w:val="auto"/>
          <w:sz w:val="22"/>
          <w:szCs w:val="22"/>
        </w:rPr>
        <w:t xml:space="preserve"> de mayo del 2026</w:t>
      </w:r>
    </w:p>
    <w:p w14:paraId="57E05D46" w14:textId="3280C11B" w:rsidR="00F677FA" w:rsidRDefault="00F677FA" w:rsidP="00F80B54">
      <w:pPr>
        <w:pStyle w:val="Ttulo1"/>
        <w:widowControl w:val="0"/>
        <w:spacing w:before="370" w:after="0"/>
        <w:ind w:firstLine="567"/>
        <w:jc w:val="center"/>
        <w:rPr>
          <w:b/>
          <w:bCs/>
          <w:color w:val="auto"/>
          <w:sz w:val="22"/>
          <w:szCs w:val="22"/>
        </w:rPr>
      </w:pPr>
      <w:r>
        <w:rPr>
          <w:b/>
          <w:bCs/>
          <w:color w:val="auto"/>
          <w:sz w:val="22"/>
          <w:szCs w:val="22"/>
        </w:rPr>
        <w:t>Fecha de Entrega: 2</w:t>
      </w:r>
      <w:r w:rsidR="00461B83">
        <w:rPr>
          <w:b/>
          <w:bCs/>
          <w:color w:val="auto"/>
          <w:sz w:val="22"/>
          <w:szCs w:val="22"/>
        </w:rPr>
        <w:t>4</w:t>
      </w:r>
      <w:r>
        <w:rPr>
          <w:b/>
          <w:bCs/>
          <w:color w:val="auto"/>
          <w:sz w:val="22"/>
          <w:szCs w:val="22"/>
        </w:rPr>
        <w:t xml:space="preserve"> de mayo 2026</w:t>
      </w:r>
    </w:p>
    <w:p w14:paraId="73D46BAE" w14:textId="77777777" w:rsidR="00F677FA" w:rsidRDefault="00F677FA" w:rsidP="00F80B54">
      <w:pPr>
        <w:ind w:firstLine="567"/>
      </w:pPr>
    </w:p>
    <w:p w14:paraId="2DF48A0F" w14:textId="721574B3" w:rsidR="005A2454" w:rsidRDefault="00526F5C" w:rsidP="00F80B54">
      <w:pPr>
        <w:pStyle w:val="Ttulo1"/>
        <w:ind w:firstLine="567"/>
        <w:rPr>
          <w:b/>
          <w:bCs/>
        </w:rPr>
      </w:pPr>
      <w:r>
        <w:rPr>
          <w:b/>
          <w:bCs/>
        </w:rPr>
        <w:lastRenderedPageBreak/>
        <w:t>Conceptos a Investigar</w:t>
      </w:r>
    </w:p>
    <w:p w14:paraId="196100DA" w14:textId="091BB8A4" w:rsidR="005A2454" w:rsidRDefault="005A2454" w:rsidP="00F80B54">
      <w:pPr>
        <w:ind w:firstLine="567"/>
        <w:jc w:val="both"/>
        <w:rPr>
          <w:b/>
          <w:bCs/>
        </w:rPr>
      </w:pPr>
    </w:p>
    <w:p w14:paraId="447B995D" w14:textId="1D40B880" w:rsidR="00C77EBA" w:rsidRDefault="00C77EBA" w:rsidP="00C77EBA">
      <w:pPr>
        <w:ind w:firstLine="567"/>
        <w:jc w:val="both"/>
        <w:rPr>
          <w:b/>
          <w:bCs/>
        </w:rPr>
      </w:pPr>
      <w:r>
        <w:rPr>
          <w:b/>
          <w:bCs/>
        </w:rPr>
        <w:t>Ataque de Denegación de Servicio Distribuido (</w:t>
      </w:r>
      <w:proofErr w:type="spellStart"/>
      <w:r>
        <w:rPr>
          <w:b/>
          <w:bCs/>
        </w:rPr>
        <w:t>DDoS</w:t>
      </w:r>
      <w:proofErr w:type="spellEnd"/>
      <w:r>
        <w:rPr>
          <w:b/>
          <w:bCs/>
        </w:rPr>
        <w:t>)</w:t>
      </w:r>
    </w:p>
    <w:p w14:paraId="54B734AB" w14:textId="77777777" w:rsidR="00C77EBA" w:rsidRDefault="00C77EBA" w:rsidP="00C77EBA">
      <w:pPr>
        <w:ind w:firstLine="567"/>
        <w:jc w:val="both"/>
      </w:pPr>
      <w:r>
        <w:t>Un ataque de Denegación de Servicio Distribuido (</w:t>
      </w:r>
      <w:proofErr w:type="spellStart"/>
      <w:r>
        <w:t>DDoS</w:t>
      </w:r>
      <w:proofErr w:type="spellEnd"/>
      <w:r>
        <w:t>) es una amenaza cibernética que busca saturar los recursos de un sistema, servidor o infraestructura de red mediante el envío masivo y coordinado de tráfico malicioso, con el objetivo de interrumpir o degradar el servicio para los usuarios legítimos [1]. A diferencia de un ataque DoS convencional, la variante distribuida emplea una red de dispositivos comprometidos (</w:t>
      </w:r>
      <w:proofErr w:type="spellStart"/>
      <w:r>
        <w:t>botnet</w:t>
      </w:r>
      <w:proofErr w:type="spellEnd"/>
      <w:r>
        <w:t>) dispersos geográficamente, lo que dificulta significativamente su mitigación y atribución. Los vectores más comunes incluyen las inundaciones UDP y SYN, los ataques de amplificación mediante protocolos como SSDP o ESP, y los ataques a la capa de aplicación (HTTP Flood) [1].</w:t>
      </w:r>
    </w:p>
    <w:p w14:paraId="54B734AC" w14:textId="77777777" w:rsidR="00C77EBA" w:rsidRDefault="00C77EBA" w:rsidP="00C77EBA">
      <w:pPr>
        <w:ind w:firstLine="567"/>
        <w:jc w:val="both"/>
      </w:pPr>
      <w:r>
        <w:t xml:space="preserve">Desde el punto de vista de la clasificación, los ataques </w:t>
      </w:r>
      <w:proofErr w:type="spellStart"/>
      <w:r>
        <w:t>DDoS</w:t>
      </w:r>
      <w:proofErr w:type="spellEnd"/>
      <w:r>
        <w:t xml:space="preserve"> se dividen en volumétricos (orientados a consumir el ancho de banda disponible), de protocolo (que explotan debilidades en protocolos de red como TCP/IP) y de capa de aplicación (dirigidos a agotar los recursos del servidor web o de la aplicación). La mitigación efectiva requiere una combinación de filtrado inteligente de tráfico, limitación de velocidad, análisis heurístico en tiempo real y redes de distribución </w:t>
      </w:r>
      <w:proofErr w:type="spellStart"/>
      <w:r>
        <w:t>anycast</w:t>
      </w:r>
      <w:proofErr w:type="spellEnd"/>
      <w:r>
        <w:t xml:space="preserve"> capaces de absorber y dispersar el volumen de ataque [1].</w:t>
      </w:r>
    </w:p>
    <w:p w14:paraId="136C3A40" w14:textId="56F2AC31" w:rsidR="00C77EBA" w:rsidRDefault="00C77EBA" w:rsidP="00C77EBA">
      <w:pPr>
        <w:ind w:firstLine="567"/>
        <w:jc w:val="both"/>
        <w:rPr>
          <w:b/>
          <w:bCs/>
        </w:rPr>
      </w:pPr>
      <w:r>
        <w:rPr>
          <w:b/>
          <w:bCs/>
        </w:rPr>
        <w:t xml:space="preserve">El Caso </w:t>
      </w:r>
      <w:proofErr w:type="spellStart"/>
      <w:r>
        <w:rPr>
          <w:b/>
          <w:bCs/>
        </w:rPr>
        <w:t>Cloudflare</w:t>
      </w:r>
      <w:proofErr w:type="spellEnd"/>
      <w:r>
        <w:rPr>
          <w:b/>
          <w:bCs/>
        </w:rPr>
        <w:t xml:space="preserve"> 2025: Ataques </w:t>
      </w:r>
      <w:proofErr w:type="spellStart"/>
      <w:r>
        <w:rPr>
          <w:b/>
          <w:bCs/>
        </w:rPr>
        <w:t>DDoS</w:t>
      </w:r>
      <w:proofErr w:type="spellEnd"/>
      <w:r>
        <w:rPr>
          <w:b/>
          <w:bCs/>
        </w:rPr>
        <w:t xml:space="preserve"> de Escala Sin Precedentes</w:t>
      </w:r>
    </w:p>
    <w:p w14:paraId="3A0255BB" w14:textId="77777777" w:rsidR="00C77EBA" w:rsidRDefault="00C77EBA" w:rsidP="00C77EBA">
      <w:pPr>
        <w:ind w:firstLine="567"/>
        <w:jc w:val="both"/>
      </w:pPr>
      <w:r>
        <w:t xml:space="preserve">El año 2025 marcó un hito crítico en la historia de los ataques </w:t>
      </w:r>
      <w:proofErr w:type="spellStart"/>
      <w:r>
        <w:t>DDoS</w:t>
      </w:r>
      <w:proofErr w:type="spellEnd"/>
      <w:r>
        <w:t xml:space="preserve">. </w:t>
      </w:r>
      <w:proofErr w:type="spellStart"/>
      <w:r>
        <w:t>Cloudflare</w:t>
      </w:r>
      <w:proofErr w:type="spellEnd"/>
      <w:r>
        <w:t xml:space="preserve">, empresa proveedora de servicios de red y seguridad en Internet, reportó haber mitigado en el primer trimestre de 2025 un total de 20,5 millones de ataques </w:t>
      </w:r>
      <w:proofErr w:type="spellStart"/>
      <w:r>
        <w:t>DDoS</w:t>
      </w:r>
      <w:proofErr w:type="spellEnd"/>
      <w:r>
        <w:t xml:space="preserve">, cifra que representó un incremento interanual del 358% y superó el total registrado durante todo el año 2024 [2]. Durante ese mismo periodo, se bloquearon aproximadamente 700 ataques </w:t>
      </w:r>
      <w:proofErr w:type="spellStart"/>
      <w:r>
        <w:t>hipervolumétricos</w:t>
      </w:r>
      <w:proofErr w:type="spellEnd"/>
      <w:r>
        <w:t xml:space="preserve"> que superaron 1 </w:t>
      </w:r>
      <w:proofErr w:type="spellStart"/>
      <w:r>
        <w:t>Tbps</w:t>
      </w:r>
      <w:proofErr w:type="spellEnd"/>
      <w:r>
        <w:t xml:space="preserve">, con picos que alcanzaron los 6,5 </w:t>
      </w:r>
      <w:proofErr w:type="spellStart"/>
      <w:r>
        <w:t>Tbps</w:t>
      </w:r>
      <w:proofErr w:type="spellEnd"/>
      <w:r>
        <w:t xml:space="preserve"> y 4.800 millones de paquetes por segundo [2].</w:t>
      </w:r>
    </w:p>
    <w:p w14:paraId="3A0255BC" w14:textId="77777777" w:rsidR="00C77EBA" w:rsidRDefault="00C77EBA" w:rsidP="00C77EBA">
      <w:pPr>
        <w:ind w:firstLine="567"/>
        <w:jc w:val="both"/>
      </w:pPr>
      <w:r>
        <w:t xml:space="preserve">El evento más destacado ocurrió a mediados de mayo de 2025, cuando </w:t>
      </w:r>
      <w:proofErr w:type="spellStart"/>
      <w:r>
        <w:t>Cloudflare</w:t>
      </w:r>
      <w:proofErr w:type="spellEnd"/>
      <w:r>
        <w:t xml:space="preserve"> bloqueó el mayor ataque </w:t>
      </w:r>
      <w:proofErr w:type="spellStart"/>
      <w:r>
        <w:t>DDoS</w:t>
      </w:r>
      <w:proofErr w:type="spellEnd"/>
      <w:r>
        <w:t xml:space="preserve"> jamás registrado públicamente: un pico de 7,3 terabits por segundo (</w:t>
      </w:r>
      <w:proofErr w:type="spellStart"/>
      <w:r>
        <w:t>Tbps</w:t>
      </w:r>
      <w:proofErr w:type="spellEnd"/>
      <w:r>
        <w:t xml:space="preserve">) dirigido contra un proveedor de servicios de alojamiento web cliente de </w:t>
      </w:r>
      <w:proofErr w:type="spellStart"/>
      <w:r>
        <w:t>Cloudflare</w:t>
      </w:r>
      <w:proofErr w:type="spellEnd"/>
      <w:r>
        <w:t xml:space="preserve"> Magic </w:t>
      </w:r>
      <w:proofErr w:type="spellStart"/>
      <w:r>
        <w:t>Transit</w:t>
      </w:r>
      <w:proofErr w:type="spellEnd"/>
      <w:r>
        <w:t xml:space="preserve"> [3]. El ataque, impulsado principalmente por inundaciones UDP desde más de 122.000 direcciones IP fuente, transmitió un total de 37,4 terabytes de datos en apenas 45 segundos. Toda la mitigación fue ejecutada de forma autónoma por los sistemas automatizados de </w:t>
      </w:r>
      <w:proofErr w:type="spellStart"/>
      <w:r>
        <w:t>Cloudflare</w:t>
      </w:r>
      <w:proofErr w:type="spellEnd"/>
      <w:r>
        <w:t xml:space="preserve">, sin intervención humana, utilizando técnicas de generación de huellas digitales en tiempo real mediante su motor heurístico denominado </w:t>
      </w:r>
      <w:proofErr w:type="spellStart"/>
      <w:r>
        <w:t>dosd</w:t>
      </w:r>
      <w:proofErr w:type="spellEnd"/>
      <w:r>
        <w:t xml:space="preserve"> (</w:t>
      </w:r>
      <w:proofErr w:type="spellStart"/>
      <w:r>
        <w:t>daemon</w:t>
      </w:r>
      <w:proofErr w:type="spellEnd"/>
      <w:r>
        <w:t xml:space="preserve"> de denegación de servicio) [3].</w:t>
      </w:r>
    </w:p>
    <w:p w14:paraId="05A9B388" w14:textId="36C4954B" w:rsidR="00C77EBA" w:rsidRDefault="00C77EBA" w:rsidP="00C77EBA">
      <w:pPr>
        <w:ind w:firstLine="567"/>
        <w:jc w:val="both"/>
        <w:rPr>
          <w:b/>
          <w:bCs/>
        </w:rPr>
      </w:pPr>
      <w:proofErr w:type="spellStart"/>
      <w:r>
        <w:rPr>
          <w:b/>
          <w:bCs/>
        </w:rPr>
        <w:lastRenderedPageBreak/>
        <w:t>Botnets</w:t>
      </w:r>
      <w:proofErr w:type="spellEnd"/>
      <w:r>
        <w:rPr>
          <w:b/>
          <w:bCs/>
        </w:rPr>
        <w:t xml:space="preserve"> y Vectores de Ataque Emergentes</w:t>
      </w:r>
    </w:p>
    <w:p w14:paraId="5A58EF61" w14:textId="77777777" w:rsidR="00C77EBA" w:rsidRDefault="00C77EBA" w:rsidP="00C77EBA">
      <w:pPr>
        <w:ind w:firstLine="567"/>
        <w:jc w:val="both"/>
      </w:pPr>
      <w:r>
        <w:t xml:space="preserve">Una </w:t>
      </w:r>
      <w:proofErr w:type="spellStart"/>
      <w:r>
        <w:t>botnet</w:t>
      </w:r>
      <w:proofErr w:type="spellEnd"/>
      <w:r>
        <w:t xml:space="preserve"> es una red de dispositivos infectados con malware, controlados remotamente por un actor malicioso (</w:t>
      </w:r>
      <w:proofErr w:type="spellStart"/>
      <w:r>
        <w:t>botmaster</w:t>
      </w:r>
      <w:proofErr w:type="spellEnd"/>
      <w:r>
        <w:t xml:space="preserve">), que se utilizan de forma coordinada para ejecutar ataques </w:t>
      </w:r>
      <w:proofErr w:type="spellStart"/>
      <w:r>
        <w:t>DDoS</w:t>
      </w:r>
      <w:proofErr w:type="spellEnd"/>
      <w:r>
        <w:t xml:space="preserve"> a gran escala [4]. En el contexto de los ataques reportados por </w:t>
      </w:r>
      <w:proofErr w:type="spellStart"/>
      <w:r>
        <w:t>Cloudflare</w:t>
      </w:r>
      <w:proofErr w:type="spellEnd"/>
      <w:r>
        <w:t xml:space="preserve"> durante 2025, destacó la </w:t>
      </w:r>
      <w:proofErr w:type="spellStart"/>
      <w:r>
        <w:t>botnet</w:t>
      </w:r>
      <w:proofErr w:type="spellEnd"/>
      <w:r>
        <w:t xml:space="preserve"> </w:t>
      </w:r>
      <w:proofErr w:type="spellStart"/>
      <w:r>
        <w:t>Aisuru-Kimwolf</w:t>
      </w:r>
      <w:proofErr w:type="spellEnd"/>
      <w:r>
        <w:t xml:space="preserve">, estimada entre 1 y 4 millones de hosts infectados, capaz de generar tráfico suficiente para interrumpir la conectividad de países enteros como efecto colateral [4]. Esta </w:t>
      </w:r>
      <w:proofErr w:type="spellStart"/>
      <w:r>
        <w:t>botnet</w:t>
      </w:r>
      <w:proofErr w:type="spellEnd"/>
      <w:r>
        <w:t xml:space="preserve"> fue responsable de la campaña que culminó con el ataque récord de 31,4 </w:t>
      </w:r>
      <w:proofErr w:type="spellStart"/>
      <w:r>
        <w:t>Tbps</w:t>
      </w:r>
      <w:proofErr w:type="spellEnd"/>
      <w:r>
        <w:t xml:space="preserve"> registrado en el cuarto trimestre de 2025.</w:t>
      </w:r>
    </w:p>
    <w:p w14:paraId="5A58EF62" w14:textId="77777777" w:rsidR="00C77EBA" w:rsidRDefault="00C77EBA" w:rsidP="00C77EBA">
      <w:pPr>
        <w:ind w:firstLine="567"/>
        <w:jc w:val="both"/>
      </w:pPr>
      <w:r>
        <w:t>Entre los vectores emergentes más preocupantes del periodo se encuentran los ataques basados en el protocolo ESP (</w:t>
      </w:r>
      <w:proofErr w:type="spellStart"/>
      <w:r>
        <w:t>Encapsulating</w:t>
      </w:r>
      <w:proofErr w:type="spellEnd"/>
      <w:r>
        <w:t xml:space="preserve"> Security </w:t>
      </w:r>
      <w:proofErr w:type="spellStart"/>
      <w:r>
        <w:t>Payload</w:t>
      </w:r>
      <w:proofErr w:type="spellEnd"/>
      <w:r>
        <w:t xml:space="preserve">), que registraron un crecimiento del 2.301% en el primer trimestre de 2025, aprovechando errores de configuración en sistemas expuestos [2]. Asimismo, los ataques a la capa de red crecieron un 700% en términos interanuales a lo largo de 2025, evidenciando una tendencia hacia ataques </w:t>
      </w:r>
      <w:proofErr w:type="spellStart"/>
      <w:r>
        <w:t>hipervolumétricos</w:t>
      </w:r>
      <w:proofErr w:type="spellEnd"/>
      <w:r>
        <w:t xml:space="preserve"> de muy corta duración —entre 35 y 45 segundos— pero de intensidad devastadora [4].</w:t>
      </w:r>
    </w:p>
    <w:p w14:paraId="20E40B99" w14:textId="2EA00849" w:rsidR="00C77EBA" w:rsidRDefault="00C77EBA" w:rsidP="00C77EBA">
      <w:pPr>
        <w:ind w:firstLine="567"/>
        <w:jc w:val="both"/>
        <w:rPr>
          <w:b/>
          <w:bCs/>
        </w:rPr>
      </w:pPr>
      <w:r>
        <w:rPr>
          <w:b/>
          <w:bCs/>
        </w:rPr>
        <w:t xml:space="preserve">Mecanismos de Mitigación Autónoma de </w:t>
      </w:r>
      <w:proofErr w:type="spellStart"/>
      <w:r>
        <w:rPr>
          <w:b/>
          <w:bCs/>
        </w:rPr>
        <w:t>DDoS</w:t>
      </w:r>
      <w:proofErr w:type="spellEnd"/>
    </w:p>
    <w:p w14:paraId="679D9844" w14:textId="77777777" w:rsidR="00C77EBA" w:rsidRDefault="00C77EBA" w:rsidP="00C77EBA">
      <w:pPr>
        <w:ind w:firstLine="567"/>
        <w:jc w:val="both"/>
      </w:pPr>
      <w:r>
        <w:t xml:space="preserve">La mitigación de ataques </w:t>
      </w:r>
      <w:proofErr w:type="spellStart"/>
      <w:r>
        <w:t>DDoS</w:t>
      </w:r>
      <w:proofErr w:type="spellEnd"/>
      <w:r>
        <w:t xml:space="preserve"> a escala </w:t>
      </w:r>
      <w:proofErr w:type="spellStart"/>
      <w:r>
        <w:t>hipervolumétrica</w:t>
      </w:r>
      <w:proofErr w:type="spellEnd"/>
      <w:r>
        <w:t xml:space="preserve"> requiere infraestructuras diseñadas específicamente para absorber y filtrar el tráfico malicioso sin afectar a los usuarios legítimos. El modelo arquitectónico empleado por proveedores como </w:t>
      </w:r>
      <w:proofErr w:type="spellStart"/>
      <w:r>
        <w:t>Cloudflare</w:t>
      </w:r>
      <w:proofErr w:type="spellEnd"/>
      <w:r>
        <w:t xml:space="preserve"> se basa en redes </w:t>
      </w:r>
      <w:proofErr w:type="spellStart"/>
      <w:r>
        <w:t>anycast</w:t>
      </w:r>
      <w:proofErr w:type="spellEnd"/>
      <w:r>
        <w:t xml:space="preserve"> globales distribuidas en cientos de centros de datos, que permiten dispersar geográficamente el volumen de ataque y procesarlo en paralelo [3]. Esta arquitectura distribuida, combinada con técnicas avanzadas como el Extended Berkeley </w:t>
      </w:r>
      <w:proofErr w:type="spellStart"/>
      <w:r>
        <w:t>Packet</w:t>
      </w:r>
      <w:proofErr w:type="spellEnd"/>
      <w:r>
        <w:t xml:space="preserve"> Filter (</w:t>
      </w:r>
      <w:proofErr w:type="spellStart"/>
      <w:r>
        <w:t>eBPF</w:t>
      </w:r>
      <w:proofErr w:type="spellEnd"/>
      <w:r>
        <w:t>) para el análisis de tráfico a nivel del núcleo del sistema operativo, posibilita la detección y respuesta en milisegundos sin intervención humana.</w:t>
      </w:r>
    </w:p>
    <w:p w14:paraId="679D9845" w14:textId="77777777" w:rsidR="00C77EBA" w:rsidRDefault="00C77EBA" w:rsidP="00C77EBA">
      <w:pPr>
        <w:ind w:firstLine="567"/>
        <w:jc w:val="both"/>
      </w:pPr>
      <w:r>
        <w:t xml:space="preserve">Adicionalmente, los sistemas de protección modernos implementan mecanismos de generación de huellas digitales en tiempo real que analizan patrones en los encabezados de paquetes, detectan anomalías estadísticas y propagan las reglas de mitigación entre nodos de la red en fracciones de segundo [3]. Herramientas complementarias como el filtrado inteligente de tráfico, la limitación de velocidad basada en reputación geográfica e IP, y los conjuntos de reglas administradas de protección </w:t>
      </w:r>
      <w:proofErr w:type="spellStart"/>
      <w:r>
        <w:t>DDoS</w:t>
      </w:r>
      <w:proofErr w:type="spellEnd"/>
      <w:r>
        <w:t xml:space="preserve"> conforman una defensa en capas que permite distinguir el tráfico legítimo del malicioso incluso en los picos de mayor intensidad [1].</w:t>
      </w:r>
    </w:p>
    <w:p w14:paraId="23E73E94" w14:textId="3867B744" w:rsidR="00C77EBA" w:rsidRDefault="00C77EBA" w:rsidP="00C77EBA">
      <w:pPr>
        <w:ind w:firstLine="567"/>
        <w:jc w:val="both"/>
        <w:rPr>
          <w:b/>
          <w:bCs/>
        </w:rPr>
      </w:pPr>
      <w:r>
        <w:rPr>
          <w:b/>
          <w:bCs/>
        </w:rPr>
        <w:t>Implicaciones para la Gestión de Riesgos y la Continuidad del Servicio</w:t>
      </w:r>
    </w:p>
    <w:p w14:paraId="23E73E95" w14:textId="77777777" w:rsidR="00C77EBA" w:rsidRDefault="00C77EBA" w:rsidP="00C77EBA">
      <w:pPr>
        <w:ind w:firstLine="567"/>
        <w:jc w:val="both"/>
      </w:pPr>
      <w:r>
        <w:t xml:space="preserve">La escalada sostenida de los ataques </w:t>
      </w:r>
      <w:proofErr w:type="spellStart"/>
      <w:r>
        <w:t>DDoS</w:t>
      </w:r>
      <w:proofErr w:type="spellEnd"/>
      <w:r>
        <w:t xml:space="preserve"> en magnitud y frecuencia durante 2025 tiene implicaciones directas sobre los modelos de gestión de riesgos en ciberseguridad. </w:t>
      </w:r>
      <w:r>
        <w:lastRenderedPageBreak/>
        <w:t>Desde la perspectiva de los Acuerdos de Nivel de Servicio (SLA), los proveedores deben garantizar tiempos de respuesta ante incidentes y niveles de disponibilidad (</w:t>
      </w:r>
      <w:proofErr w:type="spellStart"/>
      <w:r>
        <w:t>uptime</w:t>
      </w:r>
      <w:proofErr w:type="spellEnd"/>
      <w:r>
        <w:t xml:space="preserve">) que resultan cada vez más exigentes ante amenazas capaces de generar decenas de terabits por segundo [5]. La dependencia de la infraestructura digital crítica —servicios financieros, telecomunicaciones, plataformas de salud— respecto de la conectividad a Internet convierte a los ataques </w:t>
      </w:r>
      <w:proofErr w:type="spellStart"/>
      <w:r>
        <w:t>DDoS</w:t>
      </w:r>
      <w:proofErr w:type="spellEnd"/>
      <w:r>
        <w:t xml:space="preserve"> en una herramienta de alto impacto estratégico.</w:t>
      </w:r>
    </w:p>
    <w:p w14:paraId="23E73E96" w14:textId="77777777" w:rsidR="00C77EBA" w:rsidRDefault="00C77EBA" w:rsidP="00C77EBA">
      <w:pPr>
        <w:ind w:firstLine="567"/>
        <w:jc w:val="both"/>
      </w:pPr>
      <w:r>
        <w:t xml:space="preserve">Para las organizaciones, la lección fundamental del panorama 2025 es que la prevención reactiva resulta insuficiente: se requiere una postura de resiliencia proactiva que incluya la adopción de servicios de mitigación </w:t>
      </w:r>
      <w:proofErr w:type="spellStart"/>
      <w:r>
        <w:t>DDoS</w:t>
      </w:r>
      <w:proofErr w:type="spellEnd"/>
      <w:r>
        <w:t xml:space="preserve"> automatizados, la revisión continua de configuraciones de red, la segmentación de infraestructura crítica y la integración de planes de respuesta ante incidentes alineados con marcos normativos como ISO/IEC 27001 [5]. El análisis de los incidentes de </w:t>
      </w:r>
      <w:proofErr w:type="spellStart"/>
      <w:r>
        <w:t>Cloudflare</w:t>
      </w:r>
      <w:proofErr w:type="spellEnd"/>
      <w:r>
        <w:t xml:space="preserve"> demuestra que, en un entorno donde el crecimiento de los ataques sigue una curva exponencial, la automatización y la escala de la defensa son factores determinantes para la continuidad operacional.</w:t>
      </w:r>
    </w:p>
    <w:p w14:paraId="3D1F5561" w14:textId="77777777" w:rsidR="00B063F7" w:rsidRDefault="00B063F7" w:rsidP="00C77EBA">
      <w:pPr>
        <w:ind w:firstLine="567"/>
        <w:jc w:val="both"/>
      </w:pPr>
    </w:p>
    <w:p w14:paraId="6A9019E1" w14:textId="77777777" w:rsidR="00744B82" w:rsidRDefault="00744B82" w:rsidP="00C77EBA">
      <w:pPr>
        <w:ind w:firstLine="567"/>
        <w:jc w:val="both"/>
      </w:pPr>
    </w:p>
    <w:p w14:paraId="1F08C9EF" w14:textId="77777777" w:rsidR="00744B82" w:rsidRDefault="00744B82" w:rsidP="00C77EBA">
      <w:pPr>
        <w:ind w:firstLine="567"/>
        <w:jc w:val="both"/>
      </w:pPr>
    </w:p>
    <w:p w14:paraId="001CA657" w14:textId="77777777" w:rsidR="00744B82" w:rsidRDefault="00744B82" w:rsidP="00C77EBA">
      <w:pPr>
        <w:ind w:firstLine="567"/>
        <w:jc w:val="both"/>
      </w:pPr>
    </w:p>
    <w:p w14:paraId="5AE0492F" w14:textId="77777777" w:rsidR="00744B82" w:rsidRDefault="00744B82" w:rsidP="00C77EBA">
      <w:pPr>
        <w:ind w:firstLine="567"/>
        <w:jc w:val="both"/>
      </w:pPr>
    </w:p>
    <w:p w14:paraId="4C850493" w14:textId="77777777" w:rsidR="00744B82" w:rsidRDefault="00744B82" w:rsidP="00C77EBA">
      <w:pPr>
        <w:ind w:firstLine="567"/>
        <w:jc w:val="both"/>
      </w:pPr>
    </w:p>
    <w:p w14:paraId="6AE7A209" w14:textId="77777777" w:rsidR="00744B82" w:rsidRDefault="00744B82" w:rsidP="00C77EBA">
      <w:pPr>
        <w:ind w:firstLine="567"/>
        <w:jc w:val="both"/>
      </w:pPr>
    </w:p>
    <w:p w14:paraId="5DBC2077" w14:textId="77777777" w:rsidR="00744B82" w:rsidRDefault="00744B82" w:rsidP="00C77EBA">
      <w:pPr>
        <w:ind w:firstLine="567"/>
        <w:jc w:val="both"/>
      </w:pPr>
    </w:p>
    <w:p w14:paraId="629AB3A5" w14:textId="77777777" w:rsidR="00744B82" w:rsidRDefault="00744B82" w:rsidP="00C77EBA">
      <w:pPr>
        <w:ind w:firstLine="567"/>
        <w:jc w:val="both"/>
      </w:pPr>
    </w:p>
    <w:p w14:paraId="3CD2FEB7" w14:textId="77777777" w:rsidR="00744B82" w:rsidRDefault="00744B82" w:rsidP="00C77EBA">
      <w:pPr>
        <w:ind w:firstLine="567"/>
        <w:jc w:val="both"/>
      </w:pPr>
    </w:p>
    <w:p w14:paraId="78CA3FF0" w14:textId="77777777" w:rsidR="00744B82" w:rsidRDefault="00744B82" w:rsidP="00C77EBA">
      <w:pPr>
        <w:ind w:firstLine="567"/>
        <w:jc w:val="both"/>
      </w:pPr>
    </w:p>
    <w:p w14:paraId="66A1F9BC" w14:textId="77777777" w:rsidR="00744B82" w:rsidRDefault="00744B82" w:rsidP="00C77EBA">
      <w:pPr>
        <w:ind w:firstLine="567"/>
        <w:jc w:val="both"/>
      </w:pPr>
    </w:p>
    <w:p w14:paraId="075B9DA0" w14:textId="77777777" w:rsidR="00B063F7" w:rsidRDefault="00B063F7" w:rsidP="00C77EBA">
      <w:pPr>
        <w:ind w:firstLine="567"/>
        <w:jc w:val="both"/>
      </w:pPr>
    </w:p>
    <w:p w14:paraId="500D8B2B" w14:textId="11E050CF" w:rsidR="006D087D" w:rsidRDefault="006D087D" w:rsidP="00B063F7">
      <w:pPr>
        <w:pStyle w:val="Ttulo1"/>
        <w:ind w:firstLine="567"/>
        <w:rPr>
          <w:b/>
          <w:bCs/>
        </w:rPr>
      </w:pPr>
      <w:r>
        <w:rPr>
          <w:b/>
          <w:bCs/>
        </w:rPr>
        <w:lastRenderedPageBreak/>
        <w:t>Conclusiones</w:t>
      </w:r>
    </w:p>
    <w:p w14:paraId="693B2047" w14:textId="77777777" w:rsidR="006D087D" w:rsidRDefault="006D087D" w:rsidP="00B063F7">
      <w:pPr>
        <w:ind w:left="-142" w:firstLine="426"/>
        <w:jc w:val="both"/>
      </w:pPr>
    </w:p>
    <w:p w14:paraId="693B2048" w14:textId="77777777" w:rsidR="006D087D" w:rsidRDefault="006D087D" w:rsidP="00B063F7">
      <w:pPr>
        <w:ind w:firstLine="567"/>
        <w:jc w:val="both"/>
      </w:pPr>
      <w:r>
        <w:t xml:space="preserve">El estudio de los ataques </w:t>
      </w:r>
      <w:proofErr w:type="spellStart"/>
      <w:r>
        <w:t>DDoS</w:t>
      </w:r>
      <w:proofErr w:type="spellEnd"/>
      <w:r>
        <w:t xml:space="preserve"> a través del caso </w:t>
      </w:r>
      <w:proofErr w:type="spellStart"/>
      <w:r>
        <w:t>Cloudflare</w:t>
      </w:r>
      <w:proofErr w:type="spellEnd"/>
      <w:r>
        <w:t xml:space="preserve"> 2025 permite extraer conclusiones que trascienden lo meramente técnico y se sitúan en el centro de la gestión de seguridad moderna. Se concluye que:</w:t>
      </w:r>
    </w:p>
    <w:p w14:paraId="693B2049" w14:textId="77777777" w:rsidR="006D087D" w:rsidRDefault="006D087D" w:rsidP="00B063F7">
      <w:pPr>
        <w:numPr>
          <w:ilvl w:val="0"/>
          <w:numId w:val="5"/>
        </w:numPr>
        <w:jc w:val="both"/>
      </w:pPr>
      <w:r>
        <w:t xml:space="preserve">Los ataques </w:t>
      </w:r>
      <w:proofErr w:type="spellStart"/>
      <w:r>
        <w:t>DDoS</w:t>
      </w:r>
      <w:proofErr w:type="spellEnd"/>
      <w:r>
        <w:t xml:space="preserve"> han dejado de ser una amenaza volumétrica predecible para convertirse en campañas </w:t>
      </w:r>
      <w:proofErr w:type="spellStart"/>
      <w:r>
        <w:t>multivectoriales</w:t>
      </w:r>
      <w:proofErr w:type="spellEnd"/>
      <w:r>
        <w:t xml:space="preserve"> de alta sofisticación, con picos que en 2025 alcanzaron los 31,4 </w:t>
      </w:r>
      <w:proofErr w:type="spellStart"/>
      <w:r>
        <w:t>Tbps</w:t>
      </w:r>
      <w:proofErr w:type="spellEnd"/>
      <w:r>
        <w:t>, evidenciando que la magnitud de las amenazas sigue una curva de crecimiento exponencial.</w:t>
      </w:r>
    </w:p>
    <w:p w14:paraId="693B204A" w14:textId="77777777" w:rsidR="006D087D" w:rsidRDefault="006D087D" w:rsidP="00B063F7">
      <w:pPr>
        <w:numPr>
          <w:ilvl w:val="0"/>
          <w:numId w:val="5"/>
        </w:numPr>
        <w:jc w:val="both"/>
      </w:pPr>
      <w:r>
        <w:t xml:space="preserve">La automatización de la mitigación mediante infraestructuras </w:t>
      </w:r>
      <w:proofErr w:type="spellStart"/>
      <w:r>
        <w:t>anycast</w:t>
      </w:r>
      <w:proofErr w:type="spellEnd"/>
      <w:r>
        <w:t xml:space="preserve">, análisis heurístico en tiempo real y técnicas como </w:t>
      </w:r>
      <w:proofErr w:type="spellStart"/>
      <w:r>
        <w:t>eBPF</w:t>
      </w:r>
      <w:proofErr w:type="spellEnd"/>
      <w:r>
        <w:t xml:space="preserve"> representa el estándar mínimo de defensa requerido para neutralizar ataques de escala terabit sin comprometer la disponibilidad del servicio.</w:t>
      </w:r>
    </w:p>
    <w:p w14:paraId="693B204B" w14:textId="77777777" w:rsidR="006D087D" w:rsidRDefault="006D087D" w:rsidP="00B063F7">
      <w:pPr>
        <w:numPr>
          <w:ilvl w:val="0"/>
          <w:numId w:val="5"/>
        </w:numPr>
        <w:jc w:val="both"/>
      </w:pPr>
      <w:r>
        <w:t xml:space="preserve">Las </w:t>
      </w:r>
      <w:proofErr w:type="spellStart"/>
      <w:r>
        <w:t>botnets</w:t>
      </w:r>
      <w:proofErr w:type="spellEnd"/>
      <w:r>
        <w:t xml:space="preserve"> de nueva generación, como Aisuru-Kimwolf, representan una amenaza sistémica que supera los modelos de protección heredados y exige una respuesta coordinada entre organismos internacionales como CISA, proveedores de infraestructura y equipos de seguridad empresariales.</w:t>
      </w:r>
    </w:p>
    <w:p w14:paraId="693B204C" w14:textId="77777777" w:rsidR="006D087D" w:rsidRDefault="006D087D" w:rsidP="00B063F7">
      <w:pPr>
        <w:numPr>
          <w:ilvl w:val="0"/>
          <w:numId w:val="5"/>
        </w:numPr>
        <w:jc w:val="both"/>
      </w:pPr>
      <w:r>
        <w:t xml:space="preserve">La integración de la gestión de riesgos </w:t>
      </w:r>
      <w:proofErr w:type="spellStart"/>
      <w:r>
        <w:t>DDoS</w:t>
      </w:r>
      <w:proofErr w:type="spellEnd"/>
      <w:r>
        <w:t xml:space="preserve"> dentro de marcos normativos como ISO/IEC 27001 y la formalización de compromisos de disponibilidad mediante SLA resultan indispensables para garantizar la resiliencia operacional de las organizaciones frente a una amenaza en constante evolución.</w:t>
      </w:r>
    </w:p>
    <w:p w14:paraId="14676B9E" w14:textId="77777777" w:rsidR="006D087D" w:rsidRDefault="006D087D" w:rsidP="00F80B54">
      <w:pPr>
        <w:ind w:firstLine="567"/>
        <w:jc w:val="both"/>
      </w:pPr>
    </w:p>
    <w:p w14:paraId="607D6C12" w14:textId="77777777" w:rsidR="006D087D" w:rsidRDefault="006D087D" w:rsidP="00F80B54">
      <w:pPr>
        <w:ind w:firstLine="567"/>
        <w:jc w:val="both"/>
      </w:pPr>
    </w:p>
    <w:p w14:paraId="2AE4E3C4" w14:textId="77777777" w:rsidR="006D087D" w:rsidRDefault="006D087D" w:rsidP="00F80B54">
      <w:pPr>
        <w:ind w:firstLine="567"/>
        <w:jc w:val="both"/>
      </w:pPr>
    </w:p>
    <w:p w14:paraId="3A3B59FF" w14:textId="77777777" w:rsidR="006D087D" w:rsidRDefault="006D087D" w:rsidP="00F80B54">
      <w:pPr>
        <w:ind w:firstLine="567"/>
        <w:jc w:val="both"/>
      </w:pPr>
    </w:p>
    <w:p w14:paraId="7B4F5092" w14:textId="77777777" w:rsidR="006D087D" w:rsidRDefault="006D087D" w:rsidP="00F80B54">
      <w:pPr>
        <w:ind w:firstLine="567"/>
        <w:jc w:val="both"/>
      </w:pPr>
    </w:p>
    <w:p w14:paraId="2C7BF9FA" w14:textId="77777777" w:rsidR="006D087D" w:rsidRDefault="006D087D" w:rsidP="00F80B54">
      <w:pPr>
        <w:ind w:firstLine="567"/>
        <w:jc w:val="both"/>
      </w:pPr>
    </w:p>
    <w:p w14:paraId="318F59A3" w14:textId="77777777" w:rsidR="006D087D" w:rsidRDefault="006D087D" w:rsidP="00B063F7">
      <w:pPr>
        <w:jc w:val="both"/>
      </w:pPr>
    </w:p>
    <w:p w14:paraId="17B88905" w14:textId="77777777" w:rsidR="005A2454" w:rsidRDefault="00000000" w:rsidP="00F80B54">
      <w:pPr>
        <w:pStyle w:val="Ttulo1"/>
        <w:ind w:firstLine="567"/>
        <w:rPr>
          <w:b/>
          <w:bCs/>
          <w:lang w:val="en-US"/>
        </w:rPr>
      </w:pPr>
      <w:proofErr w:type="spellStart"/>
      <w:r>
        <w:rPr>
          <w:b/>
          <w:bCs/>
          <w:lang w:val="en-US"/>
        </w:rPr>
        <w:lastRenderedPageBreak/>
        <w:t>Referencias</w:t>
      </w:r>
      <w:proofErr w:type="spellEnd"/>
    </w:p>
    <w:p w14:paraId="7EC4A9D6" w14:textId="76EE6595" w:rsidR="00F80B54" w:rsidRDefault="00F80B54" w:rsidP="00F80B54">
      <w:pPr>
        <w:ind w:firstLine="567"/>
        <w:rPr>
          <w:lang w:val="en-US"/>
        </w:rPr>
      </w:pPr>
    </w:p>
    <w:p w14:paraId="6AAFC240" w14:textId="7E39F813" w:rsidR="00B063F7" w:rsidRPr="00461B83" w:rsidRDefault="006D087D" w:rsidP="00B063F7">
      <w:pPr>
        <w:spacing w:after="140"/>
        <w:ind w:firstLine="567"/>
        <w:jc w:val="both"/>
      </w:pPr>
      <w:r>
        <w:rPr>
          <w:lang w:val="en-US"/>
        </w:rPr>
        <w:t xml:space="preserve">[1] Cloudflare, Inc., "DDoS Attack Glossary: Types, Vectors and Mitigation," Cloudflare Learning Center, 2025. </w:t>
      </w:r>
      <w:r w:rsidRPr="00461B83">
        <w:t>[En línea]. Disponible: https://www.cloudflare.com/learning/ddos/what-is-a-ddos-attack/</w:t>
      </w:r>
    </w:p>
    <w:p w14:paraId="0865237F" w14:textId="67BD7978" w:rsidR="00B063F7" w:rsidRPr="00461B83" w:rsidRDefault="00B063F7" w:rsidP="00B063F7">
      <w:pPr>
        <w:spacing w:after="140"/>
        <w:ind w:firstLine="567"/>
        <w:jc w:val="both"/>
      </w:pPr>
      <w:r>
        <w:rPr>
          <w:lang w:val="en-US"/>
        </w:rPr>
        <w:t xml:space="preserve">[2] Cloudflare, Inc., "DDoS Threat Report for 2025 Q1: 20.5 Million DDoS Attacks, a 358% Year-over-Year Increase," Cloudflare Blog, </w:t>
      </w:r>
      <w:proofErr w:type="spellStart"/>
      <w:r>
        <w:rPr>
          <w:lang w:val="en-US"/>
        </w:rPr>
        <w:t>abril</w:t>
      </w:r>
      <w:proofErr w:type="spellEnd"/>
      <w:r>
        <w:rPr>
          <w:lang w:val="en-US"/>
        </w:rPr>
        <w:t xml:space="preserve"> 2025. </w:t>
      </w:r>
      <w:r w:rsidRPr="00461B83">
        <w:t>[En línea]. Disponible: https://blog.cloudflare.com/ddos-threat-report-for-2025-q1/</w:t>
      </w:r>
    </w:p>
    <w:p w14:paraId="04A80809" w14:textId="2350354D" w:rsidR="00B063F7" w:rsidRPr="00744B82" w:rsidRDefault="00B063F7" w:rsidP="00B063F7">
      <w:pPr>
        <w:spacing w:after="140"/>
        <w:ind w:firstLine="567"/>
        <w:jc w:val="both"/>
      </w:pPr>
      <w:r>
        <w:rPr>
          <w:lang w:val="en-US"/>
        </w:rPr>
        <w:t xml:space="preserve">[3] Cloudflare, Inc., "Defending the Internet: How Cloudflare Blocked a Monumental 7.3 </w:t>
      </w:r>
      <w:proofErr w:type="spellStart"/>
      <w:r>
        <w:rPr>
          <w:lang w:val="en-US"/>
        </w:rPr>
        <w:t>Tbps</w:t>
      </w:r>
      <w:proofErr w:type="spellEnd"/>
      <w:r>
        <w:rPr>
          <w:lang w:val="en-US"/>
        </w:rPr>
        <w:t xml:space="preserve"> DDoS Attack," Cloudflare Blog, </w:t>
      </w:r>
      <w:proofErr w:type="spellStart"/>
      <w:r>
        <w:rPr>
          <w:lang w:val="en-US"/>
        </w:rPr>
        <w:t>junio</w:t>
      </w:r>
      <w:proofErr w:type="spellEnd"/>
      <w:r>
        <w:rPr>
          <w:lang w:val="en-US"/>
        </w:rPr>
        <w:t xml:space="preserve"> 2025. </w:t>
      </w:r>
      <w:r w:rsidRPr="00744B82">
        <w:t>[En línea]. Disponible: https://blog.cloudflare.com/defending-the-internet-how-cloudflare-blocked-a-monumental-7-3-tbps-ddos/</w:t>
      </w:r>
    </w:p>
    <w:p w14:paraId="2AA433FD" w14:textId="6AE9B84D" w:rsidR="00B063F7" w:rsidRPr="00461B83" w:rsidRDefault="00B063F7" w:rsidP="00B063F7">
      <w:pPr>
        <w:spacing w:after="140"/>
        <w:ind w:firstLine="567"/>
        <w:jc w:val="both"/>
      </w:pPr>
      <w:r>
        <w:rPr>
          <w:lang w:val="en-US"/>
        </w:rPr>
        <w:t xml:space="preserve">[4] Cloudflare, Inc., "DDoS Threat Report 2025 Q4: A Record-Breaking 31.4 </w:t>
      </w:r>
      <w:proofErr w:type="spellStart"/>
      <w:r>
        <w:rPr>
          <w:lang w:val="en-US"/>
        </w:rPr>
        <w:t>Tbps</w:t>
      </w:r>
      <w:proofErr w:type="spellEnd"/>
      <w:r>
        <w:rPr>
          <w:lang w:val="en-US"/>
        </w:rPr>
        <w:t xml:space="preserve"> Attack Caps a Year of Massive DDoS," Cloudflare Blog, </w:t>
      </w:r>
      <w:proofErr w:type="spellStart"/>
      <w:r>
        <w:rPr>
          <w:lang w:val="en-US"/>
        </w:rPr>
        <w:t>febrero</w:t>
      </w:r>
      <w:proofErr w:type="spellEnd"/>
      <w:r>
        <w:rPr>
          <w:lang w:val="en-US"/>
        </w:rPr>
        <w:t xml:space="preserve"> 2026. </w:t>
      </w:r>
      <w:r w:rsidRPr="00461B83">
        <w:t>[En línea]. Disponible: https://blog.cloudflare.com/ddos-threat-report-2025-q4/</w:t>
      </w:r>
    </w:p>
    <w:p w14:paraId="5EC700FC" w14:textId="786B1E18" w:rsidR="005A2454" w:rsidRDefault="00B063F7" w:rsidP="00B063F7">
      <w:pPr>
        <w:spacing w:after="140"/>
        <w:ind w:firstLine="567"/>
        <w:jc w:val="both"/>
        <w:rPr>
          <w:lang w:val="en-US"/>
        </w:rPr>
      </w:pPr>
      <w:r>
        <w:rPr>
          <w:lang w:val="en-US"/>
        </w:rPr>
        <w:t>[5] International Organization for Standardization (ISO), "ISO/IEC 27001:2022 Information Security Management Systems — Requirements," ISO, 2022.</w:t>
      </w:r>
    </w:p>
    <w:sectPr w:rsidR="005A245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4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ACF49" w14:textId="77777777" w:rsidR="005451B8" w:rsidRPr="00424943" w:rsidRDefault="005451B8">
      <w:pPr>
        <w:spacing w:after="0" w:line="240" w:lineRule="auto"/>
      </w:pPr>
      <w:r w:rsidRPr="00424943">
        <w:separator/>
      </w:r>
    </w:p>
  </w:endnote>
  <w:endnote w:type="continuationSeparator" w:id="0">
    <w:p w14:paraId="1A18A322" w14:textId="77777777" w:rsidR="005451B8" w:rsidRPr="00424943" w:rsidRDefault="005451B8">
      <w:pPr>
        <w:spacing w:after="0" w:line="240" w:lineRule="auto"/>
      </w:pPr>
      <w:r w:rsidRPr="004249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9133" w14:textId="77777777" w:rsidR="005A2454" w:rsidRPr="00424943" w:rsidRDefault="005A2454">
    <w:pPr>
      <w:pBdr>
        <w:top w:val="nil"/>
        <w:left w:val="nil"/>
        <w:bottom w:val="nil"/>
        <w:right w:val="nil"/>
        <w:between w:val="nil"/>
      </w:pBdr>
      <w:tabs>
        <w:tab w:val="center" w:pos="4844"/>
        <w:tab w:val="right" w:pos="9689"/>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A4F" w14:textId="4ECFA8AA" w:rsidR="005A2454" w:rsidRPr="00424943" w:rsidRDefault="00000000">
    <w:pPr>
      <w:pBdr>
        <w:top w:val="nil"/>
        <w:left w:val="nil"/>
        <w:bottom w:val="nil"/>
        <w:right w:val="nil"/>
        <w:between w:val="nil"/>
      </w:pBdr>
      <w:tabs>
        <w:tab w:val="center" w:pos="4844"/>
        <w:tab w:val="right" w:pos="9689"/>
      </w:tabs>
      <w:spacing w:after="0" w:line="240" w:lineRule="auto"/>
      <w:jc w:val="center"/>
      <w:rPr>
        <w:color w:val="000000"/>
      </w:rPr>
    </w:pPr>
    <w:r w:rsidRPr="00424943">
      <w:rPr>
        <w:color w:val="000000"/>
      </w:rPr>
      <w:t xml:space="preserve">Semestre </w:t>
    </w:r>
    <w:r w:rsidR="00F677FA" w:rsidRPr="00424943">
      <w:rPr>
        <w:color w:val="000000"/>
      </w:rPr>
      <w:t>1</w:t>
    </w:r>
    <w:r w:rsidRPr="00424943">
      <w:rPr>
        <w:color w:val="000000"/>
      </w:rPr>
      <w:t>-202</w:t>
    </w:r>
    <w:r w:rsidR="00F677FA" w:rsidRPr="00424943">
      <w:rPr>
        <w:color w:val="000000"/>
      </w:rPr>
      <w:t>6</w:t>
    </w:r>
  </w:p>
  <w:p w14:paraId="2934D4A2" w14:textId="77777777" w:rsidR="005A2454" w:rsidRPr="00424943" w:rsidRDefault="00000000">
    <w:pPr>
      <w:pBdr>
        <w:top w:val="nil"/>
        <w:left w:val="nil"/>
        <w:bottom w:val="nil"/>
        <w:right w:val="nil"/>
        <w:between w:val="nil"/>
      </w:pBdr>
      <w:tabs>
        <w:tab w:val="center" w:pos="4844"/>
        <w:tab w:val="right" w:pos="9689"/>
      </w:tabs>
      <w:spacing w:after="0" w:line="240" w:lineRule="auto"/>
      <w:jc w:val="right"/>
    </w:pPr>
    <w:r w:rsidRPr="00424943">
      <w:rPr>
        <w:color w:val="000000"/>
      </w:rPr>
      <w:fldChar w:fldCharType="begin"/>
    </w:r>
    <w:r w:rsidRPr="00424943">
      <w:rPr>
        <w:color w:val="000000"/>
      </w:rPr>
      <w:instrText>PAGE</w:instrText>
    </w:r>
    <w:r w:rsidRPr="00424943">
      <w:rPr>
        <w:color w:val="000000"/>
      </w:rPr>
      <w:fldChar w:fldCharType="separate"/>
    </w:r>
    <w:r w:rsidR="006B298D" w:rsidRPr="00424943">
      <w:rPr>
        <w:color w:val="000000"/>
      </w:rPr>
      <w:t>1</w:t>
    </w:r>
    <w:r w:rsidRPr="00424943">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A65E" w14:textId="77777777" w:rsidR="005A2454" w:rsidRPr="00424943" w:rsidRDefault="00000000">
    <w:pPr>
      <w:pBdr>
        <w:top w:val="nil"/>
        <w:left w:val="nil"/>
        <w:bottom w:val="nil"/>
        <w:right w:val="nil"/>
        <w:between w:val="nil"/>
      </w:pBdr>
      <w:tabs>
        <w:tab w:val="center" w:pos="4844"/>
        <w:tab w:val="right" w:pos="9689"/>
      </w:tabs>
      <w:spacing w:after="0" w:line="240" w:lineRule="auto"/>
      <w:jc w:val="center"/>
      <w:rPr>
        <w:color w:val="000000"/>
      </w:rPr>
    </w:pPr>
    <w:r w:rsidRPr="00424943">
      <w:rPr>
        <w:color w:val="000000"/>
      </w:rPr>
      <w:t>Semestre II-2025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3342C" w14:textId="77777777" w:rsidR="005451B8" w:rsidRPr="00424943" w:rsidRDefault="005451B8">
      <w:pPr>
        <w:spacing w:after="0" w:line="240" w:lineRule="auto"/>
      </w:pPr>
      <w:r w:rsidRPr="00424943">
        <w:separator/>
      </w:r>
    </w:p>
  </w:footnote>
  <w:footnote w:type="continuationSeparator" w:id="0">
    <w:p w14:paraId="0E731C73" w14:textId="77777777" w:rsidR="005451B8" w:rsidRPr="00424943" w:rsidRDefault="005451B8">
      <w:pPr>
        <w:spacing w:after="0" w:line="240" w:lineRule="auto"/>
      </w:pPr>
      <w:r w:rsidRPr="004249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7331A" w14:textId="77777777" w:rsidR="005A2454" w:rsidRPr="00424943" w:rsidRDefault="005A2454">
    <w:pPr>
      <w:pBdr>
        <w:top w:val="nil"/>
        <w:left w:val="nil"/>
        <w:bottom w:val="nil"/>
        <w:right w:val="nil"/>
        <w:between w:val="nil"/>
      </w:pBdr>
      <w:tabs>
        <w:tab w:val="center" w:pos="4844"/>
        <w:tab w:val="right" w:pos="9689"/>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504AF" w14:textId="15C36F8B" w:rsidR="005A2454" w:rsidRPr="00424943" w:rsidRDefault="00BE17D7">
    <w:pPr>
      <w:pBdr>
        <w:top w:val="nil"/>
        <w:left w:val="nil"/>
        <w:bottom w:val="nil"/>
        <w:right w:val="nil"/>
        <w:between w:val="nil"/>
      </w:pBdr>
      <w:spacing w:after="0" w:line="240" w:lineRule="auto"/>
      <w:jc w:val="center"/>
      <w:rPr>
        <w:color w:val="000000"/>
      </w:rPr>
    </w:pPr>
    <w:r w:rsidRPr="00424943">
      <w:rPr>
        <w:noProof/>
        <w:color w:val="000000"/>
      </w:rPr>
      <w:drawing>
        <wp:anchor distT="0" distB="0" distL="0" distR="0" simplePos="0" relativeHeight="251658240" behindDoc="0" locked="0" layoutInCell="1" hidden="0" allowOverlap="1" wp14:anchorId="0955C74F" wp14:editId="7360345B">
          <wp:simplePos x="0" y="0"/>
          <wp:positionH relativeFrom="page">
            <wp:posOffset>960755</wp:posOffset>
          </wp:positionH>
          <wp:positionV relativeFrom="page">
            <wp:posOffset>334010</wp:posOffset>
          </wp:positionV>
          <wp:extent cx="800100" cy="741045"/>
          <wp:effectExtent l="0" t="0" r="0" b="0"/>
          <wp:wrapSquare wrapText="bothSides" distT="0" distB="0" distL="0" distR="0"/>
          <wp:docPr id="3317094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00100" cy="741045"/>
                  </a:xfrm>
                  <a:prstGeom prst="rect">
                    <a:avLst/>
                  </a:prstGeom>
                  <a:ln/>
                </pic:spPr>
              </pic:pic>
            </a:graphicData>
          </a:graphic>
        </wp:anchor>
      </w:drawing>
    </w:r>
    <w:r w:rsidR="00F677FA" w:rsidRPr="00424943">
      <w:rPr>
        <w:b/>
        <w:bCs/>
        <w:noProof/>
        <w:color w:val="000000"/>
      </w:rPr>
      <w:drawing>
        <wp:anchor distT="0" distB="0" distL="114300" distR="114300" simplePos="0" relativeHeight="251664384" behindDoc="0" locked="0" layoutInCell="1" allowOverlap="1" wp14:anchorId="5593ED03" wp14:editId="0E63168D">
          <wp:simplePos x="0" y="0"/>
          <wp:positionH relativeFrom="margin">
            <wp:align>right</wp:align>
          </wp:positionH>
          <wp:positionV relativeFrom="paragraph">
            <wp:posOffset>-99060</wp:posOffset>
          </wp:positionV>
          <wp:extent cx="677545" cy="716280"/>
          <wp:effectExtent l="0" t="0" r="8255" b="7620"/>
          <wp:wrapSquare wrapText="bothSides"/>
          <wp:docPr id="364968326" name="Picture 2">
            <a:extLst xmlns:a="http://schemas.openxmlformats.org/drawingml/2006/main">
              <a:ext uri="{FF2B5EF4-FFF2-40B4-BE49-F238E27FC236}">
                <a16:creationId xmlns:a16="http://schemas.microsoft.com/office/drawing/2014/main" id="{797FF14E-F948-1593-BB94-0100DF1667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797FF14E-F948-1593-BB94-0100DF16678B}"/>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7545" cy="716280"/>
                  </a:xfrm>
                  <a:prstGeom prst="rect">
                    <a:avLst/>
                  </a:prstGeom>
                  <a:noFill/>
                </pic:spPr>
              </pic:pic>
            </a:graphicData>
          </a:graphic>
          <wp14:sizeRelH relativeFrom="margin">
            <wp14:pctWidth>0</wp14:pctWidth>
          </wp14:sizeRelH>
          <wp14:sizeRelV relativeFrom="margin">
            <wp14:pctHeight>0</wp14:pctHeight>
          </wp14:sizeRelV>
        </wp:anchor>
      </w:drawing>
    </w:r>
    <w:r w:rsidRPr="00424943">
      <w:rPr>
        <w:b/>
        <w:bCs/>
        <w:color w:val="000000"/>
      </w:rPr>
      <w:t>Universidad Central de Venezuela</w:t>
    </w:r>
  </w:p>
  <w:p w14:paraId="62D17175" w14:textId="77777777" w:rsidR="005A2454" w:rsidRPr="00424943" w:rsidRDefault="00000000">
    <w:pPr>
      <w:pBdr>
        <w:top w:val="nil"/>
        <w:left w:val="nil"/>
        <w:bottom w:val="nil"/>
        <w:right w:val="nil"/>
        <w:between w:val="nil"/>
      </w:pBdr>
      <w:spacing w:after="0" w:line="240" w:lineRule="auto"/>
      <w:jc w:val="center"/>
      <w:rPr>
        <w:color w:val="000000"/>
      </w:rPr>
    </w:pPr>
    <w:r w:rsidRPr="00424943">
      <w:rPr>
        <w:b/>
        <w:bCs/>
        <w:color w:val="000000"/>
      </w:rPr>
      <w:t>Facultad de Ciencias</w:t>
    </w:r>
  </w:p>
  <w:p w14:paraId="17FA8513" w14:textId="77777777" w:rsidR="005A2454" w:rsidRPr="00424943" w:rsidRDefault="00000000">
    <w:pPr>
      <w:pBdr>
        <w:top w:val="nil"/>
        <w:left w:val="nil"/>
        <w:bottom w:val="nil"/>
        <w:right w:val="nil"/>
        <w:between w:val="nil"/>
      </w:pBdr>
      <w:spacing w:after="0" w:line="238" w:lineRule="auto"/>
      <w:jc w:val="center"/>
      <w:rPr>
        <w:color w:val="000000"/>
      </w:rPr>
    </w:pPr>
    <w:r w:rsidRPr="00424943">
      <w:rPr>
        <w:b/>
        <w:bCs/>
        <w:color w:val="000000"/>
      </w:rPr>
      <w:t>Escuela de Computación</w:t>
    </w:r>
  </w:p>
  <w:p w14:paraId="00CFEF24" w14:textId="77777777" w:rsidR="005A2454" w:rsidRPr="00424943" w:rsidRDefault="005A2454">
    <w:pPr>
      <w:pBdr>
        <w:top w:val="nil"/>
        <w:left w:val="nil"/>
        <w:bottom w:val="nil"/>
        <w:right w:val="nil"/>
        <w:between w:val="nil"/>
      </w:pBdr>
      <w:spacing w:after="0" w:line="14" w:lineRule="auto"/>
      <w:jc w:val="center"/>
      <w:rPr>
        <w:color w:val="000000"/>
      </w:rPr>
    </w:pPr>
  </w:p>
  <w:p w14:paraId="4415E543" w14:textId="0DEE61E5" w:rsidR="005A2454" w:rsidRPr="00424943" w:rsidRDefault="00F677FA">
    <w:pPr>
      <w:pBdr>
        <w:top w:val="nil"/>
        <w:left w:val="nil"/>
        <w:bottom w:val="nil"/>
        <w:right w:val="nil"/>
        <w:between w:val="nil"/>
      </w:pBdr>
      <w:spacing w:after="0" w:line="240" w:lineRule="auto"/>
      <w:jc w:val="center"/>
      <w:rPr>
        <w:color w:val="000000"/>
      </w:rPr>
    </w:pPr>
    <w:r w:rsidRPr="00424943">
      <w:rPr>
        <w:b/>
        <w:bCs/>
        <w:color w:val="000000"/>
      </w:rPr>
      <w:t>Seguridad En Redes De Computadoras (6022)</w:t>
    </w:r>
  </w:p>
  <w:p w14:paraId="17090320" w14:textId="77777777" w:rsidR="005A2454" w:rsidRPr="00424943" w:rsidRDefault="005A2454">
    <w:pPr>
      <w:pBdr>
        <w:top w:val="nil"/>
        <w:left w:val="nil"/>
        <w:bottom w:val="nil"/>
        <w:right w:val="nil"/>
        <w:between w:val="nil"/>
      </w:pBdr>
      <w:spacing w:after="0" w:line="14" w:lineRule="auto"/>
      <w:jc w:val="center"/>
      <w:rPr>
        <w:color w:val="000000"/>
      </w:rPr>
    </w:pPr>
  </w:p>
  <w:p w14:paraId="0559408F" w14:textId="77777777" w:rsidR="005A2454" w:rsidRPr="00424943" w:rsidRDefault="00000000">
    <w:pPr>
      <w:pBdr>
        <w:top w:val="nil"/>
        <w:left w:val="nil"/>
        <w:bottom w:val="nil"/>
        <w:right w:val="nil"/>
        <w:between w:val="nil"/>
      </w:pBdr>
      <w:rPr>
        <w:color w:val="000000"/>
      </w:rPr>
    </w:pPr>
    <w:r w:rsidRPr="00424943">
      <w:rPr>
        <w:noProof/>
      </w:rPr>
      <w:drawing>
        <wp:anchor distT="0" distB="0" distL="0" distR="0" simplePos="0" relativeHeight="251660288" behindDoc="1" locked="0" layoutInCell="1" hidden="0" allowOverlap="1" wp14:anchorId="56058A3C" wp14:editId="2D94FD89">
          <wp:simplePos x="0" y="0"/>
          <wp:positionH relativeFrom="column">
            <wp:posOffset>60325</wp:posOffset>
          </wp:positionH>
          <wp:positionV relativeFrom="paragraph">
            <wp:posOffset>60325</wp:posOffset>
          </wp:positionV>
          <wp:extent cx="5608955" cy="97790"/>
          <wp:effectExtent l="0" t="0" r="0" b="0"/>
          <wp:wrapNone/>
          <wp:docPr id="1407971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5608955" cy="97790"/>
                  </a:xfrm>
                  <a:prstGeom prst="rect">
                    <a:avLst/>
                  </a:prstGeom>
                  <a:ln/>
                </pic:spPr>
              </pic:pic>
            </a:graphicData>
          </a:graphic>
        </wp:anchor>
      </w:drawing>
    </w:r>
  </w:p>
  <w:p w14:paraId="4C0E5DE7" w14:textId="77777777" w:rsidR="005A2454" w:rsidRPr="00424943" w:rsidRDefault="005A2454">
    <w:pPr>
      <w:pBdr>
        <w:top w:val="nil"/>
        <w:left w:val="nil"/>
        <w:bottom w:val="nil"/>
        <w:right w:val="nil"/>
        <w:between w:val="nil"/>
      </w:pBdr>
      <w:spacing w:after="0" w:line="240" w:lineRule="auto"/>
      <w:ind w:left="3660"/>
      <w:rPr>
        <w:color w:val="000000"/>
      </w:rPr>
    </w:pPr>
  </w:p>
  <w:p w14:paraId="5E354A59" w14:textId="77777777" w:rsidR="005A2454" w:rsidRPr="00424943" w:rsidRDefault="005A2454">
    <w:pPr>
      <w:pBdr>
        <w:top w:val="nil"/>
        <w:left w:val="nil"/>
        <w:bottom w:val="nil"/>
        <w:right w:val="nil"/>
        <w:between w:val="nil"/>
      </w:pBdr>
      <w:tabs>
        <w:tab w:val="center" w:pos="4844"/>
        <w:tab w:val="right" w:pos="9689"/>
      </w:tabs>
      <w:spacing w:after="0" w:line="240" w:lineRule="auto"/>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9137"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noProof/>
        <w:color w:val="000000"/>
      </w:rPr>
      <w:drawing>
        <wp:anchor distT="0" distB="0" distL="0" distR="0" simplePos="0" relativeHeight="251661312" behindDoc="0" locked="0" layoutInCell="1" hidden="0" allowOverlap="1" wp14:anchorId="47CF2D29" wp14:editId="7204672B">
          <wp:simplePos x="0" y="0"/>
          <wp:positionH relativeFrom="page">
            <wp:posOffset>1006475</wp:posOffset>
          </wp:positionH>
          <wp:positionV relativeFrom="page">
            <wp:posOffset>442595</wp:posOffset>
          </wp:positionV>
          <wp:extent cx="800100" cy="741045"/>
          <wp:effectExtent l="0" t="0" r="0" b="0"/>
          <wp:wrapSquare wrapText="bothSides" distT="0" distB="0" distL="0" distR="0"/>
          <wp:docPr id="15610921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00100" cy="741045"/>
                  </a:xfrm>
                  <a:prstGeom prst="rect">
                    <a:avLst/>
                  </a:prstGeom>
                  <a:ln/>
                </pic:spPr>
              </pic:pic>
            </a:graphicData>
          </a:graphic>
        </wp:anchor>
      </w:drawing>
    </w:r>
    <w:r w:rsidRPr="00424943">
      <w:rPr>
        <w:noProof/>
        <w:color w:val="000000"/>
      </w:rPr>
      <w:drawing>
        <wp:anchor distT="0" distB="0" distL="0" distR="0" simplePos="0" relativeHeight="251662336" behindDoc="0" locked="0" layoutInCell="1" hidden="0" allowOverlap="1" wp14:anchorId="2DF6BE54" wp14:editId="6DF070F5">
          <wp:simplePos x="0" y="0"/>
          <wp:positionH relativeFrom="page">
            <wp:posOffset>5766435</wp:posOffset>
          </wp:positionH>
          <wp:positionV relativeFrom="page">
            <wp:posOffset>463550</wp:posOffset>
          </wp:positionV>
          <wp:extent cx="800100" cy="763905"/>
          <wp:effectExtent l="0" t="0" r="0" b="0"/>
          <wp:wrapSquare wrapText="bothSides" distT="0" distB="0" distL="0" distR="0"/>
          <wp:docPr id="15626275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00100" cy="763905"/>
                  </a:xfrm>
                  <a:prstGeom prst="rect">
                    <a:avLst/>
                  </a:prstGeom>
                  <a:ln/>
                </pic:spPr>
              </pic:pic>
            </a:graphicData>
          </a:graphic>
        </wp:anchor>
      </w:drawing>
    </w:r>
    <w:r w:rsidRPr="00424943">
      <w:rPr>
        <w:b/>
        <w:bCs/>
        <w:color w:val="000000"/>
        <w:sz w:val="18"/>
        <w:szCs w:val="18"/>
      </w:rPr>
      <w:t>Universidad Central de Venezuela</w:t>
    </w:r>
  </w:p>
  <w:p w14:paraId="289DE87D"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b/>
        <w:bCs/>
        <w:color w:val="000000"/>
        <w:sz w:val="18"/>
        <w:szCs w:val="18"/>
      </w:rPr>
      <w:t>Facultad de Ciencias</w:t>
    </w:r>
  </w:p>
  <w:p w14:paraId="4CECC07A" w14:textId="77777777" w:rsidR="005A2454" w:rsidRPr="00424943" w:rsidRDefault="00000000">
    <w:pPr>
      <w:pBdr>
        <w:top w:val="nil"/>
        <w:left w:val="nil"/>
        <w:bottom w:val="nil"/>
        <w:right w:val="nil"/>
        <w:between w:val="nil"/>
      </w:pBdr>
      <w:spacing w:after="0" w:line="238" w:lineRule="auto"/>
      <w:jc w:val="center"/>
      <w:rPr>
        <w:color w:val="000000"/>
        <w:sz w:val="20"/>
        <w:szCs w:val="20"/>
      </w:rPr>
    </w:pPr>
    <w:r w:rsidRPr="00424943">
      <w:rPr>
        <w:b/>
        <w:bCs/>
        <w:color w:val="000000"/>
        <w:sz w:val="18"/>
        <w:szCs w:val="18"/>
      </w:rPr>
      <w:t>Escuela de Computación</w:t>
    </w:r>
  </w:p>
  <w:p w14:paraId="31A0E396" w14:textId="77777777" w:rsidR="005A2454" w:rsidRPr="00424943" w:rsidRDefault="005A2454">
    <w:pPr>
      <w:pBdr>
        <w:top w:val="nil"/>
        <w:left w:val="nil"/>
        <w:bottom w:val="nil"/>
        <w:right w:val="nil"/>
        <w:between w:val="nil"/>
      </w:pBdr>
      <w:spacing w:after="0" w:line="14" w:lineRule="auto"/>
      <w:jc w:val="center"/>
      <w:rPr>
        <w:color w:val="000000"/>
        <w:sz w:val="20"/>
        <w:szCs w:val="20"/>
      </w:rPr>
    </w:pPr>
  </w:p>
  <w:p w14:paraId="0447AE1D"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b/>
        <w:bCs/>
        <w:color w:val="000000"/>
        <w:sz w:val="18"/>
        <w:szCs w:val="18"/>
      </w:rPr>
      <w:t>Redes de Computadoras (6012)</w:t>
    </w:r>
  </w:p>
  <w:p w14:paraId="4CEF3FFD" w14:textId="77777777" w:rsidR="005A2454" w:rsidRPr="00424943" w:rsidRDefault="005A2454">
    <w:pPr>
      <w:pBdr>
        <w:top w:val="nil"/>
        <w:left w:val="nil"/>
        <w:bottom w:val="nil"/>
        <w:right w:val="nil"/>
        <w:between w:val="nil"/>
      </w:pBdr>
      <w:spacing w:after="0" w:line="14" w:lineRule="auto"/>
      <w:jc w:val="center"/>
      <w:rPr>
        <w:color w:val="000000"/>
        <w:sz w:val="20"/>
        <w:szCs w:val="20"/>
      </w:rPr>
    </w:pPr>
  </w:p>
  <w:p w14:paraId="1176A242" w14:textId="77777777" w:rsidR="005A2454" w:rsidRPr="00424943" w:rsidRDefault="00000000">
    <w:pPr>
      <w:pBdr>
        <w:top w:val="nil"/>
        <w:left w:val="nil"/>
        <w:bottom w:val="nil"/>
        <w:right w:val="nil"/>
        <w:between w:val="nil"/>
      </w:pBdr>
      <w:spacing w:after="0" w:line="240" w:lineRule="auto"/>
      <w:jc w:val="center"/>
      <w:rPr>
        <w:b/>
        <w:bCs/>
        <w:color w:val="000000"/>
      </w:rPr>
    </w:pPr>
    <w:r w:rsidRPr="00424943">
      <w:rPr>
        <w:b/>
        <w:bCs/>
        <w:color w:val="000000"/>
      </w:rPr>
      <w:t>Laboratorio #4</w:t>
    </w:r>
  </w:p>
  <w:p w14:paraId="0F3B6D2F" w14:textId="77777777" w:rsidR="005A2454" w:rsidRPr="00424943" w:rsidRDefault="00000000">
    <w:pPr>
      <w:pBdr>
        <w:top w:val="nil"/>
        <w:left w:val="nil"/>
        <w:bottom w:val="nil"/>
        <w:right w:val="nil"/>
        <w:between w:val="nil"/>
      </w:pBdr>
      <w:rPr>
        <w:color w:val="000000"/>
      </w:rPr>
    </w:pPr>
    <w:r w:rsidRPr="00424943">
      <w:rPr>
        <w:noProof/>
      </w:rPr>
      <w:drawing>
        <wp:anchor distT="0" distB="0" distL="0" distR="0" simplePos="0" relativeHeight="251663360" behindDoc="1" locked="0" layoutInCell="1" hidden="0" allowOverlap="1" wp14:anchorId="3C2A5C0B" wp14:editId="4019E158">
          <wp:simplePos x="0" y="0"/>
          <wp:positionH relativeFrom="column">
            <wp:posOffset>60325</wp:posOffset>
          </wp:positionH>
          <wp:positionV relativeFrom="paragraph">
            <wp:posOffset>60325</wp:posOffset>
          </wp:positionV>
          <wp:extent cx="5608955" cy="97790"/>
          <wp:effectExtent l="0" t="0" r="0" b="0"/>
          <wp:wrapNone/>
          <wp:docPr id="5884089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5608955" cy="97790"/>
                  </a:xfrm>
                  <a:prstGeom prst="rect">
                    <a:avLst/>
                  </a:prstGeom>
                  <a:ln/>
                </pic:spPr>
              </pic:pic>
            </a:graphicData>
          </a:graphic>
        </wp:anchor>
      </w:drawing>
    </w:r>
  </w:p>
  <w:p w14:paraId="75D8682E" w14:textId="77777777" w:rsidR="005A2454" w:rsidRPr="00424943" w:rsidRDefault="005A2454">
    <w:pPr>
      <w:pBdr>
        <w:top w:val="nil"/>
        <w:left w:val="nil"/>
        <w:bottom w:val="nil"/>
        <w:right w:val="nil"/>
        <w:between w:val="nil"/>
      </w:pBdr>
      <w:spacing w:after="0" w:line="240" w:lineRule="auto"/>
      <w:ind w:left="3660"/>
      <w:rPr>
        <w:color w:val="000000"/>
        <w:sz w:val="20"/>
        <w:szCs w:val="20"/>
      </w:rPr>
    </w:pPr>
  </w:p>
  <w:p w14:paraId="0A21B130" w14:textId="77777777" w:rsidR="005A2454" w:rsidRPr="00424943" w:rsidRDefault="005A2454">
    <w:pPr>
      <w:pBdr>
        <w:top w:val="nil"/>
        <w:left w:val="nil"/>
        <w:bottom w:val="nil"/>
        <w:right w:val="nil"/>
        <w:between w:val="nil"/>
      </w:pBdr>
      <w:tabs>
        <w:tab w:val="center" w:pos="4844"/>
        <w:tab w:val="right" w:pos="9689"/>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66B"/>
    <w:multiLevelType w:val="multilevel"/>
    <w:tmpl w:val="EE84F9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1E15478"/>
    <w:multiLevelType w:val="multilevel"/>
    <w:tmpl w:val="991C5A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405457D"/>
    <w:multiLevelType w:val="hybridMultilevel"/>
    <w:tmpl w:val="2B7C9EEE"/>
    <w:lvl w:ilvl="0" w:tplc="580A0001">
      <w:start w:val="1"/>
      <w:numFmt w:val="bullet"/>
      <w:lvlText w:val=""/>
      <w:lvlJc w:val="left"/>
      <w:pPr>
        <w:ind w:left="1287" w:hanging="360"/>
      </w:pPr>
      <w:rPr>
        <w:rFonts w:ascii="Symbol" w:hAnsi="Symbol" w:hint="default"/>
      </w:rPr>
    </w:lvl>
    <w:lvl w:ilvl="1" w:tplc="580A0003" w:tentative="1">
      <w:start w:val="1"/>
      <w:numFmt w:val="bullet"/>
      <w:lvlText w:val="o"/>
      <w:lvlJc w:val="left"/>
      <w:pPr>
        <w:ind w:left="2007" w:hanging="360"/>
      </w:pPr>
      <w:rPr>
        <w:rFonts w:ascii="Courier New" w:hAnsi="Courier New" w:cs="Courier New" w:hint="default"/>
      </w:rPr>
    </w:lvl>
    <w:lvl w:ilvl="2" w:tplc="580A0005" w:tentative="1">
      <w:start w:val="1"/>
      <w:numFmt w:val="bullet"/>
      <w:lvlText w:val=""/>
      <w:lvlJc w:val="left"/>
      <w:pPr>
        <w:ind w:left="2727" w:hanging="360"/>
      </w:pPr>
      <w:rPr>
        <w:rFonts w:ascii="Wingdings" w:hAnsi="Wingdings" w:hint="default"/>
      </w:rPr>
    </w:lvl>
    <w:lvl w:ilvl="3" w:tplc="580A0001" w:tentative="1">
      <w:start w:val="1"/>
      <w:numFmt w:val="bullet"/>
      <w:lvlText w:val=""/>
      <w:lvlJc w:val="left"/>
      <w:pPr>
        <w:ind w:left="3447" w:hanging="360"/>
      </w:pPr>
      <w:rPr>
        <w:rFonts w:ascii="Symbol" w:hAnsi="Symbol" w:hint="default"/>
      </w:rPr>
    </w:lvl>
    <w:lvl w:ilvl="4" w:tplc="580A0003" w:tentative="1">
      <w:start w:val="1"/>
      <w:numFmt w:val="bullet"/>
      <w:lvlText w:val="o"/>
      <w:lvlJc w:val="left"/>
      <w:pPr>
        <w:ind w:left="4167" w:hanging="360"/>
      </w:pPr>
      <w:rPr>
        <w:rFonts w:ascii="Courier New" w:hAnsi="Courier New" w:cs="Courier New" w:hint="default"/>
      </w:rPr>
    </w:lvl>
    <w:lvl w:ilvl="5" w:tplc="580A0005" w:tentative="1">
      <w:start w:val="1"/>
      <w:numFmt w:val="bullet"/>
      <w:lvlText w:val=""/>
      <w:lvlJc w:val="left"/>
      <w:pPr>
        <w:ind w:left="4887" w:hanging="360"/>
      </w:pPr>
      <w:rPr>
        <w:rFonts w:ascii="Wingdings" w:hAnsi="Wingdings" w:hint="default"/>
      </w:rPr>
    </w:lvl>
    <w:lvl w:ilvl="6" w:tplc="580A0001" w:tentative="1">
      <w:start w:val="1"/>
      <w:numFmt w:val="bullet"/>
      <w:lvlText w:val=""/>
      <w:lvlJc w:val="left"/>
      <w:pPr>
        <w:ind w:left="5607" w:hanging="360"/>
      </w:pPr>
      <w:rPr>
        <w:rFonts w:ascii="Symbol" w:hAnsi="Symbol" w:hint="default"/>
      </w:rPr>
    </w:lvl>
    <w:lvl w:ilvl="7" w:tplc="580A0003" w:tentative="1">
      <w:start w:val="1"/>
      <w:numFmt w:val="bullet"/>
      <w:lvlText w:val="o"/>
      <w:lvlJc w:val="left"/>
      <w:pPr>
        <w:ind w:left="6327" w:hanging="360"/>
      </w:pPr>
      <w:rPr>
        <w:rFonts w:ascii="Courier New" w:hAnsi="Courier New" w:cs="Courier New" w:hint="default"/>
      </w:rPr>
    </w:lvl>
    <w:lvl w:ilvl="8" w:tplc="580A0005" w:tentative="1">
      <w:start w:val="1"/>
      <w:numFmt w:val="bullet"/>
      <w:lvlText w:val=""/>
      <w:lvlJc w:val="left"/>
      <w:pPr>
        <w:ind w:left="7047" w:hanging="360"/>
      </w:pPr>
      <w:rPr>
        <w:rFonts w:ascii="Wingdings" w:hAnsi="Wingdings" w:hint="default"/>
      </w:rPr>
    </w:lvl>
  </w:abstractNum>
  <w:abstractNum w:abstractNumId="3" w15:restartNumberingAfterBreak="0">
    <w:nsid w:val="5C7820FF"/>
    <w:multiLevelType w:val="hybridMultilevel"/>
    <w:tmpl w:val="44ACD5E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664B251D"/>
    <w:multiLevelType w:val="multilevel"/>
    <w:tmpl w:val="1E10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F7DCE"/>
    <w:multiLevelType w:val="hybridMultilevel"/>
    <w:tmpl w:val="4E300846"/>
    <w:lvl w:ilvl="0" w:tplc="580A0001">
      <w:start w:val="1"/>
      <w:numFmt w:val="bullet"/>
      <w:lvlText w:val=""/>
      <w:lvlJc w:val="left"/>
      <w:pPr>
        <w:ind w:left="1287" w:hanging="360"/>
      </w:pPr>
      <w:rPr>
        <w:rFonts w:ascii="Symbol" w:hAnsi="Symbol" w:hint="default"/>
      </w:rPr>
    </w:lvl>
    <w:lvl w:ilvl="1" w:tplc="580A0003" w:tentative="1">
      <w:start w:val="1"/>
      <w:numFmt w:val="bullet"/>
      <w:lvlText w:val="o"/>
      <w:lvlJc w:val="left"/>
      <w:pPr>
        <w:ind w:left="2007" w:hanging="360"/>
      </w:pPr>
      <w:rPr>
        <w:rFonts w:ascii="Courier New" w:hAnsi="Courier New" w:cs="Courier New" w:hint="default"/>
      </w:rPr>
    </w:lvl>
    <w:lvl w:ilvl="2" w:tplc="580A0005" w:tentative="1">
      <w:start w:val="1"/>
      <w:numFmt w:val="bullet"/>
      <w:lvlText w:val=""/>
      <w:lvlJc w:val="left"/>
      <w:pPr>
        <w:ind w:left="2727" w:hanging="360"/>
      </w:pPr>
      <w:rPr>
        <w:rFonts w:ascii="Wingdings" w:hAnsi="Wingdings" w:hint="default"/>
      </w:rPr>
    </w:lvl>
    <w:lvl w:ilvl="3" w:tplc="580A0001" w:tentative="1">
      <w:start w:val="1"/>
      <w:numFmt w:val="bullet"/>
      <w:lvlText w:val=""/>
      <w:lvlJc w:val="left"/>
      <w:pPr>
        <w:ind w:left="3447" w:hanging="360"/>
      </w:pPr>
      <w:rPr>
        <w:rFonts w:ascii="Symbol" w:hAnsi="Symbol" w:hint="default"/>
      </w:rPr>
    </w:lvl>
    <w:lvl w:ilvl="4" w:tplc="580A0003" w:tentative="1">
      <w:start w:val="1"/>
      <w:numFmt w:val="bullet"/>
      <w:lvlText w:val="o"/>
      <w:lvlJc w:val="left"/>
      <w:pPr>
        <w:ind w:left="4167" w:hanging="360"/>
      </w:pPr>
      <w:rPr>
        <w:rFonts w:ascii="Courier New" w:hAnsi="Courier New" w:cs="Courier New" w:hint="default"/>
      </w:rPr>
    </w:lvl>
    <w:lvl w:ilvl="5" w:tplc="580A0005" w:tentative="1">
      <w:start w:val="1"/>
      <w:numFmt w:val="bullet"/>
      <w:lvlText w:val=""/>
      <w:lvlJc w:val="left"/>
      <w:pPr>
        <w:ind w:left="4887" w:hanging="360"/>
      </w:pPr>
      <w:rPr>
        <w:rFonts w:ascii="Wingdings" w:hAnsi="Wingdings" w:hint="default"/>
      </w:rPr>
    </w:lvl>
    <w:lvl w:ilvl="6" w:tplc="580A0001" w:tentative="1">
      <w:start w:val="1"/>
      <w:numFmt w:val="bullet"/>
      <w:lvlText w:val=""/>
      <w:lvlJc w:val="left"/>
      <w:pPr>
        <w:ind w:left="5607" w:hanging="360"/>
      </w:pPr>
      <w:rPr>
        <w:rFonts w:ascii="Symbol" w:hAnsi="Symbol" w:hint="default"/>
      </w:rPr>
    </w:lvl>
    <w:lvl w:ilvl="7" w:tplc="580A0003" w:tentative="1">
      <w:start w:val="1"/>
      <w:numFmt w:val="bullet"/>
      <w:lvlText w:val="o"/>
      <w:lvlJc w:val="left"/>
      <w:pPr>
        <w:ind w:left="6327" w:hanging="360"/>
      </w:pPr>
      <w:rPr>
        <w:rFonts w:ascii="Courier New" w:hAnsi="Courier New" w:cs="Courier New" w:hint="default"/>
      </w:rPr>
    </w:lvl>
    <w:lvl w:ilvl="8" w:tplc="580A0005" w:tentative="1">
      <w:start w:val="1"/>
      <w:numFmt w:val="bullet"/>
      <w:lvlText w:val=""/>
      <w:lvlJc w:val="left"/>
      <w:pPr>
        <w:ind w:left="7047" w:hanging="360"/>
      </w:pPr>
      <w:rPr>
        <w:rFonts w:ascii="Wingdings" w:hAnsi="Wingdings" w:hint="default"/>
      </w:rPr>
    </w:lvl>
  </w:abstractNum>
  <w:num w:numId="1" w16cid:durableId="873494857">
    <w:abstractNumId w:val="0"/>
  </w:num>
  <w:num w:numId="2" w16cid:durableId="63451311">
    <w:abstractNumId w:val="1"/>
  </w:num>
  <w:num w:numId="3" w16cid:durableId="1707412274">
    <w:abstractNumId w:val="3"/>
  </w:num>
  <w:num w:numId="4" w16cid:durableId="982270144">
    <w:abstractNumId w:val="2"/>
  </w:num>
  <w:num w:numId="5" w16cid:durableId="794182341">
    <w:abstractNumId w:val="4"/>
  </w:num>
  <w:num w:numId="6" w16cid:durableId="177159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454"/>
    <w:rsid w:val="0003025D"/>
    <w:rsid w:val="000650EC"/>
    <w:rsid w:val="00097AB1"/>
    <w:rsid w:val="00106937"/>
    <w:rsid w:val="00116A29"/>
    <w:rsid w:val="00125B34"/>
    <w:rsid w:val="00171C12"/>
    <w:rsid w:val="001C7525"/>
    <w:rsid w:val="00255C59"/>
    <w:rsid w:val="0027435E"/>
    <w:rsid w:val="0036067D"/>
    <w:rsid w:val="004015CE"/>
    <w:rsid w:val="00424943"/>
    <w:rsid w:val="00453B3D"/>
    <w:rsid w:val="00461B83"/>
    <w:rsid w:val="004A262A"/>
    <w:rsid w:val="004F2BDB"/>
    <w:rsid w:val="00526F5C"/>
    <w:rsid w:val="005451B8"/>
    <w:rsid w:val="005A2454"/>
    <w:rsid w:val="006B298D"/>
    <w:rsid w:val="006D087D"/>
    <w:rsid w:val="00744B82"/>
    <w:rsid w:val="00845145"/>
    <w:rsid w:val="009E5189"/>
    <w:rsid w:val="00B063F7"/>
    <w:rsid w:val="00BB3375"/>
    <w:rsid w:val="00BE17D7"/>
    <w:rsid w:val="00C77EBA"/>
    <w:rsid w:val="00C95798"/>
    <w:rsid w:val="00D93E38"/>
    <w:rsid w:val="00EF36DB"/>
    <w:rsid w:val="00F677FA"/>
    <w:rsid w:val="00F804EB"/>
    <w:rsid w:val="00F80B5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3CD35"/>
  <w15:docId w15:val="{8D9B63EF-2251-45C0-96BF-D4089E4A6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line="240" w:lineRule="auto"/>
      <w:outlineLvl w:val="0"/>
    </w:pPr>
    <w:rPr>
      <w:color w:val="2E75B5"/>
      <w:sz w:val="40"/>
      <w:szCs w:val="40"/>
    </w:rPr>
  </w:style>
  <w:style w:type="paragraph" w:styleId="Ttulo2">
    <w:name w:val="heading 2"/>
    <w:basedOn w:val="Normal"/>
    <w:next w:val="Normal"/>
    <w:uiPriority w:val="9"/>
    <w:unhideWhenUsed/>
    <w:qFormat/>
    <w:pPr>
      <w:keepNext/>
      <w:keepLines/>
      <w:spacing w:before="160" w:after="80" w:line="240" w:lineRule="auto"/>
      <w:outlineLvl w:val="1"/>
    </w:pPr>
    <w:rPr>
      <w:color w:val="2E75B5"/>
      <w:sz w:val="32"/>
      <w:szCs w:val="32"/>
    </w:rPr>
  </w:style>
  <w:style w:type="paragraph" w:styleId="Ttulo3">
    <w:name w:val="heading 3"/>
    <w:basedOn w:val="Normal"/>
    <w:next w:val="Normal"/>
    <w:uiPriority w:val="9"/>
    <w:unhideWhenUsed/>
    <w:qFormat/>
    <w:pPr>
      <w:keepNext/>
      <w:keepLines/>
      <w:spacing w:before="160" w:after="80" w:line="240" w:lineRule="auto"/>
      <w:outlineLvl w:val="2"/>
    </w:pPr>
    <w:rPr>
      <w:color w:val="2E75B5"/>
      <w:sz w:val="28"/>
      <w:szCs w:val="28"/>
    </w:rPr>
  </w:style>
  <w:style w:type="paragraph" w:styleId="Ttulo4">
    <w:name w:val="heading 4"/>
    <w:basedOn w:val="Normal"/>
    <w:next w:val="Normal"/>
    <w:uiPriority w:val="9"/>
    <w:unhideWhenUsed/>
    <w:qFormat/>
    <w:pPr>
      <w:keepNext/>
      <w:keepLines/>
      <w:spacing w:before="80" w:after="40" w:line="240" w:lineRule="auto"/>
      <w:outlineLvl w:val="3"/>
    </w:pPr>
    <w:rPr>
      <w:i/>
      <w:iCs/>
      <w:color w:val="2E75B5"/>
    </w:rPr>
  </w:style>
  <w:style w:type="paragraph" w:styleId="Ttulo5">
    <w:name w:val="heading 5"/>
    <w:basedOn w:val="Normal"/>
    <w:next w:val="Normal"/>
    <w:uiPriority w:val="9"/>
    <w:semiHidden/>
    <w:unhideWhenUsed/>
    <w:qFormat/>
    <w:pPr>
      <w:keepNext/>
      <w:keepLines/>
      <w:spacing w:before="80" w:after="40" w:line="240" w:lineRule="auto"/>
      <w:outlineLvl w:val="4"/>
    </w:pPr>
    <w:rPr>
      <w:color w:val="2E75B5"/>
    </w:rPr>
  </w:style>
  <w:style w:type="paragraph" w:styleId="Ttulo6">
    <w:name w:val="heading 6"/>
    <w:basedOn w:val="Normal"/>
    <w:next w:val="Normal"/>
    <w:uiPriority w:val="9"/>
    <w:semiHidden/>
    <w:unhideWhenUsed/>
    <w:qFormat/>
    <w:pPr>
      <w:keepNext/>
      <w:keepLines/>
      <w:spacing w:before="40" w:after="0" w:line="240" w:lineRule="auto"/>
      <w:outlineLvl w:val="5"/>
    </w:pPr>
    <w:rPr>
      <w:i/>
      <w:iCs/>
      <w:color w:val="595959"/>
    </w:rPr>
  </w:style>
  <w:style w:type="paragraph" w:styleId="Ttulo7">
    <w:name w:val="heading 7"/>
    <w:basedOn w:val="Heading"/>
    <w:link w:val="Ttulo7Car"/>
    <w:uiPriority w:val="9"/>
    <w:unhideWhenUsed/>
    <w:qFormat/>
    <w:pPr>
      <w:keepLines/>
      <w:spacing w:before="40" w:after="0"/>
      <w:outlineLvl w:val="6"/>
    </w:pPr>
    <w:rPr>
      <w:rFonts w:ascii="Arial" w:eastAsia="Arial" w:hAnsi="Arial"/>
      <w:color w:val="595959" w:themeColor="text1" w:themeTint="A6"/>
    </w:rPr>
  </w:style>
  <w:style w:type="paragraph" w:styleId="Ttulo8">
    <w:name w:val="heading 8"/>
    <w:basedOn w:val="Heading"/>
    <w:link w:val="Ttulo8Car"/>
    <w:uiPriority w:val="9"/>
    <w:unhideWhenUsed/>
    <w:qFormat/>
    <w:pPr>
      <w:keepLines/>
      <w:spacing w:after="0"/>
      <w:outlineLvl w:val="7"/>
    </w:pPr>
    <w:rPr>
      <w:rFonts w:ascii="Arial" w:eastAsia="Arial" w:hAnsi="Arial"/>
      <w:i/>
      <w:iCs/>
      <w:color w:val="272727" w:themeColor="text1" w:themeTint="D8"/>
    </w:rPr>
  </w:style>
  <w:style w:type="paragraph" w:styleId="Ttulo9">
    <w:name w:val="heading 9"/>
    <w:basedOn w:val="Heading"/>
    <w:link w:val="Ttulo9Car"/>
    <w:uiPriority w:val="9"/>
    <w:unhideWhenUsed/>
    <w:qFormat/>
    <w:pPr>
      <w:keepLines/>
      <w:spacing w:after="0"/>
      <w:outlineLvl w:val="8"/>
    </w:pPr>
    <w:rPr>
      <w:rFonts w:ascii="Arial" w:eastAsia="Arial" w:hAnsi="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Fuentedeprrafopredeter"/>
    <w:uiPriority w:val="9"/>
    <w:qFormat/>
    <w:rPr>
      <w:rFonts w:ascii="Arial" w:eastAsia="Arial" w:hAnsi="Arial" w:cs="Arial"/>
      <w:color w:val="2E74B5" w:themeColor="accent1" w:themeShade="BF"/>
      <w:sz w:val="40"/>
      <w:szCs w:val="40"/>
    </w:rPr>
  </w:style>
  <w:style w:type="character" w:customStyle="1" w:styleId="Heading2Char">
    <w:name w:val="Heading 2 Char"/>
    <w:basedOn w:val="Fuentedeprrafopredeter"/>
    <w:uiPriority w:val="9"/>
    <w:qFormat/>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qFormat/>
    <w:rPr>
      <w:rFonts w:ascii="Arial" w:eastAsia="Arial" w:hAnsi="Arial" w:cs="Arial"/>
      <w:color w:val="2E74B5" w:themeColor="accent1" w:themeShade="BF"/>
      <w:sz w:val="28"/>
      <w:szCs w:val="28"/>
    </w:rPr>
  </w:style>
  <w:style w:type="character" w:customStyle="1" w:styleId="Heading4Char">
    <w:name w:val="Heading 4 Char"/>
    <w:basedOn w:val="Fuentedeprrafopredeter"/>
    <w:uiPriority w:val="9"/>
    <w:qFormat/>
    <w:rPr>
      <w:rFonts w:ascii="Arial" w:eastAsia="Arial" w:hAnsi="Arial" w:cs="Arial"/>
      <w:i/>
      <w:iCs/>
      <w:color w:val="2E74B5" w:themeColor="accent1" w:themeShade="BF"/>
    </w:rPr>
  </w:style>
  <w:style w:type="character" w:customStyle="1" w:styleId="Heading5Char">
    <w:name w:val="Heading 5 Char"/>
    <w:basedOn w:val="Fuentedeprrafopredeter"/>
    <w:uiPriority w:val="9"/>
    <w:qFormat/>
    <w:rPr>
      <w:rFonts w:ascii="Arial" w:eastAsia="Arial" w:hAnsi="Arial" w:cs="Arial"/>
      <w:color w:val="2E74B5" w:themeColor="accent1" w:themeShade="BF"/>
    </w:rPr>
  </w:style>
  <w:style w:type="character" w:customStyle="1" w:styleId="Heading6Char">
    <w:name w:val="Heading 6 Char"/>
    <w:basedOn w:val="Fuentedeprrafopredeter"/>
    <w:uiPriority w:val="9"/>
    <w:qFormat/>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qFormat/>
    <w:rPr>
      <w:rFonts w:ascii="Arial" w:eastAsia="Arial" w:hAnsi="Arial" w:cs="Arial"/>
      <w:color w:val="595959" w:themeColor="text1" w:themeTint="A6"/>
    </w:rPr>
  </w:style>
  <w:style w:type="character" w:customStyle="1" w:styleId="Ttulo8Car">
    <w:name w:val="Título 8 Car"/>
    <w:basedOn w:val="Fuentedeprrafopredeter"/>
    <w:link w:val="Ttulo8"/>
    <w:uiPriority w:val="9"/>
    <w:qFormat/>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qFormat/>
    <w:rPr>
      <w:rFonts w:ascii="Arial" w:eastAsia="Arial" w:hAnsi="Arial" w:cs="Arial"/>
      <w:i/>
      <w:iCs/>
      <w:color w:val="272727" w:themeColor="text1" w:themeTint="D8"/>
    </w:rPr>
  </w:style>
  <w:style w:type="character" w:customStyle="1" w:styleId="TitleChar">
    <w:name w:val="Title Char"/>
    <w:basedOn w:val="Fuentedeprrafopredeter"/>
    <w:uiPriority w:val="10"/>
    <w:qFormat/>
    <w:rPr>
      <w:rFonts w:ascii="Arial" w:eastAsia="Arial" w:hAnsi="Arial" w:cs="Arial"/>
      <w:spacing w:val="-10"/>
      <w:sz w:val="56"/>
      <w:szCs w:val="56"/>
    </w:rPr>
  </w:style>
  <w:style w:type="character" w:customStyle="1" w:styleId="SubtitleChar">
    <w:name w:val="Subtitle Char"/>
    <w:basedOn w:val="Fuentedeprrafopredeter"/>
    <w:uiPriority w:val="11"/>
    <w:qFormat/>
    <w:rPr>
      <w:color w:val="595959" w:themeColor="text1" w:themeTint="A6"/>
      <w:spacing w:val="15"/>
      <w:sz w:val="28"/>
      <w:szCs w:val="28"/>
    </w:rPr>
  </w:style>
  <w:style w:type="character" w:customStyle="1" w:styleId="CitaCar">
    <w:name w:val="Cita Car"/>
    <w:basedOn w:val="Fuentedeprrafopredeter"/>
    <w:link w:val="Cita"/>
    <w:uiPriority w:val="29"/>
    <w:qFormat/>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character" w:customStyle="1" w:styleId="CitadestacadaCar">
    <w:name w:val="Cita destacada Car"/>
    <w:basedOn w:val="Fuentedeprrafopredeter"/>
    <w:link w:val="Citadestacada"/>
    <w:uiPriority w:val="30"/>
    <w:qFormat/>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extonotapieCar">
    <w:name w:val="Texto nota pie Car"/>
    <w:basedOn w:val="Fuentedeprrafopredeter"/>
    <w:link w:val="Textonotapie"/>
    <w:uiPriority w:val="99"/>
    <w:semiHidden/>
    <w:qFormat/>
    <w:rPr>
      <w:sz w:val="20"/>
      <w:szCs w:val="20"/>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pPr>
  </w:style>
  <w:style w:type="paragraph" w:styleId="Lista">
    <w:name w:val="List"/>
    <w:basedOn w:val="Textoindependiente"/>
  </w:style>
  <w:style w:type="paragraph" w:styleId="Descripcin">
    <w:name w:val="caption"/>
    <w:basedOn w:val="Normal"/>
    <w:uiPriority w:val="35"/>
    <w:unhideWhenUsed/>
    <w:qFormat/>
    <w:pPr>
      <w:spacing w:line="240" w:lineRule="auto"/>
    </w:pPr>
    <w:rPr>
      <w:i/>
      <w:iCs/>
      <w:color w:val="44546A" w:themeColor="text2"/>
      <w:sz w:val="18"/>
      <w:szCs w:val="18"/>
    </w:rPr>
  </w:style>
  <w:style w:type="paragraph" w:customStyle="1" w:styleId="Index">
    <w:name w:val="Index"/>
    <w:basedOn w:val="Normal"/>
    <w:qFormat/>
    <w:pPr>
      <w:suppressLineNumbers/>
    </w:pPr>
  </w:style>
  <w:style w:type="paragraph" w:customStyle="1" w:styleId="normal1">
    <w:name w:val="normal1"/>
    <w:qFormat/>
    <w:pPr>
      <w:suppressAutoHyphens/>
    </w:pPr>
    <w:rPr>
      <w:lang w:val="en-US" w:eastAsia="zh-CN" w:bidi="hi-IN"/>
    </w:rPr>
  </w:style>
  <w:style w:type="paragraph" w:styleId="Cita">
    <w:name w:val="Quote"/>
    <w:link w:val="CitaCar"/>
    <w:uiPriority w:val="29"/>
    <w:qFormat/>
    <w:pPr>
      <w:suppressAutoHyphens/>
      <w:spacing w:before="160"/>
      <w:jc w:val="center"/>
    </w:pPr>
    <w:rPr>
      <w:i/>
      <w:iCs/>
      <w:color w:val="404040" w:themeColor="text1" w:themeTint="BF"/>
      <w:lang w:val="en-US" w:eastAsia="zh-CN" w:bidi="hi-IN"/>
    </w:rPr>
  </w:style>
  <w:style w:type="paragraph" w:styleId="Citadestacada">
    <w:name w:val="Intense Quote"/>
    <w:link w:val="CitadestacadaCar"/>
    <w:uiPriority w:val="30"/>
    <w:qFormat/>
    <w:pPr>
      <w:pBdr>
        <w:top w:val="single" w:sz="4" w:space="10" w:color="2E74B5" w:themeColor="accent1" w:themeShade="BF"/>
        <w:bottom w:val="single" w:sz="4" w:space="10" w:color="2E74B5" w:themeColor="accent1" w:themeShade="BF"/>
      </w:pBdr>
      <w:suppressAutoHyphens/>
      <w:spacing w:before="360" w:after="360"/>
      <w:ind w:left="864" w:right="864"/>
      <w:jc w:val="center"/>
    </w:pPr>
    <w:rPr>
      <w:i/>
      <w:iCs/>
      <w:color w:val="2E74B5" w:themeColor="accent1" w:themeShade="BF"/>
      <w:lang w:val="en-US" w:eastAsia="zh-CN" w:bidi="hi-IN"/>
    </w:rPr>
  </w:style>
  <w:style w:type="paragraph" w:customStyle="1" w:styleId="HeaderandFooter">
    <w:name w:val="Header and Footer"/>
    <w:basedOn w:val="Normal"/>
    <w:qFormat/>
  </w:style>
  <w:style w:type="paragraph" w:styleId="Encabezado">
    <w:name w:val="header"/>
    <w:basedOn w:val="HeaderandFooter"/>
    <w:link w:val="EncabezadoCar"/>
    <w:uiPriority w:val="99"/>
    <w:unhideWhenUsed/>
    <w:pPr>
      <w:tabs>
        <w:tab w:val="center" w:pos="4844"/>
        <w:tab w:val="right" w:pos="9689"/>
      </w:tabs>
      <w:spacing w:after="0" w:line="240" w:lineRule="auto"/>
    </w:pPr>
  </w:style>
  <w:style w:type="paragraph" w:styleId="Piedepgina">
    <w:name w:val="footer"/>
    <w:basedOn w:val="HeaderandFooter"/>
    <w:link w:val="PiedepginaCar"/>
    <w:uiPriority w:val="99"/>
    <w:unhideWhenUsed/>
    <w:pPr>
      <w:tabs>
        <w:tab w:val="center" w:pos="4844"/>
        <w:tab w:val="right" w:pos="9689"/>
      </w:tabs>
      <w:spacing w:after="0" w:line="240" w:lineRule="auto"/>
    </w:pPr>
  </w:style>
  <w:style w:type="paragraph" w:styleId="Textonotapie">
    <w:name w:val="footnote text"/>
    <w:basedOn w:val="Normal"/>
    <w:link w:val="TextonotapieCar"/>
    <w:uiPriority w:val="99"/>
    <w:semiHidden/>
    <w:unhideWhenUsed/>
    <w:pPr>
      <w:spacing w:after="0" w:line="240" w:lineRule="auto"/>
    </w:pPr>
    <w:rPr>
      <w:sz w:val="20"/>
      <w:szCs w:val="20"/>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paragraph" w:styleId="TDC1">
    <w:name w:val="toc 1"/>
    <w:basedOn w:val="Index"/>
    <w:uiPriority w:val="39"/>
    <w:unhideWhenUsed/>
    <w:pPr>
      <w:spacing w:after="100"/>
    </w:pPr>
  </w:style>
  <w:style w:type="paragraph" w:styleId="TDC2">
    <w:name w:val="toc 2"/>
    <w:basedOn w:val="Index"/>
    <w:uiPriority w:val="39"/>
    <w:unhideWhenUsed/>
    <w:pPr>
      <w:spacing w:after="100"/>
      <w:ind w:left="220"/>
    </w:pPr>
  </w:style>
  <w:style w:type="paragraph" w:styleId="TDC3">
    <w:name w:val="toc 3"/>
    <w:basedOn w:val="Index"/>
    <w:uiPriority w:val="39"/>
    <w:unhideWhenUsed/>
    <w:pPr>
      <w:spacing w:after="100"/>
      <w:ind w:left="440"/>
    </w:pPr>
  </w:style>
  <w:style w:type="paragraph" w:styleId="TDC4">
    <w:name w:val="toc 4"/>
    <w:basedOn w:val="Index"/>
    <w:uiPriority w:val="39"/>
    <w:unhideWhenUsed/>
    <w:pPr>
      <w:spacing w:after="100"/>
      <w:ind w:left="660"/>
    </w:pPr>
  </w:style>
  <w:style w:type="paragraph" w:styleId="TDC5">
    <w:name w:val="toc 5"/>
    <w:basedOn w:val="Index"/>
    <w:uiPriority w:val="39"/>
    <w:unhideWhenUsed/>
    <w:pPr>
      <w:spacing w:after="100"/>
      <w:ind w:left="880"/>
    </w:pPr>
  </w:style>
  <w:style w:type="paragraph" w:styleId="TDC6">
    <w:name w:val="toc 6"/>
    <w:basedOn w:val="Index"/>
    <w:uiPriority w:val="39"/>
    <w:unhideWhenUsed/>
    <w:pPr>
      <w:spacing w:after="100"/>
      <w:ind w:left="1100"/>
    </w:pPr>
  </w:style>
  <w:style w:type="paragraph" w:styleId="TDC7">
    <w:name w:val="toc 7"/>
    <w:basedOn w:val="Index"/>
    <w:uiPriority w:val="39"/>
    <w:unhideWhenUsed/>
    <w:pPr>
      <w:spacing w:after="100"/>
      <w:ind w:left="1320"/>
    </w:pPr>
  </w:style>
  <w:style w:type="paragraph" w:styleId="TDC8">
    <w:name w:val="toc 8"/>
    <w:basedOn w:val="Index"/>
    <w:uiPriority w:val="39"/>
    <w:unhideWhenUsed/>
    <w:pPr>
      <w:spacing w:after="100"/>
      <w:ind w:left="1540"/>
    </w:pPr>
  </w:style>
  <w:style w:type="paragraph" w:styleId="TDC9">
    <w:name w:val="toc 9"/>
    <w:basedOn w:val="Index"/>
    <w:uiPriority w:val="39"/>
    <w:unhideWhenUsed/>
    <w:pPr>
      <w:spacing w:after="100"/>
      <w:ind w:left="1760"/>
    </w:pPr>
  </w:style>
  <w:style w:type="paragraph" w:styleId="Ttulodendice">
    <w:name w:val="index heading"/>
    <w:basedOn w:val="Heading"/>
  </w:style>
  <w:style w:type="paragraph" w:styleId="TtuloTDC">
    <w:name w:val="TOC Heading"/>
    <w:uiPriority w:val="39"/>
    <w:unhideWhenUsed/>
    <w:qFormat/>
    <w:pPr>
      <w:suppressAutoHyphens/>
    </w:pPr>
    <w:rPr>
      <w:lang w:val="en-US" w:eastAsia="zh-CN" w:bidi="hi-IN"/>
    </w:rPr>
  </w:style>
  <w:style w:type="paragraph" w:styleId="Tabladeilustraciones">
    <w:name w:val="table of figures"/>
    <w:basedOn w:val="Index"/>
    <w:uiPriority w:val="99"/>
    <w:unhideWhenUsed/>
    <w:pPr>
      <w:spacing w:after="0"/>
    </w:pPr>
  </w:style>
  <w:style w:type="paragraph" w:styleId="Sinespaciado">
    <w:name w:val="No Spacing"/>
    <w:uiPriority w:val="1"/>
    <w:qFormat/>
    <w:pPr>
      <w:suppressAutoHyphens/>
      <w:spacing w:after="0" w:line="240" w:lineRule="auto"/>
    </w:pPr>
    <w:rPr>
      <w:lang w:val="en-US" w:eastAsia="zh-CN" w:bidi="hi-IN"/>
    </w:rPr>
  </w:style>
  <w:style w:type="paragraph" w:styleId="Prrafodelista">
    <w:name w:val="List Paragraph"/>
    <w:uiPriority w:val="34"/>
    <w:qFormat/>
    <w:pPr>
      <w:suppressAutoHyphens/>
      <w:ind w:left="720"/>
      <w:contextualSpacing/>
    </w:pPr>
    <w:rPr>
      <w:lang w:val="en-US" w:eastAsia="zh-CN" w:bidi="hi-IN"/>
    </w:r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caption11">
    <w:name w:val="caption11"/>
    <w:basedOn w:val="Normal"/>
    <w:qFormat/>
    <w:pPr>
      <w:suppressLineNumbers/>
      <w:spacing w:before="120" w:after="120"/>
    </w:pPr>
    <w:rPr>
      <w:i/>
      <w:iCs/>
    </w:rPr>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Normal2">
    <w:name w:val="Table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rPr>
      <w:tblPr/>
      <w:tcPr>
        <w:tcBorders>
          <w:bottom w:val="single" w:sz="12" w:space="0" w:color="5B9BD5"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rPr>
      <w:tblPr/>
      <w:tcPr>
        <w:tcBorders>
          <w:bottom w:val="single" w:sz="12" w:space="0" w:color="4472C4"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b/>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FFFFFF" w:fill="68A2D8" w:themeFill="accent1" w:themeFillTint="EA"/>
      </w:tcPr>
    </w:tblStylePr>
    <w:tblStylePr w:type="lastRow">
      <w:rPr>
        <w:b/>
      </w:rPr>
      <w:tblPr/>
      <w:tcPr>
        <w:tcBorders>
          <w:top w:val="single" w:sz="4" w:space="0" w:color="5B9BD5" w:themeColor="accent1"/>
        </w:tcBorders>
      </w:tcPr>
    </w:tblStylePr>
    <w:tblStylePr w:type="firstCol">
      <w:rPr>
        <w:b/>
      </w:rPr>
    </w:tblStylePr>
    <w:tblStylePr w:type="lastCol">
      <w:rPr>
        <w:b/>
      </w:rPr>
    </w:tblStylePr>
    <w:tblStylePr w:type="band1Vert">
      <w:rPr>
        <w:sz w:val="22"/>
      </w:rPr>
      <w:tblPr/>
      <w:tcPr>
        <w:shd w:val="clear" w:color="FFFFFF" w:fill="DEEBF6" w:themeFill="accent1" w:themeFillTint="32"/>
      </w:tcPr>
    </w:tblStylePr>
    <w:tblStylePr w:type="band1Horz">
      <w:rPr>
        <w:sz w:val="22"/>
      </w:rPr>
      <w:tblPr/>
      <w:tcPr>
        <w:shd w:val="clear" w:color="FFFFFF"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FFFFF"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FFFFFF"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FFFF"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4472C4" w:themeFill="accent5"/>
      </w:tcPr>
    </w:tblStylePr>
    <w:tblStylePr w:type="lastRow">
      <w:rPr>
        <w:b/>
      </w:rPr>
      <w:tblPr/>
      <w:tcPr>
        <w:tcBorders>
          <w:top w:val="single" w:sz="4" w:space="0" w:color="4472C4" w:themeColor="accent5"/>
        </w:tcBorders>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000000" w:themeFill="text1"/>
      </w:tcPr>
    </w:tblStylePr>
    <w:tblStylePr w:type="lastRow">
      <w:rPr>
        <w:b/>
        <w:sz w:val="22"/>
      </w:rPr>
      <w:tblPr/>
      <w:tcPr>
        <w:tcBorders>
          <w:top w:val="single" w:sz="4" w:space="0" w:color="FFFFFF" w:themeColor="light1"/>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5B9BD5" w:themeFill="accent1"/>
      </w:tcPr>
    </w:tblStylePr>
    <w:tblStylePr w:type="lastRow">
      <w:rPr>
        <w:b/>
        <w:sz w:val="22"/>
      </w:rPr>
      <w:tblPr/>
      <w:tcPr>
        <w:tcBorders>
          <w:top w:val="single" w:sz="4" w:space="0" w:color="FFFFFF" w:themeColor="light1"/>
        </w:tcBorders>
        <w:shd w:val="clear" w:color="FFFFFF" w:fill="5B9BD5" w:themeFill="accent1"/>
      </w:tcPr>
    </w:tblStylePr>
    <w:tblStylePr w:type="firstCol">
      <w:rPr>
        <w:b/>
        <w:sz w:val="22"/>
      </w:rPr>
      <w:tblPr/>
      <w:tcPr>
        <w:shd w:val="clear" w:color="FFFFFF" w:fill="5B9BD5" w:themeFill="accent1"/>
      </w:tcPr>
    </w:tblStylePr>
    <w:tblStylePr w:type="lastCol">
      <w:rPr>
        <w:b/>
        <w:sz w:val="22"/>
      </w:rPr>
      <w:tblPr/>
      <w:tcPr>
        <w:shd w:val="clear" w:color="FFFFFF" w:fill="5B9BD5" w:themeFill="accent1"/>
      </w:tcPr>
    </w:tblStylePr>
    <w:tblStylePr w:type="band1Vert">
      <w:tblPr/>
      <w:tcPr>
        <w:shd w:val="clear" w:color="FFFFFF" w:fill="B3D0EB" w:themeFill="accent1" w:themeFillTint="75"/>
      </w:tcPr>
    </w:tblStylePr>
    <w:tblStylePr w:type="band1Horz">
      <w:tblPr/>
      <w:tcPr>
        <w:shd w:val="clear" w:color="FFFFFF"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ED7D31" w:themeFill="accent2"/>
      </w:tcPr>
    </w:tblStylePr>
    <w:tblStylePr w:type="lastRow">
      <w:rPr>
        <w:b/>
        <w:sz w:val="22"/>
      </w:rPr>
      <w:tblPr/>
      <w:tcPr>
        <w:tcBorders>
          <w:top w:val="single" w:sz="4" w:space="0" w:color="FFFFFF" w:themeColor="light1"/>
        </w:tcBorders>
        <w:shd w:val="clear" w:color="FFFFFF" w:fill="ED7D31" w:themeFill="accent2"/>
      </w:tcPr>
    </w:tblStylePr>
    <w:tblStylePr w:type="firstCol">
      <w:rPr>
        <w:b/>
        <w:sz w:val="22"/>
      </w:rPr>
      <w:tblPr/>
      <w:tcPr>
        <w:shd w:val="clear" w:color="FFFFFF" w:fill="ED7D31" w:themeFill="accent2"/>
      </w:tcPr>
    </w:tblStylePr>
    <w:tblStylePr w:type="lastCol">
      <w:rPr>
        <w:b/>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A5A5A5" w:themeFill="accent3"/>
      </w:tcPr>
    </w:tblStylePr>
    <w:tblStylePr w:type="lastRow">
      <w:rPr>
        <w:b/>
        <w:sz w:val="22"/>
      </w:rPr>
      <w:tblPr/>
      <w:tcPr>
        <w:tcBorders>
          <w:top w:val="single" w:sz="4" w:space="0" w:color="FFFFFF" w:themeColor="light1"/>
        </w:tcBorders>
        <w:shd w:val="clear" w:color="FFFFFF" w:fill="A5A5A5" w:themeFill="accent3"/>
      </w:tcPr>
    </w:tblStylePr>
    <w:tblStylePr w:type="firstCol">
      <w:rPr>
        <w:b/>
        <w:sz w:val="22"/>
      </w:rPr>
      <w:tblPr/>
      <w:tcPr>
        <w:shd w:val="clear" w:color="FFFFFF" w:fill="A5A5A5" w:themeFill="accent3"/>
      </w:tcPr>
    </w:tblStylePr>
    <w:tblStylePr w:type="lastCol">
      <w:rPr>
        <w:b/>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FFC000" w:themeFill="accent4"/>
      </w:tcPr>
    </w:tblStylePr>
    <w:tblStylePr w:type="lastRow">
      <w:rPr>
        <w:b/>
        <w:sz w:val="22"/>
      </w:rPr>
      <w:tblPr/>
      <w:tcPr>
        <w:tcBorders>
          <w:top w:val="single" w:sz="4" w:space="0" w:color="FFFFFF" w:themeColor="light1"/>
        </w:tcBorders>
        <w:shd w:val="clear" w:color="FFFFFF" w:fill="FFC000" w:themeFill="accent4"/>
      </w:tcPr>
    </w:tblStylePr>
    <w:tblStylePr w:type="firstCol">
      <w:rPr>
        <w:b/>
        <w:sz w:val="22"/>
      </w:rPr>
      <w:tblPr/>
      <w:tcPr>
        <w:shd w:val="clear" w:color="FFFFFF" w:fill="FFC000" w:themeFill="accent4"/>
      </w:tcPr>
    </w:tblStylePr>
    <w:tblStylePr w:type="lastCol">
      <w:rPr>
        <w:b/>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4472C4" w:themeFill="accent5"/>
      </w:tcPr>
    </w:tblStylePr>
    <w:tblStylePr w:type="lastRow">
      <w:rPr>
        <w:b/>
        <w:sz w:val="22"/>
      </w:rPr>
      <w:tblPr/>
      <w:tcPr>
        <w:tcBorders>
          <w:top w:val="single" w:sz="4" w:space="0" w:color="FFFFFF" w:themeColor="light1"/>
        </w:tcBorders>
        <w:shd w:val="clear" w:color="FFFFFF" w:fill="4472C4" w:themeFill="accent5"/>
      </w:tcPr>
    </w:tblStylePr>
    <w:tblStylePr w:type="firstCol">
      <w:rPr>
        <w:b/>
        <w:sz w:val="22"/>
      </w:rPr>
      <w:tblPr/>
      <w:tcPr>
        <w:shd w:val="clear" w:color="FFFFFF" w:fill="4472C4" w:themeFill="accent5"/>
      </w:tcPr>
    </w:tblStylePr>
    <w:tblStylePr w:type="lastCol">
      <w:rPr>
        <w:b/>
        <w:sz w:val="22"/>
      </w:rPr>
      <w:tblPr/>
      <w:tcPr>
        <w:shd w:val="clear" w:color="FFFFFF" w:fill="4472C4" w:themeFill="accent5"/>
      </w:tcPr>
    </w:tblStylePr>
    <w:tblStylePr w:type="band1Vert">
      <w:tblPr/>
      <w:tcPr>
        <w:shd w:val="clear" w:color="FFFFFF" w:fill="A9BEE4" w:themeFill="accent5" w:themeFillTint="75"/>
      </w:tcPr>
    </w:tblStylePr>
    <w:tblStylePr w:type="band1Horz">
      <w:tblPr/>
      <w:tcPr>
        <w:shd w:val="clear" w:color="FFFFFF"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70AD47" w:themeFill="accent6"/>
      </w:tcPr>
    </w:tblStylePr>
    <w:tblStylePr w:type="lastRow">
      <w:rPr>
        <w:b/>
        <w:sz w:val="22"/>
      </w:rPr>
      <w:tblPr/>
      <w:tcPr>
        <w:tcBorders>
          <w:top w:val="single" w:sz="4" w:space="0" w:color="FFFFFF" w:themeColor="light1"/>
        </w:tcBorders>
        <w:shd w:val="clear" w:color="FFFFFF" w:fill="70AD47" w:themeFill="accent6"/>
      </w:tcPr>
    </w:tblStylePr>
    <w:tblStylePr w:type="firstCol">
      <w:rPr>
        <w:b/>
        <w:sz w:val="22"/>
      </w:rPr>
      <w:tblPr/>
      <w:tcPr>
        <w:shd w:val="clear" w:color="FFFFFF" w:fill="70AD47" w:themeFill="accent6"/>
      </w:tcPr>
    </w:tblStylePr>
    <w:tblStylePr w:type="lastCol">
      <w:rPr>
        <w:b/>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E1EFD8" w:themeFill="accent6" w:themeFillTint="34"/>
      </w:tcPr>
    </w:tblStylePr>
    <w:tblStylePr w:type="band1Horz">
      <w:rPr>
        <w:color w:val="254175" w:themeColor="accent5" w:themeShade="95"/>
        <w:sz w:val="22"/>
      </w:rPr>
      <w:tblPr/>
      <w:tcPr>
        <w:shd w:val="clear" w:color="FFFFFF" w:fill="E1EFD8" w:themeFill="accent6" w:themeFillTint="34"/>
      </w:tcPr>
    </w:tblStylePr>
    <w:tblStylePr w:type="band2Horz">
      <w:rPr>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F2F2F2" w:themeFill="text1" w:themeFillTint="0D"/>
      </w:tcPr>
    </w:tblStylePr>
    <w:tblStylePr w:type="band1Horz">
      <w:rPr>
        <w:color w:val="7F7F7F" w:themeColor="text1" w:themeTint="80" w:themeShade="95"/>
        <w:sz w:val="22"/>
      </w:rPr>
      <w:tblPr/>
      <w:tcPr>
        <w:shd w:val="clear" w:color="FFFFFF"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254175" w:themeColor="accent5"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54175" w:themeColor="accent5"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416429" w:themeColor="accent6"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E1EFD8" w:themeFill="accent6" w:themeFillTint="34"/>
      </w:tcPr>
    </w:tblStylePr>
    <w:tblStylePr w:type="band1Horz">
      <w:rPr>
        <w:color w:val="416429" w:themeColor="accent6" w:themeShade="95"/>
        <w:sz w:val="22"/>
      </w:rPr>
      <w:tblPr/>
      <w:tcPr>
        <w:shd w:val="clear" w:color="FFFFFF" w:fill="E1EFD8" w:themeFill="accent6" w:themeFillTint="34"/>
      </w:tcPr>
    </w:tblStylePr>
    <w:tblStylePr w:type="band2Horz">
      <w:rPr>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5E5F4" w:themeFill="accent1" w:themeFillTint="40"/>
      </w:tcPr>
    </w:tblStylePr>
    <w:tblStylePr w:type="band1Horz">
      <w:tblPr/>
      <w:tcPr>
        <w:shd w:val="clear" w:color="FFFFFF"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CFDBF0" w:themeFill="accent5" w:themeFillTint="40"/>
      </w:tcPr>
    </w:tblStylePr>
    <w:tblStylePr w:type="band1Horz">
      <w:tblPr/>
      <w:tcPr>
        <w:shd w:val="clear" w:color="FFFFFF"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1"/>
          <w:right w:val="single" w:sz="4" w:space="0" w:color="5B9BD5" w:themeColor="accent1"/>
        </w:tcBorders>
      </w:tcPr>
    </w:tblStylePr>
    <w:tblStylePr w:type="band1Horz">
      <w:rPr>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FFFFF"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FFFFFF"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FFFF"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b/>
        <w:sz w:val="22"/>
      </w:rPr>
      <w:tblPr/>
      <w:tcPr>
        <w:shd w:val="clear" w:color="FFFFFF" w:fill="8DA9DB"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5"/>
          <w:right w:val="single" w:sz="4" w:space="0" w:color="4472C4" w:themeColor="accent5"/>
        </w:tcBorders>
      </w:tcPr>
    </w:tblStylePr>
    <w:tblStylePr w:type="band1Horz">
      <w:rPr>
        <w:sz w:val="22"/>
      </w:rPr>
      <w:tblPr/>
      <w:tcPr>
        <w:tcBorders>
          <w:top w:val="single" w:sz="4" w:space="0" w:color="4472C4" w:themeColor="accent5"/>
          <w:bottom w:val="single" w:sz="4" w:space="0" w:color="4472C4" w:themeColor="accent5"/>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FFFFFF"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FFFFFF"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FFFFFF"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FFFF"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b/>
        <w:sz w:val="22"/>
      </w:rPr>
      <w:tblPr/>
      <w:tcPr>
        <w:shd w:val="clear" w:color="FFFFFF" w:fill="4472C4" w:themeFill="accent5"/>
      </w:tcPr>
    </w:tblStylePr>
    <w:tblStylePr w:type="lastRow">
      <w:rPr>
        <w:b/>
      </w:rPr>
    </w:tblStylePr>
    <w:tblStylePr w:type="firstCol">
      <w:rPr>
        <w:b/>
      </w:rPr>
    </w:tblStylePr>
    <w:tblStylePr w:type="lastCol">
      <w:rPr>
        <w:b/>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FFFFFF"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b/>
        <w:color w:val="FFFFFF" w:themeColor="light1"/>
        <w:sz w:val="22"/>
      </w:rPr>
      <w:tblPr/>
      <w:tcPr>
        <w:tcBorders>
          <w:top w:val="single" w:sz="32" w:space="0" w:color="5B9BD5" w:themeColor="accent1"/>
          <w:bottom w:val="single" w:sz="12" w:space="0" w:color="FFFFFF" w:themeColor="light1"/>
        </w:tcBorders>
        <w:shd w:val="clear" w:color="FFFFFF"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5B9BD5" w:themeFill="accent1"/>
      </w:tcPr>
    </w:tblStylePr>
    <w:tblStylePr w:type="band2Horz">
      <w:tblPr/>
      <w:tcPr>
        <w:tcBorders>
          <w:top w:val="single" w:sz="4" w:space="0" w:color="FFFFFF" w:themeColor="light1"/>
          <w:bottom w:val="single" w:sz="4" w:space="0" w:color="FFFFFF" w:themeColor="light1"/>
        </w:tcBorders>
        <w:shd w:val="clear" w:color="FFFFFF"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FFFFF"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FFFFFF"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FFFF"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b/>
        <w:color w:val="FFFFFF" w:themeColor="light1"/>
        <w:sz w:val="22"/>
      </w:rPr>
      <w:tblPr/>
      <w:tcPr>
        <w:tcBorders>
          <w:top w:val="single" w:sz="32" w:space="0" w:color="4472C4" w:themeColor="accent5"/>
          <w:bottom w:val="single" w:sz="12" w:space="0" w:color="FFFFFF" w:themeColor="light1"/>
        </w:tcBorders>
        <w:shd w:val="clear" w:color="FFFFFF"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FFFFFF"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8DA9DB" w:themeFill="accent5" w:themeFillTint="9A"/>
      </w:tcPr>
    </w:tblStylePr>
    <w:tblStylePr w:type="band2Horz">
      <w:tblPr/>
      <w:tcPr>
        <w:tcBorders>
          <w:top w:val="single" w:sz="4" w:space="0" w:color="FFFFFF" w:themeColor="light1"/>
          <w:bottom w:val="single" w:sz="4" w:space="0" w:color="FFFFFF" w:themeColor="light1"/>
        </w:tcBorders>
        <w:shd w:val="clear" w:color="FFFFFF"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FFFFFF"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i/>
        <w:color w:val="8DA9DB" w:themeColor="accent5" w:themeTint="9A"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lanormal"/>
    <w:uiPriority w:val="99"/>
    <w:pPr>
      <w:spacing w:after="0" w:line="240" w:lineRule="auto"/>
    </w:pPr>
    <w:tblPr>
      <w:tblStyleRowBandSize w:val="1"/>
      <w:tblStyleColBandSize w:val="1"/>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Lined-Accent1">
    <w:name w:val="Lined - Accent 1"/>
    <w:basedOn w:val="Tablanormal"/>
    <w:uiPriority w:val="99"/>
    <w:pPr>
      <w:spacing w:after="0" w:line="240" w:lineRule="auto"/>
    </w:pPr>
    <w:tblPr>
      <w:tblStyleRowBandSize w:val="1"/>
      <w:tblStyleColBandSize w:val="1"/>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Lined-Accent2">
    <w:name w:val="Lined - Accent 2"/>
    <w:basedOn w:val="Tablanormal"/>
    <w:uiPriority w:val="99"/>
    <w:pPr>
      <w:spacing w:after="0" w:line="240" w:lineRule="auto"/>
    </w:pPr>
    <w:tblPr>
      <w:tblStyleRowBandSize w:val="1"/>
      <w:tblStyleColBandSize w:val="1"/>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Lined-Accent3">
    <w:name w:val="Lined - Accent 3"/>
    <w:basedOn w:val="Tablanormal"/>
    <w:uiPriority w:val="99"/>
    <w:pPr>
      <w:spacing w:after="0" w:line="240" w:lineRule="auto"/>
    </w:pPr>
    <w:tblPr>
      <w:tblStyleRowBandSize w:val="1"/>
      <w:tblStyleColBandSize w:val="1"/>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Lined-Accent4">
    <w:name w:val="Lined - Accent 4"/>
    <w:basedOn w:val="Tablanormal"/>
    <w:uiPriority w:val="99"/>
    <w:pPr>
      <w:spacing w:after="0" w:line="240" w:lineRule="auto"/>
    </w:pPr>
    <w:tblPr>
      <w:tblStyleRowBandSize w:val="1"/>
      <w:tblStyleColBandSize w:val="1"/>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Lined-Accent5">
    <w:name w:val="Lined - Accent 5"/>
    <w:basedOn w:val="Tablanormal"/>
    <w:uiPriority w:val="99"/>
    <w:pPr>
      <w:spacing w:after="0" w:line="240" w:lineRule="auto"/>
    </w:pPr>
    <w:tblPr>
      <w:tblStyleRowBandSize w:val="1"/>
      <w:tblStyleColBandSize w:val="1"/>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Lined-Accent6">
    <w:name w:val="Lined - Accent 6"/>
    <w:basedOn w:val="Tablanormal"/>
    <w:uiPriority w:val="99"/>
    <w:pPr>
      <w:spacing w:after="0" w:line="240" w:lineRule="auto"/>
    </w:pPr>
    <w:tblPr>
      <w:tblStyleRowBandSize w:val="1"/>
      <w:tblStyleColBandSize w:val="1"/>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Lined-Accent">
    <w:name w:val="Bordered &amp; Lined - Accent"/>
    <w:basedOn w:val="Tablanormal"/>
    <w:uiPriority w:val="99"/>
    <w:pPr>
      <w:spacing w:after="0" w:line="240" w:lineRule="auto"/>
    </w:p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BorderedLined-Accent1">
    <w:name w:val="Bordered &amp; Lined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BorderedLined-Accent2">
    <w:name w:val="Bordered &amp; Lined - Accent 2"/>
    <w:basedOn w:val="Tablanormal"/>
    <w:uiPriority w:val="9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BorderedLined-Accent3">
    <w:name w:val="Bordered &amp; Lined - Accent 3"/>
    <w:basedOn w:val="Tablanormal"/>
    <w:uiPriority w:val="99"/>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BorderedLined-Accent4">
    <w:name w:val="Bordered &amp; Lined - Accent 4"/>
    <w:basedOn w:val="Tablanormal"/>
    <w:uiPriority w:val="99"/>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BorderedLined-Accent5">
    <w:name w:val="Bordered &amp; Lined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BorderedLined-Accent6">
    <w:name w:val="Bordered &amp; Lined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sz w:val="22"/>
      </w:rPr>
      <w:tblPr/>
      <w:tcPr>
        <w:tcBorders>
          <w:bottom w:val="single" w:sz="12" w:space="0" w:color="5B9BD5" w:themeColor="accent1"/>
        </w:tcBorders>
      </w:tcPr>
    </w:tblStylePr>
    <w:tblStylePr w:type="lastRow">
      <w:rPr>
        <w:sz w:val="22"/>
      </w:rPr>
      <w:tblPr/>
      <w:tcPr>
        <w:tcBorders>
          <w:top w:val="single" w:sz="12" w:space="0" w:color="5B9BD5" w:themeColor="accent1"/>
        </w:tcBorders>
      </w:tcPr>
    </w:tblStylePr>
    <w:tblStylePr w:type="firstCol">
      <w:rPr>
        <w:sz w:val="22"/>
      </w:rPr>
    </w:tblStylePr>
    <w:tblStylePr w:type="lastCol">
      <w:rPr>
        <w:sz w:val="22"/>
      </w:rPr>
      <w:tblPr/>
      <w:tcPr>
        <w:tcBorders>
          <w:left w:val="single" w:sz="12" w:space="0" w:color="5B9BD5" w:themeColor="accent1"/>
        </w:tcBorders>
      </w:tc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sz w:val="22"/>
      </w:rPr>
      <w:tblPr/>
      <w:tcPr>
        <w:tcBorders>
          <w:bottom w:val="single" w:sz="12" w:space="0" w:color="4472C4" w:themeColor="accent5"/>
        </w:tcBorders>
      </w:tcPr>
    </w:tblStylePr>
    <w:tblStylePr w:type="lastRow">
      <w:rPr>
        <w:sz w:val="22"/>
      </w:rPr>
      <w:tblPr/>
      <w:tcPr>
        <w:tcBorders>
          <w:top w:val="single" w:sz="12" w:space="0" w:color="4472C4" w:themeColor="accent5"/>
        </w:tcBorders>
      </w:tcPr>
    </w:tblStylePr>
    <w:tblStylePr w:type="firstCol">
      <w:rPr>
        <w:sz w:val="22"/>
      </w:rPr>
    </w:tblStylePr>
    <w:tblStylePr w:type="lastCol">
      <w:rPr>
        <w:sz w:val="22"/>
      </w:rPr>
      <w:tblPr/>
      <w:tcPr>
        <w:tcBorders>
          <w:left w:val="single" w:sz="12" w:space="0" w:color="4472C4" w:themeColor="accent5"/>
        </w:tcBorders>
      </w:tc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CellMar>
        <w:left w:w="108" w:type="dxa"/>
        <w:right w:w="108" w:type="dxa"/>
      </w:tblCellMar>
    </w:tblPr>
  </w:style>
  <w:style w:type="table" w:customStyle="1" w:styleId="a1">
    <w:basedOn w:val="TableNormal3"/>
    <w:tblPr>
      <w:tblStyleRowBandSize w:val="1"/>
      <w:tblStyleColBandSize w:val="1"/>
      <w:tblCellMar>
        <w:left w:w="108" w:type="dxa"/>
        <w:right w:w="108" w:type="dxa"/>
      </w:tblCellMar>
    </w:tblPr>
  </w:style>
  <w:style w:type="table" w:customStyle="1" w:styleId="a2">
    <w:basedOn w:val="TableNormal3"/>
    <w:tblPr>
      <w:tblStyleRowBandSize w:val="1"/>
      <w:tblStyleColBandSize w:val="1"/>
      <w:tblCellMar>
        <w:left w:w="108" w:type="dxa"/>
        <w:right w:w="108" w:type="dxa"/>
      </w:tblCellMar>
    </w:tblPr>
  </w:style>
  <w:style w:type="table" w:customStyle="1" w:styleId="a3">
    <w:basedOn w:val="TableNormal3"/>
    <w:tblPr>
      <w:tblStyleRowBandSize w:val="1"/>
      <w:tblStyleColBandSize w:val="1"/>
      <w:tblCellMar>
        <w:left w:w="108" w:type="dxa"/>
        <w:right w:w="108" w:type="dxa"/>
      </w:tblCellMar>
    </w:tblPr>
  </w:style>
  <w:style w:type="table" w:customStyle="1" w:styleId="a4">
    <w:basedOn w:val="TableNormal3"/>
    <w:tblPr>
      <w:tblStyleRowBandSize w:val="1"/>
      <w:tblStyleColBandSize w:val="1"/>
      <w:tblCellMar>
        <w:left w:w="108" w:type="dxa"/>
        <w:right w:w="108" w:type="dxa"/>
      </w:tblCellMar>
    </w:tblPr>
  </w:style>
  <w:style w:type="table" w:customStyle="1" w:styleId="a5">
    <w:basedOn w:val="TableNormal3"/>
    <w:tblPr>
      <w:tblStyleRowBandSize w:val="1"/>
      <w:tblStyleColBandSize w:val="1"/>
      <w:tblCellMar>
        <w:left w:w="108" w:type="dxa"/>
        <w:right w:w="108" w:type="dxa"/>
      </w:tblCellMar>
    </w:tblPr>
  </w:style>
  <w:style w:type="character" w:customStyle="1" w:styleId="Ttulo1Car">
    <w:name w:val="Título 1 Car"/>
    <w:basedOn w:val="Fuentedeprrafopredeter"/>
    <w:uiPriority w:val="9"/>
    <w:rsid w:val="00070813"/>
    <w:rPr>
      <w:color w:val="2E75B5"/>
      <w:sz w:val="40"/>
      <w:szCs w:val="40"/>
    </w:rPr>
  </w:style>
  <w:style w:type="character" w:styleId="Mencinsinresolver">
    <w:name w:val="Unresolved Mention"/>
    <w:basedOn w:val="Fuentedeprrafopredeter"/>
    <w:uiPriority w:val="99"/>
    <w:semiHidden/>
    <w:unhideWhenUsed/>
    <w:rsid w:val="00066689"/>
    <w:rPr>
      <w:color w:val="605E5C"/>
      <w:shd w:val="clear" w:color="auto" w:fill="E1DFDD"/>
    </w:r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paragraph" w:styleId="Subttulo">
    <w:name w:val="Subtitle"/>
    <w:basedOn w:val="Normal"/>
    <w:next w:val="Normal"/>
    <w:uiPriority w:val="11"/>
    <w:qFormat/>
    <w:rPr>
      <w:color w:val="595959"/>
      <w:sz w:val="28"/>
      <w:szCs w:val="28"/>
    </w:r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v6d4f9j/fBi/U4ZJvWtAKlWrw==">CgMxLjAaHwoBMBIaChgICVIUChJ0YWJsZS4ydjM0YzdndWIyMncaHwoBMRIaChgICVIUChJ0YWJsZS5najEzMWQ5YmlzdzMyDmguNnN3ZHppNjd3cDcyMg5oLmQ3eWl1MmV5OHBmMDIOaC43dHg2ZmhlY2doMGYyDmguNjJ2eThxdHQ1dDJrMg5oLnN3djZvN29rOXFpMTIOaC4xM2YyOGd0aTk1a2UyDmguYXo3b3pvZHo3bWtrMg5oLjhuc3Y0cDNheXVsNzgAciExR1J2NmF1R1J1Z1BPVDJBeHZCRWFDY1A0dFNiVHpCM24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1432</Words>
  <Characters>7879</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Gabriela Workforce</cp:lastModifiedBy>
  <cp:revision>13</cp:revision>
  <cp:lastPrinted>2026-05-07T22:33:00Z</cp:lastPrinted>
  <dcterms:created xsi:type="dcterms:W3CDTF">2026-05-19T01:41:00Z</dcterms:created>
  <dcterms:modified xsi:type="dcterms:W3CDTF">2026-05-24T23:06:00Z</dcterms:modified>
</cp:coreProperties>
</file>