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66C9" w14:textId="77777777" w:rsidR="00273098" w:rsidRDefault="00273098" w:rsidP="00273098">
      <w:pPr>
        <w:rPr>
          <w:b/>
          <w:bCs/>
        </w:rPr>
      </w:pPr>
      <w:r w:rsidRPr="00273098">
        <w:rPr>
          <w:b/>
          <w:bCs/>
        </w:rPr>
        <w:t>Briefing Ejecutivo: Proyecto Focus — Plataforma de Inteligencia de Cliente y Activación Comercial</w:t>
      </w:r>
    </w:p>
    <w:p w14:paraId="7C75CF5A" w14:textId="77777777" w:rsidR="00B7705C" w:rsidRPr="00273098" w:rsidRDefault="00B7705C" w:rsidP="00273098">
      <w:pPr>
        <w:rPr>
          <w:b/>
          <w:bCs/>
        </w:rPr>
      </w:pPr>
    </w:p>
    <w:p w14:paraId="6CF71432" w14:textId="77777777" w:rsidR="00273098" w:rsidRPr="00273098" w:rsidRDefault="00273098" w:rsidP="00273098">
      <w:r w:rsidRPr="00273098">
        <w:rPr>
          <w:b/>
          <w:bCs/>
        </w:rPr>
        <w:t>Para:</w:t>
      </w:r>
      <w:r w:rsidRPr="00273098">
        <w:t xml:space="preserve"> Comité de Dirección de TÜV SÜD España </w:t>
      </w:r>
      <w:r w:rsidRPr="00273098">
        <w:rPr>
          <w:b/>
          <w:bCs/>
        </w:rPr>
        <w:t>De:</w:t>
      </w:r>
      <w:r w:rsidRPr="00273098">
        <w:t xml:space="preserve"> Consultoría Estratégica de Transformación Digital y Gobierno del Dato </w:t>
      </w:r>
      <w:r w:rsidRPr="00273098">
        <w:rPr>
          <w:b/>
          <w:bCs/>
        </w:rPr>
        <w:t>Asunto:</w:t>
      </w:r>
      <w:r w:rsidRPr="00273098">
        <w:t xml:space="preserve"> Transformación del Modelo de Crecimiento mediante Inteligencia de Cliente</w:t>
      </w:r>
    </w:p>
    <w:p w14:paraId="5DCEA092" w14:textId="77777777" w:rsidR="00273098" w:rsidRPr="00273098" w:rsidRDefault="00273098" w:rsidP="00273098">
      <w:pPr>
        <w:rPr>
          <w:b/>
          <w:bCs/>
        </w:rPr>
      </w:pPr>
      <w:r w:rsidRPr="00273098">
        <w:rPr>
          <w:b/>
          <w:bCs/>
        </w:rPr>
        <w:t>1. Visión Estratégica y Resolución de la Invisibilidad Corporativa</w:t>
      </w:r>
    </w:p>
    <w:p w14:paraId="5AF2FC25" w14:textId="77777777" w:rsidR="00273098" w:rsidRPr="00273098" w:rsidRDefault="00273098" w:rsidP="00273098">
      <w:r w:rsidRPr="00273098">
        <w:t xml:space="preserve">El Proyecto Focus no es una base de datos técnica; es el </w:t>
      </w:r>
      <w:r w:rsidRPr="00273098">
        <w:rPr>
          <w:b/>
          <w:bCs/>
        </w:rPr>
        <w:t>motor de crecimiento estratégico</w:t>
      </w:r>
      <w:r w:rsidRPr="00273098">
        <w:t xml:space="preserve"> diseñado para que TÜV SÜD España trascienda la gestión fragmentada actual. Actúa como la fuente única de verdad que permite mitigar los riesgos en la toma de decisiones comerciales, evolucionando desde un modelo de información dispersa hacia una plataforma de inteligencia accionable.</w:t>
      </w:r>
    </w:p>
    <w:p w14:paraId="36C001FE" w14:textId="77777777" w:rsidR="00273098" w:rsidRPr="00273098" w:rsidRDefault="00273098" w:rsidP="00273098">
      <w:pPr>
        <w:rPr>
          <w:b/>
          <w:bCs/>
        </w:rPr>
      </w:pPr>
      <w:r w:rsidRPr="00273098">
        <w:rPr>
          <w:b/>
          <w:bCs/>
        </w:rPr>
        <w:t>El Desafío: Superar la Fragmentación</w:t>
      </w:r>
    </w:p>
    <w:p w14:paraId="7F192BFC" w14:textId="77777777" w:rsidR="00273098" w:rsidRPr="00273098" w:rsidRDefault="00273098" w:rsidP="00273098">
      <w:r w:rsidRPr="00273098">
        <w:t xml:space="preserve">La dispersión actual en sistemas aislados (Business </w:t>
      </w:r>
      <w:proofErr w:type="spellStart"/>
      <w:r w:rsidRPr="00273098">
        <w:t>Warehouse</w:t>
      </w:r>
      <w:proofErr w:type="spellEnd"/>
      <w:r w:rsidRPr="00273098">
        <w:t xml:space="preserve">, CRM, SAP y silos operativos) genera un estado de </w:t>
      </w:r>
      <w:r w:rsidRPr="00273098">
        <w:rPr>
          <w:b/>
          <w:bCs/>
        </w:rPr>
        <w:t>Invisibilidad Corporativa</w:t>
      </w:r>
      <w:r w:rsidRPr="00273098">
        <w:t>. Esta fragmentación impide reconocer la relación total de los clientes con el holding, lastra la eficiencia comercial con procesos manuales de limpieza de datos y debilita el gobierno del dato.</w:t>
      </w:r>
    </w:p>
    <w:p w14:paraId="03B96407" w14:textId="77777777" w:rsidR="00273098" w:rsidRPr="00273098" w:rsidRDefault="00273098" w:rsidP="00273098">
      <w:pPr>
        <w:rPr>
          <w:b/>
          <w:bCs/>
        </w:rPr>
      </w:pPr>
      <w:r w:rsidRPr="00273098">
        <w:rPr>
          <w:b/>
          <w:bCs/>
        </w:rPr>
        <w:t>La Solución: El "Golden Record"</w:t>
      </w:r>
    </w:p>
    <w:p w14:paraId="7A3F0F38" w14:textId="77777777" w:rsidR="00273098" w:rsidRPr="00273098" w:rsidRDefault="00273098" w:rsidP="00273098">
      <w:r w:rsidRPr="00273098">
        <w:t xml:space="preserve">Focus resuelve este déficit mediante la consolidación de un </w:t>
      </w:r>
      <w:r w:rsidRPr="00273098">
        <w:rPr>
          <w:b/>
          <w:bCs/>
        </w:rPr>
        <w:t>Golden Record (Dato Maestro Único)</w:t>
      </w:r>
      <w:r w:rsidRPr="00273098">
        <w:t xml:space="preserve">. La plataforma unifica la identidad del cliente a través de su </w:t>
      </w:r>
      <w:r w:rsidRPr="00273098">
        <w:rPr>
          <w:b/>
          <w:bCs/>
        </w:rPr>
        <w:t>CIF/NIF mediante procesos ETL automatizados</w:t>
      </w:r>
      <w:r w:rsidRPr="00273098">
        <w:t>, garantizando una trazabilidad absoluta. Esta base sólida no solo organiza la información, sino que desbloquea las capacidades avanzadas de detección de oportunidades que hoy permanecen ocultas bajo la complejidad sistémica.</w:t>
      </w:r>
    </w:p>
    <w:p w14:paraId="6037DDC3" w14:textId="77777777" w:rsidR="00273098" w:rsidRPr="00273098" w:rsidRDefault="00273098" w:rsidP="00273098">
      <w:r w:rsidRPr="00273098">
        <w:t xml:space="preserve">-------------------------------------------------------------------------------- </w:t>
      </w:r>
    </w:p>
    <w:p w14:paraId="5A437CF2" w14:textId="77777777" w:rsidR="00273098" w:rsidRPr="00273098" w:rsidRDefault="00273098" w:rsidP="00273098">
      <w:pPr>
        <w:rPr>
          <w:b/>
          <w:bCs/>
        </w:rPr>
      </w:pPr>
      <w:r w:rsidRPr="00273098">
        <w:rPr>
          <w:b/>
          <w:bCs/>
        </w:rPr>
        <w:t>2. Capacidades Nucleares: De la Información a la Acción Operativa</w:t>
      </w:r>
    </w:p>
    <w:p w14:paraId="6A1D3A76" w14:textId="77777777" w:rsidR="00273098" w:rsidRPr="00273098" w:rsidRDefault="00273098" w:rsidP="00273098">
      <w:r w:rsidRPr="00273098">
        <w:t xml:space="preserve">La arquitectura de Focus destaca por su robustez técnica, fundamentada en un esquema de </w:t>
      </w:r>
      <w:r w:rsidRPr="00273098">
        <w:rPr>
          <w:b/>
          <w:bCs/>
        </w:rPr>
        <w:t xml:space="preserve">19 tablas, 17 secuencias y 16 </w:t>
      </w:r>
      <w:proofErr w:type="spellStart"/>
      <w:r w:rsidRPr="00273098">
        <w:rPr>
          <w:b/>
          <w:bCs/>
        </w:rPr>
        <w:t>triggers</w:t>
      </w:r>
      <w:proofErr w:type="spellEnd"/>
      <w:r w:rsidRPr="00273098">
        <w:rPr>
          <w:b/>
          <w:bCs/>
        </w:rPr>
        <w:t xml:space="preserve"> automáticos</w:t>
      </w:r>
      <w:r w:rsidRPr="00273098">
        <w:t>. Este diseño modular garantiza que la agilidad comercial conviva con una integridad de datos innegociable.</w:t>
      </w:r>
    </w:p>
    <w:p w14:paraId="7E58A5F1" w14:textId="77777777" w:rsidR="00273098" w:rsidRPr="00273098" w:rsidRDefault="00273098" w:rsidP="00273098">
      <w:pPr>
        <w:rPr>
          <w:b/>
          <w:bCs/>
        </w:rPr>
      </w:pPr>
      <w:r w:rsidRPr="00273098">
        <w:rPr>
          <w:b/>
          <w:bCs/>
        </w:rPr>
        <w:t>Matriz de Capacidades y Capas de Valor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7"/>
        <w:gridCol w:w="3107"/>
        <w:gridCol w:w="3704"/>
      </w:tblGrid>
      <w:tr w:rsidR="00273098" w:rsidRPr="00273098" w14:paraId="7847A0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E31007" w14:textId="77777777" w:rsidR="00273098" w:rsidRPr="00273098" w:rsidRDefault="00273098" w:rsidP="00273098">
            <w:r w:rsidRPr="00273098">
              <w:t>Capacidad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AB197" w14:textId="77777777" w:rsidR="00273098" w:rsidRPr="00273098" w:rsidRDefault="00273098" w:rsidP="00273098">
            <w:r w:rsidRPr="00273098">
              <w:t>Descripción Funcional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BA78C" w14:textId="77777777" w:rsidR="00273098" w:rsidRPr="00273098" w:rsidRDefault="00273098" w:rsidP="00273098">
            <w:r w:rsidRPr="00273098">
              <w:t>Capa de Valor para el Negocio</w:t>
            </w:r>
          </w:p>
        </w:tc>
      </w:tr>
      <w:tr w:rsidR="00273098" w:rsidRPr="00273098" w14:paraId="123E07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F14E9C" w14:textId="77777777" w:rsidR="00273098" w:rsidRPr="00273098" w:rsidRDefault="00273098" w:rsidP="00273098">
            <w:r w:rsidRPr="00273098">
              <w:rPr>
                <w:b/>
                <w:bCs/>
              </w:rPr>
              <w:lastRenderedPageBreak/>
              <w:t>Golden Record &amp; Visión 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1AB09" w14:textId="77777777" w:rsidR="00273098" w:rsidRPr="00273098" w:rsidRDefault="00273098" w:rsidP="00273098">
            <w:r w:rsidRPr="00273098">
              <w:t xml:space="preserve">Integración de Holdings, </w:t>
            </w:r>
            <w:proofErr w:type="spellStart"/>
            <w:r w:rsidRPr="00273098">
              <w:t>BUs</w:t>
            </w:r>
            <w:proofErr w:type="spellEnd"/>
            <w:r w:rsidRPr="00273098">
              <w:t xml:space="preserve">, segmentación </w:t>
            </w:r>
            <w:r w:rsidRPr="00273098">
              <w:rPr>
                <w:b/>
                <w:bCs/>
              </w:rPr>
              <w:t>CNAE</w:t>
            </w:r>
            <w:r w:rsidRPr="00273098">
              <w:t xml:space="preserve"> y perfiles de facturación.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B558E" w14:textId="77777777" w:rsidR="00273098" w:rsidRPr="00273098" w:rsidRDefault="00273098" w:rsidP="00273098">
            <w:r w:rsidRPr="00273098">
              <w:rPr>
                <w:b/>
                <w:bCs/>
              </w:rPr>
              <w:t>Claridad Estratégica:</w:t>
            </w:r>
            <w:r w:rsidRPr="00273098">
              <w:t xml:space="preserve"> Visibilidad total de la cuota de mercado por sector y cliente.</w:t>
            </w:r>
          </w:p>
        </w:tc>
      </w:tr>
      <w:tr w:rsidR="00273098" w:rsidRPr="00273098" w14:paraId="17F14E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C1B7D3" w14:textId="77777777" w:rsidR="00273098" w:rsidRPr="00273098" w:rsidRDefault="00273098" w:rsidP="00273098">
            <w:r w:rsidRPr="00273098">
              <w:rPr>
                <w:b/>
                <w:bCs/>
              </w:rPr>
              <w:t>Motor de Exclusiones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61F79" w14:textId="77777777" w:rsidR="00273098" w:rsidRPr="00273098" w:rsidRDefault="00273098" w:rsidP="00273098">
            <w:r w:rsidRPr="00273098">
              <w:t xml:space="preserve">Restricciones a tres niveles: </w:t>
            </w:r>
            <w:r w:rsidRPr="00273098">
              <w:rPr>
                <w:b/>
                <w:bCs/>
              </w:rPr>
              <w:t xml:space="preserve">Cliente, Sector (CNAE) y Business </w:t>
            </w:r>
            <w:proofErr w:type="spellStart"/>
            <w:r w:rsidRPr="00273098">
              <w:rPr>
                <w:b/>
                <w:bCs/>
              </w:rPr>
              <w:t>Unit</w:t>
            </w:r>
            <w:proofErr w:type="spellEnd"/>
            <w:r w:rsidRPr="00273098">
              <w:t>, con vigencia temporal.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24EAF" w14:textId="77777777" w:rsidR="00273098" w:rsidRPr="00273098" w:rsidRDefault="00273098" w:rsidP="00273098">
            <w:r w:rsidRPr="00273098">
              <w:rPr>
                <w:b/>
                <w:bCs/>
              </w:rPr>
              <w:t>Protección de Ingresos:</w:t>
            </w:r>
            <w:r w:rsidRPr="00273098">
              <w:t xml:space="preserve"> Evita la canibalización entre unidades y asegura el cumplimiento de pactos de no competencia.</w:t>
            </w:r>
          </w:p>
        </w:tc>
      </w:tr>
      <w:tr w:rsidR="00273098" w:rsidRPr="00273098" w14:paraId="474550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5827DE" w14:textId="77777777" w:rsidR="00273098" w:rsidRPr="00273098" w:rsidRDefault="00273098" w:rsidP="00273098">
            <w:r w:rsidRPr="00273098">
              <w:rPr>
                <w:b/>
                <w:bCs/>
              </w:rPr>
              <w:t>Control de Acceso (IAM)</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E4093" w14:textId="77777777" w:rsidR="00273098" w:rsidRPr="00273098" w:rsidRDefault="00273098" w:rsidP="00273098">
            <w:r w:rsidRPr="00273098">
              <w:t xml:space="preserve">Autenticación </w:t>
            </w:r>
            <w:r w:rsidRPr="00273098">
              <w:rPr>
                <w:b/>
                <w:bCs/>
              </w:rPr>
              <w:t>Dual (AD para empleados / Local para externos)</w:t>
            </w:r>
            <w:r w:rsidRPr="00273098">
              <w:t xml:space="preserve"> y permisos por BU.</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00179" w14:textId="77777777" w:rsidR="00273098" w:rsidRPr="00273098" w:rsidRDefault="00273098" w:rsidP="00273098">
            <w:r w:rsidRPr="00273098">
              <w:rPr>
                <w:b/>
                <w:bCs/>
              </w:rPr>
              <w:t>Soberanía y Seguridad:</w:t>
            </w:r>
            <w:r w:rsidRPr="00273098">
              <w:t xml:space="preserve"> Protege la propiedad del dato de cada BU mientras permite la colaboración externa controlada.</w:t>
            </w:r>
          </w:p>
        </w:tc>
      </w:tr>
      <w:tr w:rsidR="00273098" w:rsidRPr="00273098" w14:paraId="4EA973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C0AEA" w14:textId="77777777" w:rsidR="00273098" w:rsidRPr="00273098" w:rsidRDefault="00273098" w:rsidP="00273098">
            <w:r w:rsidRPr="00273098">
              <w:rPr>
                <w:b/>
                <w:bCs/>
              </w:rPr>
              <w:t>Gestión de Campañas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B7BD6" w14:textId="77777777" w:rsidR="00273098" w:rsidRPr="00273098" w:rsidRDefault="00273098" w:rsidP="00273098">
            <w:r w:rsidRPr="00273098">
              <w:t>Ciclo de vida (Borrador a Completada) con prevención automática de duplicados.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AAFDD" w14:textId="77777777" w:rsidR="00273098" w:rsidRPr="00273098" w:rsidRDefault="00273098" w:rsidP="00273098">
            <w:r w:rsidRPr="00273098">
              <w:rPr>
                <w:b/>
                <w:bCs/>
              </w:rPr>
              <w:t>Eficiencia en la Activación:</w:t>
            </w:r>
            <w:r w:rsidRPr="00273098">
              <w:t xml:space="preserve"> Optimización del gasto en marketing y eliminación de la fatiga del cliente.</w:t>
            </w:r>
          </w:p>
        </w:tc>
      </w:tr>
    </w:tbl>
    <w:p w14:paraId="55B065CF" w14:textId="77777777" w:rsidR="00273098" w:rsidRPr="00273098" w:rsidRDefault="00273098" w:rsidP="00273098">
      <w:pPr>
        <w:rPr>
          <w:b/>
          <w:bCs/>
        </w:rPr>
      </w:pPr>
      <w:r w:rsidRPr="00273098">
        <w:rPr>
          <w:b/>
          <w:bCs/>
        </w:rPr>
        <w:t>Transformación en Inteligencia Comercial</w:t>
      </w:r>
    </w:p>
    <w:p w14:paraId="6B3EA218" w14:textId="77777777" w:rsidR="00273098" w:rsidRPr="00273098" w:rsidRDefault="00273098" w:rsidP="00273098">
      <w:r w:rsidRPr="00273098">
        <w:t xml:space="preserve">Focus convierte el dato estático en inteligencia mediante la detección predictiva de </w:t>
      </w:r>
      <w:r w:rsidRPr="00273098">
        <w:rPr>
          <w:b/>
          <w:bCs/>
        </w:rPr>
        <w:t>"White Spots"</w:t>
      </w:r>
      <w:r w:rsidRPr="00273098">
        <w:t xml:space="preserve"> (áreas sin presencia de servicio). Gracias al cruce entre la clasificación </w:t>
      </w:r>
      <w:r w:rsidRPr="00273098">
        <w:rPr>
          <w:b/>
          <w:bCs/>
        </w:rPr>
        <w:t>CNAE</w:t>
      </w:r>
      <w:r w:rsidRPr="00273098">
        <w:t xml:space="preserve"> —que actúa como una herramienta de cuota de mercado— y los campos de facturación como </w:t>
      </w:r>
      <w:proofErr w:type="spellStart"/>
      <w:r w:rsidRPr="00273098">
        <w:t>expiry_date</w:t>
      </w:r>
      <w:proofErr w:type="spellEnd"/>
      <w:r w:rsidRPr="00273098">
        <w:t xml:space="preserve"> y </w:t>
      </w:r>
      <w:proofErr w:type="spellStart"/>
      <w:r w:rsidRPr="00273098">
        <w:t>service_end_date</w:t>
      </w:r>
      <w:proofErr w:type="spellEnd"/>
      <w:r w:rsidRPr="00273098">
        <w:t>, el sistema identifica automáticamente cuándo un cliente está próximo a una renovación o es apto para una venta cruzada priorizada.</w:t>
      </w:r>
    </w:p>
    <w:p w14:paraId="5CDD6223" w14:textId="77777777" w:rsidR="00273098" w:rsidRPr="00273098" w:rsidRDefault="00273098" w:rsidP="00273098">
      <w:r w:rsidRPr="00273098">
        <w:t xml:space="preserve">Asimismo, la implementación del </w:t>
      </w:r>
      <w:proofErr w:type="gramStart"/>
      <w:r w:rsidRPr="00273098">
        <w:rPr>
          <w:b/>
          <w:bCs/>
        </w:rPr>
        <w:t>STATUS</w:t>
      </w:r>
      <w:proofErr w:type="gramEnd"/>
      <w:r w:rsidRPr="00273098">
        <w:rPr>
          <w:b/>
          <w:bCs/>
        </w:rPr>
        <w:t>_CATALOG</w:t>
      </w:r>
      <w:r w:rsidRPr="00273098">
        <w:t xml:space="preserve"> asegura la estandarización operativa: un cliente "Ganado" o "Perdido" significa lo mismo para todas las unidades, permitiendo una homogeneización de los </w:t>
      </w:r>
      <w:proofErr w:type="spellStart"/>
      <w:r w:rsidRPr="00273098">
        <w:t>KPIs</w:t>
      </w:r>
      <w:proofErr w:type="spellEnd"/>
      <w:r w:rsidRPr="00273098">
        <w:t xml:space="preserve"> corporativos sin precedentes.</w:t>
      </w:r>
    </w:p>
    <w:p w14:paraId="340AB674" w14:textId="77777777" w:rsidR="00273098" w:rsidRPr="00273098" w:rsidRDefault="00273098" w:rsidP="00273098">
      <w:r w:rsidRPr="00273098">
        <w:t xml:space="preserve">-------------------------------------------------------------------------------- </w:t>
      </w:r>
    </w:p>
    <w:p w14:paraId="1A063C89" w14:textId="77777777" w:rsidR="00273098" w:rsidRPr="00273098" w:rsidRDefault="00273098" w:rsidP="00273098">
      <w:pPr>
        <w:rPr>
          <w:b/>
          <w:bCs/>
        </w:rPr>
      </w:pPr>
      <w:r w:rsidRPr="00273098">
        <w:rPr>
          <w:b/>
          <w:bCs/>
        </w:rPr>
        <w:t>3. Impacto en el Negocio y Beneficios de Gobernanza</w:t>
      </w:r>
    </w:p>
    <w:p w14:paraId="7C4D16AD" w14:textId="77777777" w:rsidR="00273098" w:rsidRPr="00273098" w:rsidRDefault="00273098" w:rsidP="00273098">
      <w:r w:rsidRPr="00273098">
        <w:t>La implementación de Focus impacta directamente en la rentabilidad y la excelencia operativa de TÜV SÜD España mediante cuatro ejes de valor:</w:t>
      </w:r>
    </w:p>
    <w:p w14:paraId="346BF2EB" w14:textId="77777777" w:rsidR="00273098" w:rsidRPr="00273098" w:rsidRDefault="00273098" w:rsidP="00273098">
      <w:pPr>
        <w:numPr>
          <w:ilvl w:val="0"/>
          <w:numId w:val="1"/>
        </w:numPr>
      </w:pPr>
      <w:r w:rsidRPr="00273098">
        <w:rPr>
          <w:b/>
          <w:bCs/>
        </w:rPr>
        <w:t>Crecimiento Orgánico Acelerado:</w:t>
      </w:r>
      <w:r w:rsidRPr="00273098">
        <w:t xml:space="preserve"> Maximización del Cross-</w:t>
      </w:r>
      <w:proofErr w:type="spellStart"/>
      <w:r w:rsidRPr="00273098">
        <w:t>selling</w:t>
      </w:r>
      <w:proofErr w:type="spellEnd"/>
      <w:r w:rsidRPr="00273098">
        <w:t xml:space="preserve"> mediante alertas automáticas basadas en patrones de facturación y caducidad de servicios.</w:t>
      </w:r>
    </w:p>
    <w:p w14:paraId="2C52F5D1" w14:textId="77777777" w:rsidR="00273098" w:rsidRPr="00273098" w:rsidRDefault="00273098" w:rsidP="00273098">
      <w:pPr>
        <w:numPr>
          <w:ilvl w:val="0"/>
          <w:numId w:val="1"/>
        </w:numPr>
      </w:pPr>
      <w:r w:rsidRPr="00273098">
        <w:rPr>
          <w:b/>
          <w:bCs/>
        </w:rPr>
        <w:t>Eficiencia y Automatización:</w:t>
      </w:r>
      <w:r w:rsidRPr="00273098">
        <w:t xml:space="preserve"> Eliminación de los costes operativos vinculados a la consolidación manual de listas. La arquitectura de </w:t>
      </w:r>
      <w:r w:rsidRPr="00273098">
        <w:rPr>
          <w:b/>
          <w:bCs/>
        </w:rPr>
        <w:t>Dual ID</w:t>
      </w:r>
      <w:r w:rsidRPr="00273098">
        <w:t xml:space="preserve"> </w:t>
      </w:r>
      <w:r w:rsidRPr="00273098">
        <w:lastRenderedPageBreak/>
        <w:t xml:space="preserve">(ID numérico interno para rendimiento y </w:t>
      </w:r>
      <w:r w:rsidRPr="00273098">
        <w:rPr>
          <w:b/>
          <w:bCs/>
        </w:rPr>
        <w:t>GUID</w:t>
      </w:r>
      <w:r w:rsidRPr="00273098">
        <w:t xml:space="preserve"> para integración externa segura) facilita la conectividad con otros ecosistemas.</w:t>
      </w:r>
    </w:p>
    <w:p w14:paraId="05AD219B" w14:textId="77777777" w:rsidR="00273098" w:rsidRPr="00273098" w:rsidRDefault="00273098" w:rsidP="00273098">
      <w:pPr>
        <w:numPr>
          <w:ilvl w:val="0"/>
          <w:numId w:val="1"/>
        </w:numPr>
      </w:pPr>
      <w:r w:rsidRPr="00273098">
        <w:rPr>
          <w:b/>
          <w:bCs/>
        </w:rPr>
        <w:t>Seguridad y Cumplimiento Legal:</w:t>
      </w:r>
      <w:r w:rsidRPr="00273098">
        <w:t xml:space="preserve"> Mitigación de riesgos de RGPD mediante el modelo de </w:t>
      </w:r>
      <w:r w:rsidRPr="00273098">
        <w:rPr>
          <w:b/>
          <w:bCs/>
        </w:rPr>
        <w:t>"BU Soberana"</w:t>
      </w:r>
      <w:r w:rsidRPr="00273098">
        <w:t>, donde cada unidad mantiene la custodia legal de sus contactos, apoyada en una trazabilidad total por campos de auditoría (</w:t>
      </w:r>
      <w:proofErr w:type="spellStart"/>
      <w:r w:rsidRPr="00273098">
        <w:t>source_system</w:t>
      </w:r>
      <w:proofErr w:type="spellEnd"/>
      <w:r w:rsidRPr="00273098">
        <w:t xml:space="preserve">, </w:t>
      </w:r>
      <w:proofErr w:type="spellStart"/>
      <w:r w:rsidRPr="00273098">
        <w:t>etl_run_id</w:t>
      </w:r>
      <w:proofErr w:type="spellEnd"/>
      <w:r w:rsidRPr="00273098">
        <w:t>).</w:t>
      </w:r>
    </w:p>
    <w:p w14:paraId="5DEEE025" w14:textId="77777777" w:rsidR="00273098" w:rsidRPr="00273098" w:rsidRDefault="00273098" w:rsidP="00273098">
      <w:pPr>
        <w:numPr>
          <w:ilvl w:val="0"/>
          <w:numId w:val="1"/>
        </w:numPr>
      </w:pPr>
      <w:r w:rsidRPr="00273098">
        <w:rPr>
          <w:b/>
          <w:bCs/>
        </w:rPr>
        <w:t>Excelencia en el Gobierno del Dato:</w:t>
      </w:r>
      <w:r w:rsidRPr="00273098">
        <w:t xml:space="preserve"> Supervisión total del linaje del dato, asegurando que cada registro en el Golden Record sea auditable y confiable para la alta dirección.</w:t>
      </w:r>
    </w:p>
    <w:p w14:paraId="3019C50F" w14:textId="77777777" w:rsidR="00273098" w:rsidRPr="00273098" w:rsidRDefault="00273098" w:rsidP="00273098">
      <w:r w:rsidRPr="00273098">
        <w:t xml:space="preserve">-------------------------------------------------------------------------------- </w:t>
      </w:r>
    </w:p>
    <w:p w14:paraId="67A98D37" w14:textId="77777777" w:rsidR="00273098" w:rsidRPr="00273098" w:rsidRDefault="00273098" w:rsidP="00273098">
      <w:pPr>
        <w:rPr>
          <w:b/>
          <w:bCs/>
        </w:rPr>
      </w:pPr>
      <w:r w:rsidRPr="00273098">
        <w:rPr>
          <w:b/>
          <w:bCs/>
        </w:rPr>
        <w:t>4. Hoja de Ruta y Recomendaciones para el Comité de Dirección</w:t>
      </w:r>
    </w:p>
    <w:p w14:paraId="6E9B5CBB" w14:textId="77777777" w:rsidR="00273098" w:rsidRPr="00273098" w:rsidRDefault="00273098" w:rsidP="00273098">
      <w:r w:rsidRPr="00273098">
        <w:t>Para garantizar el éxito de Focus, se requiere un liderazgo activo que impulse la adopción transversal en todas las unidades de negocio. Proponemos el siguiente cronograma de acción inmediata:</w:t>
      </w:r>
    </w:p>
    <w:p w14:paraId="59416566" w14:textId="77777777" w:rsidR="00273098" w:rsidRPr="00273098" w:rsidRDefault="00273098" w:rsidP="00273098">
      <w:pPr>
        <w:numPr>
          <w:ilvl w:val="0"/>
          <w:numId w:val="2"/>
        </w:numPr>
      </w:pPr>
      <w:r w:rsidRPr="00273098">
        <w:rPr>
          <w:b/>
          <w:bCs/>
        </w:rPr>
        <w:t>Validación de Alcance y Perímetro:</w:t>
      </w:r>
      <w:r w:rsidRPr="00273098">
        <w:t xml:space="preserve"> Definir los grupos de clientes y las fuentes de datos críticas para la fase inicial del piloto.</w:t>
      </w:r>
    </w:p>
    <w:p w14:paraId="3CDBD073" w14:textId="77777777" w:rsidR="00273098" w:rsidRPr="00273098" w:rsidRDefault="00273098" w:rsidP="00273098">
      <w:pPr>
        <w:numPr>
          <w:ilvl w:val="0"/>
          <w:numId w:val="2"/>
        </w:numPr>
      </w:pPr>
      <w:r w:rsidRPr="00273098">
        <w:rPr>
          <w:b/>
          <w:bCs/>
        </w:rPr>
        <w:t>Configuración del Marco de Gobernanza:</w:t>
      </w:r>
      <w:r w:rsidRPr="00273098">
        <w:t xml:space="preserve"> Establecer formalmente los roles de usuario por BU y cargar las reglas de exclusión estratégica para proteger las cuentas clave.</w:t>
      </w:r>
    </w:p>
    <w:p w14:paraId="57D88FD0" w14:textId="77777777" w:rsidR="00273098" w:rsidRPr="00273098" w:rsidRDefault="00273098" w:rsidP="00273098">
      <w:pPr>
        <w:numPr>
          <w:ilvl w:val="0"/>
          <w:numId w:val="2"/>
        </w:numPr>
      </w:pPr>
      <w:r w:rsidRPr="00273098">
        <w:rPr>
          <w:b/>
          <w:bCs/>
        </w:rPr>
        <w:t>Validación de la Arquitectura Técnica:</w:t>
      </w:r>
      <w:r w:rsidRPr="00273098">
        <w:t xml:space="preserve"> Ejecución de una carga piloto controlada sobre el esquema de 19 tablas para verificar la integridad de la ingesta desde SAP y CRM.</w:t>
      </w:r>
    </w:p>
    <w:p w14:paraId="2A11F5B5" w14:textId="77777777" w:rsidR="00273098" w:rsidRPr="00273098" w:rsidRDefault="00273098" w:rsidP="00273098">
      <w:pPr>
        <w:numPr>
          <w:ilvl w:val="0"/>
          <w:numId w:val="2"/>
        </w:numPr>
      </w:pPr>
      <w:r w:rsidRPr="00273098">
        <w:rPr>
          <w:b/>
          <w:bCs/>
        </w:rPr>
        <w:t xml:space="preserve">Monitorización de </w:t>
      </w:r>
      <w:proofErr w:type="spellStart"/>
      <w:r w:rsidRPr="00273098">
        <w:rPr>
          <w:b/>
          <w:bCs/>
        </w:rPr>
        <w:t>KPIs</w:t>
      </w:r>
      <w:proofErr w:type="spellEnd"/>
      <w:r w:rsidRPr="00273098">
        <w:rPr>
          <w:b/>
          <w:bCs/>
        </w:rPr>
        <w:t xml:space="preserve"> de Éxito:</w:t>
      </w:r>
      <w:r w:rsidRPr="00273098">
        <w:t xml:space="preserve"> Definir métricas de conversión y eficiencia operativa para la presentación de resultados en la demostración ejecutiva.</w:t>
      </w:r>
    </w:p>
    <w:p w14:paraId="0E0BDDC0" w14:textId="77777777" w:rsidR="00273098" w:rsidRPr="00273098" w:rsidRDefault="00273098" w:rsidP="00273098">
      <w:r w:rsidRPr="00273098">
        <w:rPr>
          <w:b/>
          <w:bCs/>
        </w:rPr>
        <w:t>Conclusión</w:t>
      </w:r>
      <w:r w:rsidRPr="00273098">
        <w:t xml:space="preserve"> El Proyecto Focus posiciona a TÜV SÜD en la vanguardia de la transformación digital. No es simplemente una mejora de sistemas, sino una </w:t>
      </w:r>
      <w:r w:rsidRPr="00273098">
        <w:rPr>
          <w:b/>
          <w:bCs/>
        </w:rPr>
        <w:t>ventaja competitiva sostenible</w:t>
      </w:r>
      <w:r w:rsidRPr="00273098">
        <w:t xml:space="preserve"> que unifica el conocimiento del cliente para maximizar el valor de cada interacción comercial de manera segura, coordinada y rentable.</w:t>
      </w:r>
    </w:p>
    <w:p w14:paraId="1C61EEE4" w14:textId="77777777" w:rsidR="00DE52D9" w:rsidRDefault="00DE52D9"/>
    <w:sectPr w:rsidR="00DE52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C151D"/>
    <w:multiLevelType w:val="multilevel"/>
    <w:tmpl w:val="60D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51448"/>
    <w:multiLevelType w:val="multilevel"/>
    <w:tmpl w:val="8B82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295563">
    <w:abstractNumId w:val="0"/>
  </w:num>
  <w:num w:numId="2" w16cid:durableId="16443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movePersonalInformation/>
  <w:removeDateAndTim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DA"/>
    <w:rsid w:val="00061C6E"/>
    <w:rsid w:val="001265C7"/>
    <w:rsid w:val="001519DA"/>
    <w:rsid w:val="00273098"/>
    <w:rsid w:val="00381CC1"/>
    <w:rsid w:val="00477643"/>
    <w:rsid w:val="004A1EB8"/>
    <w:rsid w:val="005D101D"/>
    <w:rsid w:val="00611FA3"/>
    <w:rsid w:val="00623B98"/>
    <w:rsid w:val="00805776"/>
    <w:rsid w:val="008147B5"/>
    <w:rsid w:val="008A5123"/>
    <w:rsid w:val="00942905"/>
    <w:rsid w:val="00A07767"/>
    <w:rsid w:val="00B7705C"/>
    <w:rsid w:val="00BA6DD9"/>
    <w:rsid w:val="00BE2D4B"/>
    <w:rsid w:val="00C42E83"/>
    <w:rsid w:val="00DE52D9"/>
    <w:rsid w:val="00ED7B67"/>
    <w:rsid w:val="00F33C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E6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1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1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1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1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1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1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1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1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1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1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1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1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1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1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19DA"/>
    <w:rPr>
      <w:rFonts w:eastAsiaTheme="majorEastAsia" w:cstheme="majorBidi"/>
      <w:color w:val="272727" w:themeColor="text1" w:themeTint="D8"/>
    </w:rPr>
  </w:style>
  <w:style w:type="paragraph" w:styleId="Ttulo">
    <w:name w:val="Title"/>
    <w:basedOn w:val="Normal"/>
    <w:next w:val="Normal"/>
    <w:link w:val="TtuloCar"/>
    <w:uiPriority w:val="10"/>
    <w:qFormat/>
    <w:rsid w:val="0015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1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1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1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19DA"/>
    <w:pPr>
      <w:spacing w:before="160"/>
      <w:jc w:val="center"/>
    </w:pPr>
    <w:rPr>
      <w:i/>
      <w:iCs/>
      <w:color w:val="404040" w:themeColor="text1" w:themeTint="BF"/>
    </w:rPr>
  </w:style>
  <w:style w:type="character" w:customStyle="1" w:styleId="CitaCar">
    <w:name w:val="Cita Car"/>
    <w:basedOn w:val="Fuentedeprrafopredeter"/>
    <w:link w:val="Cita"/>
    <w:uiPriority w:val="29"/>
    <w:rsid w:val="001519DA"/>
    <w:rPr>
      <w:i/>
      <w:iCs/>
      <w:color w:val="404040" w:themeColor="text1" w:themeTint="BF"/>
    </w:rPr>
  </w:style>
  <w:style w:type="paragraph" w:styleId="Prrafodelista">
    <w:name w:val="List Paragraph"/>
    <w:basedOn w:val="Normal"/>
    <w:uiPriority w:val="34"/>
    <w:qFormat/>
    <w:rsid w:val="001519DA"/>
    <w:pPr>
      <w:ind w:left="720"/>
      <w:contextualSpacing/>
    </w:pPr>
  </w:style>
  <w:style w:type="character" w:styleId="nfasisintenso">
    <w:name w:val="Intense Emphasis"/>
    <w:basedOn w:val="Fuentedeprrafopredeter"/>
    <w:uiPriority w:val="21"/>
    <w:qFormat/>
    <w:rsid w:val="001519DA"/>
    <w:rPr>
      <w:i/>
      <w:iCs/>
      <w:color w:val="0F4761" w:themeColor="accent1" w:themeShade="BF"/>
    </w:rPr>
  </w:style>
  <w:style w:type="paragraph" w:styleId="Citadestacada">
    <w:name w:val="Intense Quote"/>
    <w:basedOn w:val="Normal"/>
    <w:next w:val="Normal"/>
    <w:link w:val="CitadestacadaCar"/>
    <w:uiPriority w:val="30"/>
    <w:qFormat/>
    <w:rsid w:val="0015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19DA"/>
    <w:rPr>
      <w:i/>
      <w:iCs/>
      <w:color w:val="0F4761" w:themeColor="accent1" w:themeShade="BF"/>
    </w:rPr>
  </w:style>
  <w:style w:type="character" w:styleId="Referenciaintensa">
    <w:name w:val="Intense Reference"/>
    <w:basedOn w:val="Fuentedeprrafopredeter"/>
    <w:uiPriority w:val="32"/>
    <w:qFormat/>
    <w:rsid w:val="00151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924</Words>
  <Characters>5084</Characters>
  <Application>Microsoft Office Word</Application>
  <DocSecurity>0</DocSecurity>
  <Lines>42</Lines>
  <Paragraphs>11</Paragraphs>
  <ScaleCrop>false</ScaleCrop>
  <Manager/>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2026-04-16T22:31:00Z</dcterms:created>
  <dcterms:modified xsi:type="dcterms:W3CDTF">2026-04-17T06:13:00Z</dcterms:modified>
</cp:coreProperties>
</file>