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Diseño del Módulo de Reconciliación</w:t>
      </w:r>
    </w:p>
    <w:p w:rsidR="00000000" w:rsidDel="00000000" w:rsidP="00000000" w:rsidRDefault="00000000" w:rsidRPr="00000000" w14:paraId="00000002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03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Versión 1.0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485"/>
        <w:gridCol w:w="3570"/>
        <w:gridCol w:w="2235"/>
        <w:tblGridChange w:id="0">
          <w:tblGrid>
            <w:gridCol w:w="1650"/>
            <w:gridCol w:w="1485"/>
            <w:gridCol w:w="357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 inicial. Diseño del Módulo de Reconciliación del SGPI.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Lita Huanca Tapia (Arquitecta de SW)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19976888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e79jqugbmle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efqlgiaz2c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gk8lrs1s7s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p18g01ujmn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Diagrama del Pipeline ETL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mjlgo69omf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Vista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fim0j3gfdj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Descripción del flujo paso a paso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1wti0xmtgu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Activación del pipeline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8zihyz9osk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Conector RAIS (importación Excel)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o8kq4y9jut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Conectores de scraping (RENACYT, Cybertesis, VRIP)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s5xmsx38lt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 Motor Parser PDF (PyMuPDF + Tesseract OCR)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8infatm7wp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3.5. Modulo de Reconciliación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s2ymmhiu7m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3.6. Persistencia y módulo de alertas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4r90uezc70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Manejo de Errores y Casos borde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8jwfkz82ho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Métricas de calidad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spacing w:after="20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3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e79jqugbmlea" w:id="0"/>
      <w:bookmarkEnd w:id="0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2A">
      <w:pPr>
        <w:spacing w:after="200" w:before="200" w:line="36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define el diseño funcional y técnico del Módulo de Reconciliación del SGPI. El módulo recibe datos normalizados provenientes de RAIS, RENACYT, Cybertesis, VRIP y Resoluciones Rectorales, con el objetivo de identificar registros duplicados, resolver conflictos y generar una entidad unificada lista para persistencia.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3"/>
        </w:numPr>
        <w:spacing w:line="360" w:lineRule="auto"/>
        <w:ind w:left="720" w:hanging="360"/>
        <w:rPr/>
      </w:pPr>
      <w:bookmarkStart w:colFirst="0" w:colLast="0" w:name="_heading=h.lp18g01ujmn4" w:id="1"/>
      <w:bookmarkEnd w:id="1"/>
      <w:r w:rsidDel="00000000" w:rsidR="00000000" w:rsidRPr="00000000">
        <w:rPr>
          <w:rtl w:val="0"/>
        </w:rPr>
        <w:t xml:space="preserve">Objetivos del módulo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entidades existentes mediante claves únicas.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reglas de prioridad entre fuentes.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Detectar conflictos y relaciones ambiguas.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Solicitar validación humana cuando exista incertidumbre.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toda decisión en el log de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3"/>
        </w:numPr>
        <w:spacing w:line="360" w:lineRule="auto"/>
        <w:ind w:left="720" w:hanging="360"/>
        <w:rPr/>
      </w:pPr>
      <w:bookmarkStart w:colFirst="0" w:colLast="0" w:name="_heading=h.ucbe12ue0999" w:id="2"/>
      <w:bookmarkEnd w:id="2"/>
      <w:r w:rsidDel="00000000" w:rsidR="00000000" w:rsidRPr="00000000">
        <w:rPr>
          <w:rtl w:val="0"/>
        </w:rPr>
        <w:t xml:space="preserve">Entradas y salidas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68488179"/>
        <w:tag w:val="goog_rdk_0"/>
      </w:sdtPr>
      <w:sdtContent>
        <w:tbl>
          <w:tblPr>
            <w:tblStyle w:val="Table2"/>
            <w:tblW w:w="8309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9.6666666666665"/>
            <w:gridCol w:w="2769.6666666666665"/>
            <w:gridCol w:w="2769.6666666666665"/>
            <w:tblGridChange w:id="0">
              <w:tblGrid>
                <w:gridCol w:w="2769.6666666666665"/>
                <w:gridCol w:w="2769.6666666666665"/>
                <w:gridCol w:w="276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Elemento</w:t>
                </w:r>
              </w:p>
            </w:tc>
            <w:tc>
              <w:tcPr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Entrada</w:t>
                </w:r>
              </w:p>
            </w:tc>
            <w:tc>
              <w:tcPr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Salida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Datos recibidos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Investigadores, proyectos, tesis y RR normalizadas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Entidades reconciliadas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Conflictos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Registro de inconsistencias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Lista de revisión manual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Auditoría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Eventos del proceso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Log append-only</w:t>
                </w:r>
              </w:p>
            </w:tc>
          </w:tr>
        </w:tbl>
      </w:sdtContent>
    </w:sdt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lógico del módulo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91113" cy="80044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8004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Estrategia de Reconciliación de Datos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un mismo investigador o proyecto aparece con valores distintos en múltiples fuentes, el Módulo de Reconciliación aplica reglas de prioridad predefinidas para determinar qué valor prevalece en la base de datos unificada.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3"/>
        </w:numPr>
        <w:spacing w:line="360" w:lineRule="auto"/>
        <w:ind w:left="1440" w:hanging="360"/>
        <w:rPr/>
      </w:pPr>
      <w:bookmarkStart w:colFirst="0" w:colLast="0" w:name="_heading=h.uf71wmqo2h7d" w:id="3"/>
      <w:bookmarkEnd w:id="3"/>
      <w:r w:rsidDel="00000000" w:rsidR="00000000" w:rsidRPr="00000000">
        <w:rPr>
          <w:rtl w:val="0"/>
        </w:rPr>
        <w:t xml:space="preserve">Jerarquía de fuentes por tipo de dato</w:t>
      </w:r>
    </w:p>
    <w:p w:rsidR="00000000" w:rsidDel="00000000" w:rsidP="00000000" w:rsidRDefault="00000000" w:rsidRPr="00000000" w14:paraId="00000045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760"/>
        <w:gridCol w:w="3945"/>
        <w:tblGridChange w:id="0">
          <w:tblGrid>
            <w:gridCol w:w="2400"/>
            <w:gridCol w:w="2760"/>
            <w:gridCol w:w="39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Fuente prioritaria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fc5e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Grado académico del investigador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RENACYT (sobre RAIS)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RENACYT es el registro oficial del Estado (CONCYTEC) y es más actualizado que el Excel del RAIS, que puede tener semanas de retraso.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fc5e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Categoría y puntaje del investigador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RENACYT (sobre RAIS)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Misma justificación. El puntaje RENACYT es el dato relevante para carga no lectiva.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fc5e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Estado del proyecto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Resolución Rectoral (sobre RAIS)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RR es el documento legal definitivo. El estado en el RAIS puede no estar actualizado tras la publicación de la RR.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fc5e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Monto financiado del proyecto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Resolución Rectoral (sobre RAIS)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monto oficial está en la RR firmada, no en el Excel del RAIS.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fc5e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Metadatos de tesis (título, año)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Cybertesis (sobre RAIS)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Cybertesis tiene los metadatos oficiales del repositorio institucional. El RAIS puede tener variaciones tipográficas.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fc5e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Vinculación tesis–asesor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Confirmación manual del usuario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existe identificador único fiable para esta vinculación. El sistema sugiere por similitud de nombre pero requiere validación humana.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fc5e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Fechas de convocatoria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VRIP (última sincronización)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VRIP es la fuente oficial de cronogramas. Se indica al usuario la fecha de la última sincronización exitosa.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fc5e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Dato en conflicto sin regla definida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 mantienen ambos valores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registro se marca como 'pendiente de revisión manual' y se notifica al Administrador para resolución.</w:t>
            </w:r>
          </w:p>
        </w:tc>
      </w:tr>
    </w:tbl>
    <w:p w:rsidR="00000000" w:rsidDel="00000000" w:rsidP="00000000" w:rsidRDefault="00000000" w:rsidRPr="00000000" w14:paraId="00000061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3"/>
        </w:numPr>
        <w:spacing w:line="360" w:lineRule="auto"/>
        <w:ind w:left="1440" w:hanging="360"/>
        <w:rPr/>
      </w:pPr>
      <w:bookmarkStart w:colFirst="0" w:colLast="0" w:name="_heading=h.p0vc7tktj10p" w:id="4"/>
      <w:bookmarkEnd w:id="4"/>
      <w:r w:rsidDel="00000000" w:rsidR="00000000" w:rsidRPr="00000000">
        <w:rPr>
          <w:rtl w:val="0"/>
        </w:rPr>
        <w:t xml:space="preserve">Trazabilidad de reconciliaciones</w:t>
      </w:r>
    </w:p>
    <w:p w:rsidR="00000000" w:rsidDel="00000000" w:rsidP="00000000" w:rsidRDefault="00000000" w:rsidRPr="00000000" w14:paraId="00000063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 operación de reconciliación queda registrada en el log de auditoría con los siguientes campos: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 afectada (investigador, proyecto, tesis).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 modificado.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 anterior (fuente perdedora).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 nuevo (fuente ganadora).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Fuente ganadora (RENACYT, RAIS, RR, Cybertesis, manual).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Timestamp de la operación.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del proceso de sincronización que la generó.</w:t>
      </w:r>
    </w:p>
    <w:p w:rsidR="00000000" w:rsidDel="00000000" w:rsidP="00000000" w:rsidRDefault="00000000" w:rsidRPr="00000000" w14:paraId="0000006B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  <w:tbl>
    <w:tblPr>
      <w:tblStyle w:val="Table5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Confidencial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 de 7</w:t>
          </w:r>
        </w:p>
      </w:tc>
    </w:tr>
  </w:tbl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  <w:tbl>
    <w:tblPr>
      <w:tblStyle w:val="Table4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rHeight w:val="109.98046875" w:hRule="atLeast"/>
        <w:tblHeader w:val="1"/>
      </w:trPr>
      <w:tc>
        <w:tcPr>
          <w:shd w:fill="9fc5e8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0"/>
              <w:szCs w:val="20"/>
              <w:rtl w:val="0"/>
            </w:rPr>
            <w:t xml:space="preserve">Sistema de Gestión de Proyectos de Investigación (SGPI)</w:t>
          </w:r>
        </w:p>
      </w:tc>
      <w:tc>
        <w:tcPr>
          <w:shd w:fill="cfe2f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Versión: 1.0</w:t>
          </w:r>
        </w:p>
      </w:tc>
    </w:tr>
    <w:tr>
      <w:trPr>
        <w:cantSplit w:val="0"/>
        <w:tblHeader w:val="0"/>
      </w:trPr>
      <w:tc>
        <w:tcPr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Diseño del Módulo de Reconciliación</w:t>
          </w:r>
        </w:p>
      </w:tc>
      <w:tc>
        <w:tcPr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Fecha: 14/05/2026</w:t>
          </w:r>
        </w:p>
      </w:tc>
    </w:tr>
  </w:tbl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k8FBhlLb5DkKKVQjMZWXw41HQ==">CgMxLjAaHwoBMBIaChgICVIUChJ0YWJsZS5qY2V2MGZ2ejVmdTUyDmguZTc5anF1Z2JtbGVhMg5oLmxwMThnMDF1am1uNDIOaC51Y2JlMTJ1ZTA5OTkyDmgudWY3MXdtcW8yaDdkMg5oLnAwdmM3dGt0ajEwcDgAciExRVotdFJ4VEtra3BfWFNMQ2pETUlzcGljbVJtMms0R0E=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