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right"/>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REPORTE DE VIABILIDAD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jc w:val="right"/>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Análisis de Viabilidad de Acceso y Conectividad a Fuentes de Datos para el SGPI</w:t>
      </w:r>
      <w:r w:rsidDel="00000000" w:rsidR="00000000" w:rsidRPr="00000000">
        <w:br w:type="page"/>
      </w:r>
      <w:r w:rsidDel="00000000" w:rsidR="00000000" w:rsidRPr="00000000">
        <w:rPr>
          <w:rtl w:val="0"/>
        </w:rPr>
      </w:r>
    </w:p>
    <w:p w:rsidR="00000000" w:rsidDel="00000000" w:rsidP="00000000" w:rsidRDefault="00000000" w:rsidRPr="00000000" w14:paraId="00000003">
      <w:pPr>
        <w:widowControl w:val="1"/>
        <w:spacing w:after="200" w:before="200" w:line="276"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Historial de Revisiones</w:t>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485"/>
        <w:gridCol w:w="3570"/>
        <w:gridCol w:w="2235"/>
        <w:tblGridChange w:id="0">
          <w:tblGrid>
            <w:gridCol w:w="1650"/>
            <w:gridCol w:w="1485"/>
            <w:gridCol w:w="3570"/>
            <w:gridCol w:w="223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0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0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0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0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inicial. Documento de Reporte de Viabilidad del SGPI.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Marco Renato Castilla Huanca (Analista de 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14">
      <w:pPr>
        <w:jc w:val="left"/>
        <w:rPr>
          <w:rFonts w:ascii="Times New Roman" w:cs="Times New Roman" w:eastAsia="Times New Roman" w:hAnsi="Times New Roman"/>
          <w:b w:val="1"/>
          <w:bCs w:val="1"/>
          <w:sz w:val="46"/>
          <w:szCs w:val="46"/>
        </w:rPr>
      </w:pPr>
      <w:r w:rsidDel="00000000" w:rsidR="00000000" w:rsidRPr="00000000">
        <w:br w:type="page"/>
      </w: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ÍNDICE</w:t>
      </w:r>
    </w:p>
    <w:p w:rsidR="00000000" w:rsidDel="00000000" w:rsidP="00000000" w:rsidRDefault="00000000" w:rsidRPr="00000000" w14:paraId="00000016">
      <w:pPr>
        <w:jc w:val="center"/>
        <w:rPr>
          <w:rFonts w:ascii="Times New Roman" w:cs="Times New Roman" w:eastAsia="Times New Roman" w:hAnsi="Times New Roman"/>
          <w:b w:val="1"/>
          <w:bCs w:val="1"/>
          <w:sz w:val="46"/>
          <w:szCs w:val="46"/>
        </w:rPr>
      </w:pPr>
      <w:r w:rsidDel="00000000" w:rsidR="00000000" w:rsidRPr="00000000">
        <w:rPr>
          <w:rtl w:val="0"/>
        </w:rPr>
      </w:r>
    </w:p>
    <w:sdt>
      <w:sdtPr>
        <w:id w:val="1234074270"/>
        <w:docPartObj>
          <w:docPartGallery w:val="Table of Contents"/>
          <w:docPartUnique w:val="1"/>
        </w:docPartObj>
      </w:sdtPr>
      <w:sdtContent>
        <w:p w:rsidR="00000000" w:rsidDel="00000000" w:rsidP="00000000" w:rsidRDefault="00000000" w:rsidRPr="00000000" w14:paraId="00000017">
          <w:pPr>
            <w:tabs>
              <w:tab w:val="right" w:leader="dot" w:pos="12000"/>
            </w:tabs>
            <w:spacing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Resumen Ejecutivo</w:t>
              <w:tab/>
              <w:t xml:space="preserve">4</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Objetivos del Análisis de Acceso</w:t>
              <w:tab/>
              <w:t xml:space="preserve">5</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Matriz de Alcance por Canal de Datos</w:t>
              <w:tab/>
              <w:t xml:space="preserve">6</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Arquitectura y Modelos de Interconectividad</w:t>
              <w:tab/>
              <w:t xml:space="preserve">7</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Evaluación de Viabilidad por Fuente de Datos</w:t>
              <w:tab/>
              <w:t xml:space="preserve">7</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Resultados de Latencia y Rendimiento de Canales</w:t>
              <w:tab/>
              <w:t xml:space="preserve">12</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Hallazgos de Conectividad Críticos</w:t>
              <w:tab/>
              <w:t xml:space="preserve">13</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Matriz de Riesgos de Canal y Mitigaciones</w:t>
              <w:tab/>
              <w:t xml:space="preserve">14</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Evaluación de Factibilidad por Dimensión de Servicio</w:t>
              <w:tab/>
              <w:t xml:space="preserve">14</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Esquemas de Datos Disponibles para Ingesta</w:t>
              <w:tab/>
              <w:t xml:space="preserve">16</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Protocolos de Verificación de Conectividad</w:t>
              <w:tab/>
              <w:t xml:space="preserve">17</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Estrategia de Sincronización y Mantenimiento de Canales</w:t>
              <w:tab/>
              <w:t xml:space="preserve">19</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Conclusiones de Viabilidad</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after="120" w:before="120" w:line="275.9999942779541" w:lineRule="auto"/>
        <w:ind w:left="48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Resumen Ejecutivo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El presente reporte documenta el análisis de viabilidad técnica orientado exclusivamente a evaluar la </w:t>
      </w:r>
      <w:r w:rsidDel="00000000" w:rsidR="00000000" w:rsidRPr="00000000">
        <w:rPr>
          <w:rFonts w:ascii="Times New Roman" w:cs="Times New Roman" w:eastAsia="Times New Roman" w:hAnsi="Times New Roman"/>
          <w:b w:val="1"/>
          <w:bCs w:val="1"/>
          <w:color w:val="1f1f1f"/>
          <w:rtl w:val="0"/>
        </w:rPr>
        <w:t xml:space="preserve">f</w:t>
      </w:r>
      <w:r w:rsidDel="00000000" w:rsidR="00000000" w:rsidRPr="00000000">
        <w:rPr>
          <w:rFonts w:ascii="Times New Roman" w:cs="Times New Roman" w:eastAsia="Times New Roman" w:hAnsi="Times New Roman"/>
          <w:color w:val="1f1f1f"/>
          <w:rtl w:val="0"/>
        </w:rPr>
        <w:t xml:space="preserve">actibilidad de acceso, conectividad y extracción programática de información desde portales web externos institucionales y gubernamentales hacia el SGPI.</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El mayor riesgo de integración de este proyecto radica en la heterogeneidad de los canales de procedencia de la información y la ausencia de APIs unificadas o documentadas en las plataformas universitarias. Para mitigar esta incertidumbre, se evaluaron los canales de comunicación de cuatro fuentes estratégicas: tres portales de la UNMSM y el registro nacional de investigadores RENACYT del CONCYTEC.</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El análisis determinó que el acceso automatizado es plenamente viable. Se identificaron canales de comunicación estructurados y APIs subyacentes que garantizan una transferencia de datos estab</w:t>
      </w:r>
      <w:r w:rsidDel="00000000" w:rsidR="00000000" w:rsidRPr="00000000">
        <w:rPr>
          <w:rFonts w:ascii="Times New Roman" w:cs="Times New Roman" w:eastAsia="Times New Roman" w:hAnsi="Times New Roman"/>
          <w:color w:val="1f1f1f"/>
          <w:rtl w:val="0"/>
        </w:rPr>
        <w:t xml:space="preserve">le, inmune a rediseños visuales en la mayoría de los casos. La viabilidad de acceso se complementa con la incorporación del padrón nacional de CONCYTEC, permitiendo al SGPI sincronizar en tiempo real el estado de calificación de la plana docente de la FISI.</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Contexto y Premisas de Integración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 arquitectura de información del SGPI exige la consolidación continua de la producción científica y el estado de la investigación de la FISI-UNMSM en una plataforma única. Para evitar la carga manual de información por parte de los usuarios, el sistema debe establecer canales automáticos de lectura desde orígenes externos administrados de forma independiente: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161925</wp:posOffset>
            </wp:positionH>
            <wp:positionV relativeFrom="paragraph">
              <wp:posOffset>19050</wp:posOffset>
            </wp:positionV>
            <wp:extent cx="5615063" cy="1995488"/>
            <wp:effectExtent b="0" l="0" r="0" t="0"/>
            <wp:wrapTopAndBottom distB="19050" distT="19050"/>
            <wp:docPr descr="graph TD&#10;    %% Configuración de Estilos Globales&#10;    classDef principal fill:#003366,stroke:#001f3f,stroke-width:3px,color:#fff,font-weight:bold;&#10;    classDef vrip fill:#e67e22,stroke:#d35400,stroke-width:2px,color:#fff;&#10;    classDef cyber fill:#27ae60,stroke:#1e8449,stroke-width:2px,color:#fff;&#10;    classDef renacyt fill:#c0392b,stroke:#962d22,stroke-width:2px,color:#fff;&#10;&#10;    %% Nodos&#10;    SGPI[SGPI &lt;br&gt; Sistema de Gestión de Proyectos de Investigación]:::principal&#10;    &#10;    VRIP[Portal VRIP &lt;br&gt; Convocatorias de Financiamiento]:::vrip&#10;    CYBER[Cybertesis &lt;br&gt; Repositorio Digital DSpace 7]:::cyber&#10;    RENA[RENACYT &lt;br&gt; Padrón Nacional CONCYTEC]:::renacyt&#10;&#10;    %% Conexiones y Protocolos corregidas (usando --&gt;)&#10;    SGPI --&gt;|HTTPS GET &lt;br&gt; Web Scraping HTML/CSS| VRIP&#10;    SGPI --&gt;|HTTPS GET &lt;br&gt; JSON REST API Nativa| CYBER&#10;    SGPI --&gt;|HTTPS POST &lt;br&gt; REST API Transaccional| RENA&#10;&#10;    %% Subtítulos o detalles de flujo en los enlaces&#10;    linkStyle 0 stroke:#e67e22,stroke-width:2px;&#10;    linkStyle 1 stroke:#27ae60,stroke-width:2px;&#10;    linkStyle 2 stroke:#c0392b,stroke-width:2px;" id="5" name="image6.png"/>
            <a:graphic>
              <a:graphicData uri="http://schemas.openxmlformats.org/drawingml/2006/picture">
                <pic:pic>
                  <pic:nvPicPr>
                    <pic:cNvPr descr="graph TD&#10;    %% Configuración de Estilos Globales&#10;    classDef principal fill:#003366,stroke:#001f3f,stroke-width:3px,color:#fff,font-weight:bold;&#10;    classDef vrip fill:#e67e22,stroke:#d35400,stroke-width:2px,color:#fff;&#10;    classDef cyber fill:#27ae60,stroke:#1e8449,stroke-width:2px,color:#fff;&#10;    classDef renacyt fill:#c0392b,stroke:#962d22,stroke-width:2px,color:#fff;&#10;&#10;    %% Nodos&#10;    SGPI[SGPI &lt;br&gt; Sistema de Gestión de Proyectos de Investigación]:::principal&#10;    &#10;    VRIP[Portal VRIP &lt;br&gt; Convocatorias de Financiamiento]:::vrip&#10;    CYBER[Cybertesis &lt;br&gt; Repositorio Digital DSpace 7]:::cyber&#10;    RENA[RENACYT &lt;br&gt; Padrón Nacional CONCYTEC]:::renacyt&#10;&#10;    %% Conexiones y Protocolos corregidas (usando --&gt;)&#10;    SGPI --&gt;|HTTPS GET &lt;br&gt; Web Scraping HTML/CSS| VRIP&#10;    SGPI --&gt;|HTTPS GET &lt;br&gt; JSON REST API Nativa| CYBER&#10;    SGPI --&gt;|HTTPS POST &lt;br&gt; REST API Transaccional| RENA&#10;&#10;    %% Subtítulos o detalles de flujo en los enlaces&#10;    linkStyle 0 stroke:#e67e22,stroke-width:2px;&#10;    linkStyle 1 stroke:#27ae60,stroke-width:2px;&#10;    linkStyle 2 stroke:#c0392b,stroke-width:2px;" id="0" name="image6.png"/>
                    <pic:cNvPicPr preferRelativeResize="0"/>
                  </pic:nvPicPr>
                  <pic:blipFill>
                    <a:blip r:embed="rId6"/>
                    <a:srcRect b="0" l="0" r="0" t="0"/>
                    <a:stretch>
                      <a:fillRect/>
                    </a:stretch>
                  </pic:blipFill>
                  <pic:spPr>
                    <a:xfrm>
                      <a:off x="0" y="0"/>
                      <a:ext cx="5615063" cy="1995488"/>
                    </a:xfrm>
                    <a:prstGeom prst="rect"/>
                    <a:ln/>
                  </pic:spPr>
                </pic:pic>
              </a:graphicData>
            </a:graphic>
          </wp:anchor>
        </w:drawing>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nivel de gobernanza de TI, se asumen las siguientes condiciones iniciales:</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No se dispone de credenciales de administración para las bases de datos de origen.</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Los canales de integración no deben saturar ni degradar el servicio de los servidores consultados (política de bajo impacto).</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La recopilación de información académica de carácter público es legalmente factible bajo las normativas nacionales de transparencia del Estado Peruano.</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Objetivos del Análisis de Acceso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El propósito de la evaluación técnica realizada durante fue: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Determinar la estabilidad, accesibilidad y permanencia de los canales de comunicación de los portales de interés, definiendo los mecanismos más robustos para realizar una ingesta de datos automatizada y de bajo acoplamiento.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25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Específicamente se buscó validar:</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La disponibilidad de endpoints que entreguen datos estructurados sin procesamiento visual.</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La existencia de mecanismos de seguridad perimetral (como firewalls de aplicaciones web o WAF) que bloqueen peticiones automáticas.</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La resiliencia de la conexión ante fallas del servidor principal mediante alternativas de replicación (redireccionamientos o mirrors).</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La estabilidad temporal de la estructura de datos ante actualizaciones estéticas o de diseño de las interfaces web de origen.</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Matriz de Alcance por Canal de Datos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Canales evaluados e incluidos en el modelo de acceso</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Fuente</w:t>
            </w:r>
          </w:p>
        </w:tc>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Tipo de Origen</w:t>
            </w:r>
          </w:p>
        </w:tc>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center"/>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Protocolo</w:t>
            </w:r>
          </w:p>
        </w:tc>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Tipo de Respuesta</w:t>
            </w:r>
          </w:p>
        </w:tc>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center"/>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Estado de Acceso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Portal VRIP (Convocatorias)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Web CMS (Elementor)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HTTPS GET</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Documento HTML</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Público Libre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Cybertesis (Repositorio)</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SPA (DSpace 7 Backend)</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HTTPS GET</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Estructura JSON</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Público Libre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Proyectos VRIP (Resoluciones)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WordPress Engine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HTTPS GET</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Estructura JSON</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Público Libre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RENACYT (Padrón Nacional)</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API Transaccional</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HTTPS POST</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Estructura JSON</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Público Libre</w:t>
            </w:r>
          </w:p>
        </w:tc>
      </w:tr>
    </w:tbl>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Canales excluidos temporalmente del acceso automatizado</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Fuente</w:t>
            </w:r>
          </w:p>
        </w:tc>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Causa de la Exclusión Técnica</w:t>
            </w:r>
          </w:p>
        </w:tc>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Alternativa Metodológica de Acceso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RAIS (Registro Interno)</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Requiere autenticación de usuario final centralizada (SSO de la universidad) y sesión activa de investigador. No posee endpoints públicos.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Coordinación institucional con la Oficina Central de Investigación de la UNMSM para establecer una transferencia segura de datos (SFTP/API Privada).</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 Arquitectura y Modelos de Interconectividad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Para garantizar una integración sostenible, se han modelado tres patrones de conectividad de acuerdo a la naturaleza de cada origen de datos:</w:t>
      </w:r>
      <w:r w:rsidDel="00000000" w:rsidR="00000000" w:rsidRPr="00000000">
        <w:drawing>
          <wp:anchor allowOverlap="1" behindDoc="0" distB="0" distT="0" distL="0" distR="0" hidden="0" layoutInCell="1" locked="0" relativeHeight="0" simplePos="0">
            <wp:simplePos x="0" y="0"/>
            <wp:positionH relativeFrom="column">
              <wp:posOffset>3867150</wp:posOffset>
            </wp:positionH>
            <wp:positionV relativeFrom="paragraph">
              <wp:posOffset>95250</wp:posOffset>
            </wp:positionV>
            <wp:extent cx="1572802" cy="2300288"/>
            <wp:effectExtent b="0" l="0" r="0" t="0"/>
            <wp:wrapTopAndBottom distB="0" distT="0"/>
            <wp:docPr descr="graph LR&#10;    %% Definición de Estilos&#10;    classDef source fill:#f9f9f9,stroke:#333,stroke-dasharray: 5 5;&#10;    classDef process fill:#e1f5fe,stroke:#01579b,stroke-width:2px;&#10;    classDef result fill:#e8f5e9,stroke:#2e7d32,stroke-width:2px;&#10;&#10;    %% Patrón A&#10;    subgraph A [Extracción Semántica]&#10;        S1[Servidor Origen]:::source --&gt; P1[Analizador Sintáctico]:::process&#10;        P1 --&gt;|Selectores CSS| D1[Datos Estructurados]:::result&#10;    end&#10;&#10;    %% Patrón B&#10;    subgraph B [Interconexión API REST]&#10;        S2[Servidor Origen]:::source --&gt; P2[Endpoint Backend]:::process&#10;        P2 --&gt;|Esquema Directo| D2[Datos Estructurados]:::result&#10;    end&#10;&#10;    %% Patrón C&#10;    subgraph C [Conector Federado]&#10;        S3[Servidor CONCYTEC]:::source -.-&gt;|Error SSL/Conexión| P3[Espejo CTIVITAE]:::process&#10;        S3 --&gt; P3&#10;        P3 --&gt;|Validación| D3[Datos Normalizados]:::result&#10;    end" id="4" name="image2.png"/>
            <a:graphic>
              <a:graphicData uri="http://schemas.openxmlformats.org/drawingml/2006/picture">
                <pic:pic>
                  <pic:nvPicPr>
                    <pic:cNvPr descr="graph LR&#10;    %% Definición de Estilos&#10;    classDef source fill:#f9f9f9,stroke:#333,stroke-dasharray: 5 5;&#10;    classDef process fill:#e1f5fe,stroke:#01579b,stroke-width:2px;&#10;    classDef result fill:#e8f5e9,stroke:#2e7d32,stroke-width:2px;&#10;&#10;    %% Patrón A&#10;    subgraph A [Extracción Semántica]&#10;        S1[Servidor Origen]:::source --&gt; P1[Analizador Sintáctico]:::process&#10;        P1 --&gt;|Selectores CSS| D1[Datos Estructurados]:::result&#10;    end&#10;&#10;    %% Patrón B&#10;    subgraph B [Interconexión API REST]&#10;        S2[Servidor Origen]:::source --&gt; P2[Endpoint Backend]:::process&#10;        P2 --&gt;|Esquema Directo| D2[Datos Estructurados]:::result&#10;    end&#10;&#10;    %% Patrón C&#10;    subgraph C [Conector Federado]&#10;        S3[Servidor CONCYTEC]:::source -.-&gt;|Error SSL/Conexión| P3[Espejo CTIVITAE]:::process&#10;        S3 --&gt; P3&#10;        P3 --&gt;|Validación| D3[Datos Normalizados]:::result&#10;    end" id="0" name="image2.png"/>
                    <pic:cNvPicPr preferRelativeResize="0"/>
                  </pic:nvPicPr>
                  <pic:blipFill>
                    <a:blip r:embed="rId7"/>
                    <a:srcRect b="67274" l="0" r="0" t="0"/>
                    <a:stretch>
                      <a:fillRect/>
                    </a:stretch>
                  </pic:blipFill>
                  <pic:spPr>
                    <a:xfrm>
                      <a:off x="0" y="0"/>
                      <a:ext cx="1572802" cy="230028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1790700</wp:posOffset>
            </wp:positionH>
            <wp:positionV relativeFrom="paragraph">
              <wp:posOffset>38100</wp:posOffset>
            </wp:positionV>
            <wp:extent cx="1652588" cy="2423795"/>
            <wp:effectExtent b="0" l="0" r="0" t="0"/>
            <wp:wrapTopAndBottom distB="0" distT="0"/>
            <wp:docPr descr="graph LR&#10;    %% Definición de Estilos&#10;    classDef source fill:#f9f9f9,stroke:#333,stroke-dasharray: 5 5;&#10;    classDef process fill:#e1f5fe,stroke:#01579b,stroke-width:2px;&#10;    classDef result fill:#e8f5e9,stroke:#2e7d32,stroke-width:2px;&#10;&#10;    %% Patrón A&#10;    subgraph A [Extracción Semántica]&#10;        S1[Servidor Origen]:::source --&gt; P1[Analizador Sintáctico]:::process&#10;        P1 --&gt;|Selectores CSS| D1[Datos Estructurados]:::result&#10;    end&#10;&#10;    %% Patrón B&#10;    subgraph B [Interconexión API REST]&#10;        S2[Servidor Origen]:::source --&gt; P2[Endpoint Backend]:::process&#10;        P2 --&gt;|Esquema Directo| D2[Datos Estructurados]:::result&#10;    end&#10;&#10;    %% Patrón C&#10;    subgraph C [Conector Federado]&#10;        S3[Servidor CONCYTEC]:::source -.-&gt;|Error SSL/Conexión| P3[Espejo CTIVITAE]:::process&#10;        S3 --&gt; P3&#10;        P3 --&gt;|Validación| D3[Datos Normalizados]:::result&#10;    end" id="6" name="image2.png"/>
            <a:graphic>
              <a:graphicData uri="http://schemas.openxmlformats.org/drawingml/2006/picture">
                <pic:pic>
                  <pic:nvPicPr>
                    <pic:cNvPr descr="graph LR&#10;    %% Definición de Estilos&#10;    classDef source fill:#f9f9f9,stroke:#333,stroke-dasharray: 5 5;&#10;    classDef process fill:#e1f5fe,stroke:#01579b,stroke-width:2px;&#10;    classDef result fill:#e8f5e9,stroke:#2e7d32,stroke-width:2px;&#10;&#10;    %% Patrón A&#10;    subgraph A [Extracción Semántica]&#10;        S1[Servidor Origen]:::source --&gt; P1[Analizador Sintáctico]:::process&#10;        P1 --&gt;|Selectores CSS| D1[Datos Estructurados]:::result&#10;    end&#10;&#10;    %% Patrón B&#10;    subgraph B [Interconexión API REST]&#10;        S2[Servidor Origen]:::source --&gt; P2[Endpoint Backend]:::process&#10;        P2 --&gt;|Esquema Directo| D2[Datos Estructurados]:::result&#10;    end&#10;&#10;    %% Patrón C&#10;    subgraph C [Conector Federado]&#10;        S3[Servidor CONCYTEC]:::source -.-&gt;|Error SSL/Conexión| P3[Espejo CTIVITAE]:::process&#10;        S3 --&gt; P3&#10;        P3 --&gt;|Validación| D3[Datos Normalizados]:::result&#10;    end" id="0" name="image2.png"/>
                    <pic:cNvPicPr preferRelativeResize="0"/>
                  </pic:nvPicPr>
                  <pic:blipFill>
                    <a:blip r:embed="rId7"/>
                    <a:srcRect b="32790" l="0" r="0" t="34484"/>
                    <a:stretch>
                      <a:fillRect/>
                    </a:stretch>
                  </pic:blipFill>
                  <pic:spPr>
                    <a:xfrm>
                      <a:off x="0" y="0"/>
                      <a:ext cx="1652588" cy="242379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47625</wp:posOffset>
            </wp:positionH>
            <wp:positionV relativeFrom="paragraph">
              <wp:posOffset>95250</wp:posOffset>
            </wp:positionV>
            <wp:extent cx="1572802" cy="2300288"/>
            <wp:effectExtent b="0" l="0" r="0" t="0"/>
            <wp:wrapTopAndBottom distB="0" distT="0"/>
            <wp:docPr descr="graph LR&#10;    %% Definición de Estilos&#10;    classDef source fill:#f9f9f9,stroke:#333,stroke-dasharray: 5 5;&#10;    classDef process fill:#e1f5fe,stroke:#01579b,stroke-width:2px;&#10;    classDef result fill:#e8f5e9,stroke:#2e7d32,stroke-width:2px;&#10;&#10;    %% Patrón A&#10;    subgraph A [Extracción Semántica]&#10;        S1[Servidor Origen]:::source --&gt; P1[Analizador Sintáctico]:::process&#10;        P1 --&gt;|Selectores CSS| D1[Datos Estructurados]:::result&#10;    end&#10;&#10;    %% Patrón B&#10;    subgraph B [Interconexión API REST]&#10;        S2[Servidor Origen]:::source --&gt; P2[Endpoint Backend]:::process&#10;        P2 --&gt;|Esquema Directo| D2[Datos Estructurados]:::result&#10;    end&#10;&#10;    %% Patrón C&#10;    subgraph C [Conector Federado]&#10;        S3[Servidor CONCYTEC]:::source -.-&gt;|Error SSL/Conexión| P3[Espejo CTIVITAE]:::process&#10;        S3 --&gt; P3&#10;        P3 --&gt;|Validación| D3[Datos Normalizados]:::result&#10;    end" id="3" name="image2.png"/>
            <a:graphic>
              <a:graphicData uri="http://schemas.openxmlformats.org/drawingml/2006/picture">
                <pic:pic>
                  <pic:nvPicPr>
                    <pic:cNvPr descr="graph LR&#10;    %% Definición de Estilos&#10;    classDef source fill:#f9f9f9,stroke:#333,stroke-dasharray: 5 5;&#10;    classDef process fill:#e1f5fe,stroke:#01579b,stroke-width:2px;&#10;    classDef result fill:#e8f5e9,stroke:#2e7d32,stroke-width:2px;&#10;&#10;    %% Patrón A&#10;    subgraph A [Extracción Semántica]&#10;        S1[Servidor Origen]:::source --&gt; P1[Analizador Sintáctico]:::process&#10;        P1 --&gt;|Selectores CSS| D1[Datos Estructurados]:::result&#10;    end&#10;&#10;    %% Patrón B&#10;    subgraph B [Interconexión API REST]&#10;        S2[Servidor Origen]:::source --&gt; P2[Endpoint Backend]:::process&#10;        P2 --&gt;|Esquema Directo| D2[Datos Estructurados]:::result&#10;    end&#10;&#10;    %% Patrón C&#10;    subgraph C [Conector Federado]&#10;        S3[Servidor CONCYTEC]:::source -.-&gt;|Error SSL/Conexión| P3[Espejo CTIVITAE]:::process&#10;        S3 --&gt; P3&#10;        P3 --&gt;|Validación| D3[Datos Normalizados]:::result&#10;    end" id="0" name="image2.png"/>
                    <pic:cNvPicPr preferRelativeResize="0"/>
                  </pic:nvPicPr>
                  <pic:blipFill>
                    <a:blip r:embed="rId7"/>
                    <a:srcRect b="-947" l="0" r="0" t="68221"/>
                    <a:stretch>
                      <a:fillRect/>
                    </a:stretch>
                  </pic:blipFill>
                  <pic:spPr>
                    <a:xfrm>
                      <a:off x="0" y="0"/>
                      <a:ext cx="1572802" cy="2300288"/>
                    </a:xfrm>
                    <a:prstGeom prst="rect"/>
                    <a:ln/>
                  </pic:spPr>
                </pic:pic>
              </a:graphicData>
            </a:graphic>
          </wp:anchor>
        </w:drawing>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Heurísticas de Robustez de Canal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Independientemente de la fuente de datos, la capa de conectividad debe gobernarse bajo los siguientes tres principios de tolerancia a fallos en red:</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Variabilidad de Firma de Cliente (User-Agent Rotation):</w:t>
      </w:r>
      <w:r w:rsidDel="00000000" w:rsidR="00000000" w:rsidRPr="00000000">
        <w:rPr>
          <w:rFonts w:ascii="Times New Roman" w:cs="Times New Roman" w:eastAsia="Times New Roman" w:hAnsi="Times New Roman"/>
          <w:color w:val="1f1f1f"/>
          <w:rtl w:val="0"/>
        </w:rPr>
        <w:t xml:space="preserve"> Las solicitudes de interconexión deben alternar los perfiles de agente de cliente en las cabeceras HTTP. Esto previene que los firewalls institucionales (WAF) identifiquen el canal de sincronización como un ataque de denegación de servicio (DoS) o bot de recolección invasiva.</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Reintentos con Retardo Incremental:</w:t>
      </w:r>
      <w:r w:rsidDel="00000000" w:rsidR="00000000" w:rsidRPr="00000000">
        <w:rPr>
          <w:rFonts w:ascii="Times New Roman" w:cs="Times New Roman" w:eastAsia="Times New Roman" w:hAnsi="Times New Roman"/>
          <w:color w:val="1f1f1f"/>
          <w:rtl w:val="0"/>
        </w:rPr>
        <w:t xml:space="preserve"> Ante pérdidas de paquetes de red o respuestas de congestión del servidor (HTTP 503), el canal aplicará una lógica de pausa calculada de forma exponencial:</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drawing>
          <wp:inline distB="19050" distT="19050" distL="19050" distR="19050">
            <wp:extent cx="5905500" cy="602867"/>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05500" cy="602867"/>
                    </a:xfrm>
                    <a:prstGeom prst="rect"/>
                    <a:ln/>
                  </pic:spPr>
                </pic:pic>
              </a:graphicData>
            </a:graphic>
          </wp:inline>
        </w:draw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Esto evita colapsar servidores que estén experimentando sobrecarga temporal.</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Mecanismo de Desconexión Rápida (Fail-Fast):</w:t>
      </w:r>
      <w:r w:rsidDel="00000000" w:rsidR="00000000" w:rsidRPr="00000000">
        <w:rPr>
          <w:rFonts w:ascii="Times New Roman" w:cs="Times New Roman" w:eastAsia="Times New Roman" w:hAnsi="Times New Roman"/>
          <w:color w:val="1f1f1f"/>
          <w:rtl w:val="0"/>
        </w:rPr>
        <w:t xml:space="preserve"> En caso de errores persistentes de resolución DNS o códigos HTTP 404 (Recurso no encontrado), la conexión debe abortarse de inmediato para conservar recursos de infraestructura.</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 Evaluación de Viabilidad por Fuente de Datos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5.1 Portal VRIP — Convocatorias de Financiamiento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URL Objetivo de Canal:</w:t>
      </w:r>
      <w:r w:rsidDel="00000000" w:rsidR="00000000" w:rsidRPr="00000000">
        <w:rPr>
          <w:rFonts w:ascii="Times New Roman" w:cs="Times New Roman" w:eastAsia="Times New Roman" w:hAnsi="Times New Roman"/>
          <w:color w:val="1f1f1f"/>
          <w:rtl w:val="0"/>
        </w:rPr>
        <w:t xml:space="preserve"> https://vrip.unmsm.edu.pe/convocatoria-2026/</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br w:type="textWrapping"/>
      </w:r>
      <w:r w:rsidDel="00000000" w:rsidR="00000000" w:rsidRPr="00000000">
        <w:drawing>
          <wp:anchor allowOverlap="1" behindDoc="0" distB="19050" distT="19050" distL="19050" distR="19050" hidden="0" layoutInCell="1" locked="0" relativeHeight="0" simplePos="0">
            <wp:simplePos x="0" y="0"/>
            <wp:positionH relativeFrom="column">
              <wp:posOffset>828675</wp:posOffset>
            </wp:positionH>
            <wp:positionV relativeFrom="paragraph">
              <wp:posOffset>47625</wp:posOffset>
            </wp:positionV>
            <wp:extent cx="3919538" cy="2303771"/>
            <wp:effectExtent b="0" l="0" r="0" t="0"/>
            <wp:wrapTopAndBottom distB="19050" distT="19050"/>
            <wp:docPr descr="sequenceDiagram&#10;    participant SGPI as Cliente SGPI&#10;    participant VRIP as Portal VRIP (WordPress / Elementor)&#10;&#10;    note over SGPI, VRIP: Canal de Extracción Semántica (HTML Parsing)&#10;    &#10;    SGPI-&gt;&gt;VRIP: GET /convocatoria-2026/&#10;    activate VRIP&#10;    VRIP--&gt;&gt;SGPI: Documento DOM (Estructura Elementor)&#10;    deactivate VRIP&#10;    &#10;    note right of SGPI: El sistema aplica Parser Dual &lt;br/&gt;para detectar contenedores &lt;br/&gt;genéricos de Elementor" id="2" name="image7.png"/>
            <a:graphic>
              <a:graphicData uri="http://schemas.openxmlformats.org/drawingml/2006/picture">
                <pic:pic>
                  <pic:nvPicPr>
                    <pic:cNvPr descr="sequenceDiagram&#10;    participant SGPI as Cliente SGPI&#10;    participant VRIP as Portal VRIP (WordPress / Elementor)&#10;&#10;    note over SGPI, VRIP: Canal de Extracción Semántica (HTML Parsing)&#10;    &#10;    SGPI-&gt;&gt;VRIP: GET /convocatoria-2026/&#10;    activate VRIP&#10;    VRIP--&gt;&gt;SGPI: Documento DOM (Estructura Elementor)&#10;    deactivate VRIP&#10;    &#10;    note right of SGPI: El sistema aplica Parser Dual &lt;br/&gt;para detectar contenedores &lt;br/&gt;genéricos de Elementor" id="0" name="image7.png"/>
                    <pic:cNvPicPr preferRelativeResize="0"/>
                  </pic:nvPicPr>
                  <pic:blipFill>
                    <a:blip r:embed="rId9"/>
                    <a:srcRect b="0" l="0" r="0" t="0"/>
                    <a:stretch>
                      <a:fillRect/>
                    </a:stretch>
                  </pic:blipFill>
                  <pic:spPr>
                    <a:xfrm>
                      <a:off x="0" y="0"/>
                      <a:ext cx="3919538" cy="2303771"/>
                    </a:xfrm>
                    <a:prstGeom prst="rect"/>
                    <a:ln/>
                  </pic:spPr>
                </pic:pic>
              </a:graphicData>
            </a:graphic>
          </wp:anchor>
        </w:drawing>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Viabilidad de Canal:</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Media</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Mecanismo de Acceso:</w:t>
      </w:r>
      <w:r w:rsidDel="00000000" w:rsidR="00000000" w:rsidRPr="00000000">
        <w:rPr>
          <w:rFonts w:ascii="Times New Roman" w:cs="Times New Roman" w:eastAsia="Times New Roman" w:hAnsi="Times New Roman"/>
          <w:color w:val="1f1f1f"/>
          <w:rtl w:val="0"/>
        </w:rPr>
        <w:t xml:space="preserve"> Extracción y parsing estructural sobre el código HTML de la página web.</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Descripción de la Interfaz:</w:t>
      </w:r>
      <w:r w:rsidDel="00000000" w:rsidR="00000000" w:rsidRPr="00000000">
        <w:rPr>
          <w:rFonts w:ascii="Times New Roman" w:cs="Times New Roman" w:eastAsia="Times New Roman" w:hAnsi="Times New Roman"/>
          <w:color w:val="1f1f1f"/>
          <w:rtl w:val="0"/>
        </w:rPr>
        <w:t xml:space="preserve"> El portal oficial del Vicerrectorado de Investigación y Posgrado está construido sobre WordPress, pero utiliza el framework de diseño visual </w:t>
      </w:r>
      <w:r w:rsidDel="00000000" w:rsidR="00000000" w:rsidRPr="00000000">
        <w:rPr>
          <w:rFonts w:ascii="Times New Roman" w:cs="Times New Roman" w:eastAsia="Times New Roman" w:hAnsi="Times New Roman"/>
          <w:b w:val="1"/>
          <w:bCs w:val="1"/>
          <w:color w:val="1f1f1f"/>
          <w:rtl w:val="0"/>
        </w:rPr>
        <w:t xml:space="preserve">Elementor</w:t>
      </w:r>
      <w:r w:rsidDel="00000000" w:rsidR="00000000" w:rsidRPr="00000000">
        <w:rPr>
          <w:rFonts w:ascii="Times New Roman" w:cs="Times New Roman" w:eastAsia="Times New Roman" w:hAnsi="Times New Roman"/>
          <w:color w:val="1f1f1f"/>
          <w:rtl w:val="0"/>
        </w:rPr>
        <w:t xml:space="preserve">. Esto significa que el código fuente carece de marcado semántico estándar (como &lt;article&gt; o &lt;h2 class="entry-title"&gt;). En su lugar, utiliza contenedores genéricos anidados (div.e-con-inner).</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Estabilidad del DOM:</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Baja</w:t>
      </w:r>
      <w:r w:rsidDel="00000000" w:rsidR="00000000" w:rsidRPr="00000000">
        <w:rPr>
          <w:rFonts w:ascii="Times New Roman" w:cs="Times New Roman" w:eastAsia="Times New Roman" w:hAnsi="Times New Roman"/>
          <w:color w:val="1f1f1f"/>
          <w:rtl w:val="0"/>
        </w:rPr>
        <w:t xml:space="preserve">. Si el área de diseño del VRIP actualiza el tema visual, modifica la estructura de columnas o reemplaza los componentes de Elementor, las reglas de navegación del DOM se romperán, impidiendo localizar los hipervínculos de los documentos PDF de las convocatorias y cronogramas.</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Mecanismo de Resiliencia:</w:t>
      </w:r>
      <w:r w:rsidDel="00000000" w:rsidR="00000000" w:rsidRPr="00000000">
        <w:rPr>
          <w:rFonts w:ascii="Times New Roman" w:cs="Times New Roman" w:eastAsia="Times New Roman" w:hAnsi="Times New Roman"/>
          <w:color w:val="1f1f1f"/>
          <w:rtl w:val="0"/>
        </w:rPr>
        <w:t xml:space="preserve"> El canal debe estar configurado para utilizar selectores de ruta de respaldo (heurísticas de búsqueda de enlaces que apunten a dominios con patrones de descarga, por ejemplo, archivos de extensión .pdf que contengan la palabra "cronograma" o "directiva").</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5.2 Cybertesis — Repositorio Digital UNMSM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URL Objetivo de Canal:</w:t>
      </w:r>
      <w:r w:rsidDel="00000000" w:rsidR="00000000" w:rsidRPr="00000000">
        <w:rPr>
          <w:rFonts w:ascii="Times New Roman" w:cs="Times New Roman" w:eastAsia="Times New Roman" w:hAnsi="Times New Roman"/>
          <w:color w:val="1f1f1f"/>
          <w:rtl w:val="0"/>
        </w:rPr>
        <w:t xml:space="preserve"> https://cybertesis.unmsm.edu.pe/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Endpoint REST de Consulta:</w:t>
      </w:r>
      <w:r w:rsidDel="00000000" w:rsidR="00000000" w:rsidRPr="00000000">
        <w:rPr>
          <w:rFonts w:ascii="Times New Roman" w:cs="Times New Roman" w:eastAsia="Times New Roman" w:hAnsi="Times New Roman"/>
          <w:color w:val="1f1f1f"/>
          <w:rtl w:val="0"/>
        </w:rPr>
        <w:t xml:space="preserve"> https://cybertesis.unmsm.edu.pe/backend/api/discover/search/objects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br w:type="textWrapping"/>
      </w:r>
      <w:r w:rsidDel="00000000" w:rsidR="00000000" w:rsidRPr="00000000">
        <w:drawing>
          <wp:anchor allowOverlap="1" behindDoc="0" distB="19050" distT="19050" distL="19050" distR="19050" hidden="0" layoutInCell="1" locked="0" relativeHeight="0" simplePos="0">
            <wp:simplePos x="0" y="0"/>
            <wp:positionH relativeFrom="column">
              <wp:posOffset>914400</wp:posOffset>
            </wp:positionH>
            <wp:positionV relativeFrom="paragraph">
              <wp:posOffset>133350</wp:posOffset>
            </wp:positionV>
            <wp:extent cx="4116227" cy="2176463"/>
            <wp:effectExtent b="0" l="0" r="0" t="0"/>
            <wp:wrapTopAndBottom distB="19050" distT="19050"/>
            <wp:docPr descr="sequenceDiagram&#10;    participant SGPI as Cliente SGPI&#10;    participant DSPACE as Backend API (DSpace 7)&#10;&#10;    note over SGPI, DSPACE: Canal de Ingesta Estructurada (REST API)&#10;    &#10;    SGPI-&gt;&gt;DSPACE: GET /backend/api/discover/search/objects?query=...&#10;    activate DSPACE&#10;    DSPACE--&gt;&gt;SGPI: Respuesta 200 OK (Esquema JSON HAL)&#10;    deactivate DSPACE&#10;    &#10;    note right of SGPI: El sistema recibe datos normalizados &lt;br/&gt;y desacoplados de la interfaz visual" id="10" name="image1.png"/>
            <a:graphic>
              <a:graphicData uri="http://schemas.openxmlformats.org/drawingml/2006/picture">
                <pic:pic>
                  <pic:nvPicPr>
                    <pic:cNvPr descr="sequenceDiagram&#10;    participant SGPI as Cliente SGPI&#10;    participant DSPACE as Backend API (DSpace 7)&#10;&#10;    note over SGPI, DSPACE: Canal de Ingesta Estructurada (REST API)&#10;    &#10;    SGPI-&gt;&gt;DSPACE: GET /backend/api/discover/search/objects?query=...&#10;    activate DSPACE&#10;    DSPACE--&gt;&gt;SGPI: Respuesta 200 OK (Esquema JSON HAL)&#10;    deactivate DSPACE&#10;    &#10;    note right of SGPI: El sistema recibe datos normalizados &lt;br/&gt;y desacoplados de la interfaz visual" id="0" name="image1.png"/>
                    <pic:cNvPicPr preferRelativeResize="0"/>
                  </pic:nvPicPr>
                  <pic:blipFill>
                    <a:blip r:embed="rId10"/>
                    <a:srcRect b="0" l="0" r="0" t="0"/>
                    <a:stretch>
                      <a:fillRect/>
                    </a:stretch>
                  </pic:blipFill>
                  <pic:spPr>
                    <a:xfrm>
                      <a:off x="0" y="0"/>
                      <a:ext cx="4116227" cy="2176463"/>
                    </a:xfrm>
                    <a:prstGeom prst="rect"/>
                    <a:ln/>
                  </pic:spPr>
                </pic:pic>
              </a:graphicData>
            </a:graphic>
          </wp:anchor>
        </w:drawing>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Viabilidad de Canal:</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Alta</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Mecanismo de Acceso:</w:t>
      </w:r>
      <w:r w:rsidDel="00000000" w:rsidR="00000000" w:rsidRPr="00000000">
        <w:rPr>
          <w:rFonts w:ascii="Times New Roman" w:cs="Times New Roman" w:eastAsia="Times New Roman" w:hAnsi="Times New Roman"/>
          <w:color w:val="1f1f1f"/>
          <w:rtl w:val="0"/>
        </w:rPr>
        <w:t xml:space="preserve"> Consumo directo de la API REST nativa del backend de DSpace 7.</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Análisis de Arquitectura del Origen:</w:t>
      </w:r>
      <w:r w:rsidDel="00000000" w:rsidR="00000000" w:rsidRPr="00000000">
        <w:rPr>
          <w:rFonts w:ascii="Times New Roman" w:cs="Times New Roman" w:eastAsia="Times New Roman" w:hAnsi="Times New Roman"/>
          <w:color w:val="1f1f1f"/>
          <w:rtl w:val="0"/>
        </w:rPr>
        <w:t xml:space="preserve"> Durante el análisis de tráfico se determinó que Cybertesis ha completado su migración a </w:t>
      </w:r>
      <w:r w:rsidDel="00000000" w:rsidR="00000000" w:rsidRPr="00000000">
        <w:rPr>
          <w:rFonts w:ascii="Times New Roman" w:cs="Times New Roman" w:eastAsia="Times New Roman" w:hAnsi="Times New Roman"/>
          <w:b w:val="1"/>
          <w:bCs w:val="1"/>
          <w:color w:val="1f1f1f"/>
          <w:rtl w:val="0"/>
        </w:rPr>
        <w:t xml:space="preserve">DSpace 7</w:t>
      </w:r>
      <w:r w:rsidDel="00000000" w:rsidR="00000000" w:rsidRPr="00000000">
        <w:rPr>
          <w:rFonts w:ascii="Times New Roman" w:cs="Times New Roman" w:eastAsia="Times New Roman" w:hAnsi="Times New Roman"/>
          <w:color w:val="1f1f1f"/>
          <w:rtl w:val="0"/>
        </w:rPr>
        <w:t xml:space="preserve">, la cual es una Single Page Application (SPA). El servidor web inicial no envía datos dentro del código HTML (este se encuentra vacío, reservado para el renderizado del cliente mediante Angular).</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Ventaja Técnica de Acceso:</w:t>
      </w:r>
      <w:r w:rsidDel="00000000" w:rsidR="00000000" w:rsidRPr="00000000">
        <w:rPr>
          <w:rFonts w:ascii="Times New Roman" w:cs="Times New Roman" w:eastAsia="Times New Roman" w:hAnsi="Times New Roman"/>
          <w:color w:val="1f1f1f"/>
          <w:rtl w:val="0"/>
        </w:rPr>
        <w:t xml:space="preserve"> Acceder por scraping HTML a esta plataforma es inviable sin un motor de renderizado de JavaScript pesado (como Puppeteer o Playwright), lo cual consumiría excesiva memoria y CPU en el SGPI. No obstante, al conectarse directamente al puerto REST del backend expuesto públicamente, se obtiene la información en formato JSON nativo (formato HAL, Hypertext Application Language).</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Estabilidad del Canal:</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Excelente</w:t>
      </w:r>
      <w:r w:rsidDel="00000000" w:rsidR="00000000" w:rsidRPr="00000000">
        <w:rPr>
          <w:rFonts w:ascii="Times New Roman" w:cs="Times New Roman" w:eastAsia="Times New Roman" w:hAnsi="Times New Roman"/>
          <w:color w:val="1f1f1f"/>
          <w:rtl w:val="0"/>
        </w:rPr>
        <w:t xml:space="preserve">. Al desacoplar la capa de datos de la interfaz de usuario, cualquier cambio estético, de colores o de disposición del frontend del repositorio </w:t>
      </w:r>
      <w:r w:rsidDel="00000000" w:rsidR="00000000" w:rsidRPr="00000000">
        <w:rPr>
          <w:rFonts w:ascii="Times New Roman" w:cs="Times New Roman" w:eastAsia="Times New Roman" w:hAnsi="Times New Roman"/>
          <w:b w:val="1"/>
          <w:bCs w:val="1"/>
          <w:color w:val="1f1f1f"/>
          <w:rtl w:val="0"/>
        </w:rPr>
        <w:t xml:space="preserve">no afectará en lo absoluto</w:t>
      </w:r>
      <w:r w:rsidDel="00000000" w:rsidR="00000000" w:rsidRPr="00000000">
        <w:rPr>
          <w:rFonts w:ascii="Times New Roman" w:cs="Times New Roman" w:eastAsia="Times New Roman" w:hAnsi="Times New Roman"/>
          <w:color w:val="1f1f1f"/>
          <w:rtl w:val="0"/>
        </w:rPr>
        <w:t xml:space="preserve"> al motor de lectura del SGPI.</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5.3 Proyectos de Investigación — WordPress REST API del VRIP</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Endpoint REST de Consulta:</w:t>
      </w:r>
      <w:r w:rsidDel="00000000" w:rsidR="00000000" w:rsidRPr="00000000">
        <w:rPr>
          <w:rFonts w:ascii="Times New Roman" w:cs="Times New Roman" w:eastAsia="Times New Roman" w:hAnsi="Times New Roman"/>
          <w:color w:val="1f1f1f"/>
          <w:rtl w:val="0"/>
        </w:rPr>
        <w:t xml:space="preserve"> https://vrip.unmsm.edu.pe/wp-json/wp/v2/posts</w:t>
      </w:r>
      <w:r w:rsidDel="00000000" w:rsidR="00000000" w:rsidRPr="00000000">
        <w:drawing>
          <wp:anchor allowOverlap="1" behindDoc="0" distB="19050" distT="19050" distL="19050" distR="19050" hidden="0" layoutInCell="1" locked="0" relativeHeight="0" simplePos="0">
            <wp:simplePos x="0" y="0"/>
            <wp:positionH relativeFrom="column">
              <wp:posOffset>381000</wp:posOffset>
            </wp:positionH>
            <wp:positionV relativeFrom="paragraph">
              <wp:posOffset>200025</wp:posOffset>
            </wp:positionV>
            <wp:extent cx="5093818" cy="2700338"/>
            <wp:effectExtent b="0" l="0" r="0" t="0"/>
            <wp:wrapTopAndBottom distB="19050" distT="19050"/>
            <wp:docPr descr="sequenceDiagram&#10;    participant SGPI as Cliente SGPI&#10;    participant WP as WordPress REST API&#10;&#10;    note over SGPI, WP: Canal de Ingesta Estructurada (WordPress REST API)&#10;    &#10;    SGPI-&gt;&gt;WP: GET /wp-json/wp/v2/posts?search=proyecto&amp;per_page=...&#10;    activate WP&#10;    WP--&gt;&gt;SGPI: Respuesta 200 OK (Lista de Posts en JSON)&#10;    deactivate WP&#10;    &#10;    note right of SGPI: El sistema recibe metadatos &lt;br/&gt;estructurados (títulos, fechas, &lt;br/&gt;links) listos para ingesta." id="9" name="image8.png"/>
            <a:graphic>
              <a:graphicData uri="http://schemas.openxmlformats.org/drawingml/2006/picture">
                <pic:pic>
                  <pic:nvPicPr>
                    <pic:cNvPr descr="sequenceDiagram&#10;    participant SGPI as Cliente SGPI&#10;    participant WP as WordPress REST API&#10;&#10;    note over SGPI, WP: Canal de Ingesta Estructurada (WordPress REST API)&#10;    &#10;    SGPI-&gt;&gt;WP: GET /wp-json/wp/v2/posts?search=proyecto&amp;per_page=...&#10;    activate WP&#10;    WP--&gt;&gt;SGPI: Respuesta 200 OK (Lista de Posts en JSON)&#10;    deactivate WP&#10;    &#10;    note right of SGPI: El sistema recibe metadatos &lt;br/&gt;estructurados (títulos, fechas, &lt;br/&gt;links) listos para ingesta." id="0" name="image8.png"/>
                    <pic:cNvPicPr preferRelativeResize="0"/>
                  </pic:nvPicPr>
                  <pic:blipFill>
                    <a:blip r:embed="rId11"/>
                    <a:srcRect b="0" l="0" r="0" t="0"/>
                    <a:stretch>
                      <a:fillRect/>
                    </a:stretch>
                  </pic:blipFill>
                  <pic:spPr>
                    <a:xfrm>
                      <a:off x="0" y="0"/>
                      <a:ext cx="5093818" cy="2700338"/>
                    </a:xfrm>
                    <a:prstGeom prst="rect"/>
                    <a:ln/>
                  </pic:spPr>
                </pic:pic>
              </a:graphicData>
            </a:graphic>
          </wp:anchor>
        </w:drawing>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55"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Viabilidad de Canal:</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Alta</w:t>
      </w:r>
    </w:p>
    <w:p w:rsidR="00000000" w:rsidDel="00000000" w:rsidP="00000000" w:rsidRDefault="00000000" w:rsidRPr="00000000" w14:paraId="0000007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Mecanismo de Acceso:</w:t>
      </w:r>
      <w:r w:rsidDel="00000000" w:rsidR="00000000" w:rsidRPr="00000000">
        <w:rPr>
          <w:rFonts w:ascii="Times New Roman" w:cs="Times New Roman" w:eastAsia="Times New Roman" w:hAnsi="Times New Roman"/>
          <w:color w:val="1f1f1f"/>
          <w:rtl w:val="0"/>
        </w:rPr>
        <w:t xml:space="preserve"> Consumo de la API REST nativa de WordPress (desdocumentada pero activa públicamente).</w:t>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Análisis de Origen:</w:t>
      </w:r>
      <w:r w:rsidDel="00000000" w:rsidR="00000000" w:rsidRPr="00000000">
        <w:rPr>
          <w:rFonts w:ascii="Times New Roman" w:cs="Times New Roman" w:eastAsia="Times New Roman" w:hAnsi="Times New Roman"/>
          <w:color w:val="1f1f1f"/>
          <w:rtl w:val="0"/>
        </w:rPr>
        <w:t xml:space="preserve"> El VRIP publica de manera regular las resoluciones rectorales que formalizan la aprobación de proyectos de investigación científica agrupados por programas (PCONFIGI, PMULTI, PINVPOS, etc.) como entradas de blog públicas.</w:t>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Ventaja de Integración:</w:t>
      </w:r>
      <w:r w:rsidDel="00000000" w:rsidR="00000000" w:rsidRPr="00000000">
        <w:rPr>
          <w:rFonts w:ascii="Times New Roman" w:cs="Times New Roman" w:eastAsia="Times New Roman" w:hAnsi="Times New Roman"/>
          <w:color w:val="1f1f1f"/>
          <w:rtl w:val="0"/>
        </w:rPr>
        <w:t xml:space="preserve"> La API JSON nativa de WordPress está expuesta por defecto en /wp-json/. Permite realizar consultas con parámetros estructurados como:</w:t>
      </w:r>
    </w:p>
    <w:p w:rsidR="00000000" w:rsidDel="00000000" w:rsidP="00000000" w:rsidRDefault="00000000" w:rsidRPr="00000000" w14:paraId="00000081">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Búsqueda por texto libre (?search=proyecto)</w:t>
      </w:r>
    </w:p>
    <w:p w:rsidR="00000000" w:rsidDel="00000000" w:rsidP="00000000" w:rsidRDefault="00000000" w:rsidRPr="00000000" w14:paraId="00000082">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Filtrado por categoría temática (?categories=28)</w:t>
      </w:r>
    </w:p>
    <w:p w:rsidR="00000000" w:rsidDel="00000000" w:rsidP="00000000" w:rsidRDefault="00000000" w:rsidRPr="00000000" w14:paraId="0000008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Selección explícita de campos para disminuir el tamaño de carga de red (?_fields=id,title,date,link)</w:t>
      </w:r>
    </w:p>
    <w:p w:rsidR="00000000" w:rsidDel="00000000" w:rsidP="00000000" w:rsidRDefault="00000000" w:rsidRPr="00000000" w14:paraId="0000008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Estabilidad del Canal:</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Alta</w:t>
      </w:r>
      <w:r w:rsidDel="00000000" w:rsidR="00000000" w:rsidRPr="00000000">
        <w:rPr>
          <w:rFonts w:ascii="Times New Roman" w:cs="Times New Roman" w:eastAsia="Times New Roman" w:hAnsi="Times New Roman"/>
          <w:color w:val="1f1f1f"/>
          <w:rtl w:val="0"/>
        </w:rPr>
        <w:t xml:space="preserve">, dado que responde a un estándar de backend de WordPress ampliamente consolidado a nivel mundial.</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5.4 RENACYT — Base de Datos Nacional de Investigadores (CONCYTEC)</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Endpoint Principal:</w:t>
      </w:r>
      <w:r w:rsidDel="00000000" w:rsidR="00000000" w:rsidRPr="00000000">
        <w:rPr>
          <w:rFonts w:ascii="Times New Roman" w:cs="Times New Roman" w:eastAsia="Times New Roman" w:hAnsi="Times New Roman"/>
          <w:color w:val="1f1f1f"/>
          <w:rtl w:val="0"/>
        </w:rPr>
        <w:t xml:space="preserve"> https://renacyt.concytec.gob.pe/renacyt-backend/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Endpoint Alternativo:</w:t>
      </w:r>
      <w:r w:rsidDel="00000000" w:rsidR="00000000" w:rsidRPr="00000000">
        <w:rPr>
          <w:rFonts w:ascii="Times New Roman" w:cs="Times New Roman" w:eastAsia="Times New Roman" w:hAnsi="Times New Roman"/>
          <w:color w:val="1f1f1f"/>
          <w:rtl w:val="0"/>
        </w:rPr>
        <w:t xml:space="preserve"> https://ctivitae.concytec.gob.pe/renacyt-backend/</w:t>
      </w:r>
    </w:p>
    <w:p w:rsidR="00000000" w:rsidDel="00000000" w:rsidP="00000000" w:rsidRDefault="00000000" w:rsidRPr="00000000" w14:paraId="00000089">
      <w:pPr>
        <w:spacing w:after="25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br w:type="textWrapping"/>
      </w:r>
      <w:r w:rsidDel="00000000" w:rsidR="00000000" w:rsidRPr="00000000">
        <w:drawing>
          <wp:anchor allowOverlap="1" behindDoc="0" distB="19050" distT="19050" distL="19050" distR="19050" hidden="0" layoutInCell="1" locked="0" relativeHeight="0" simplePos="0">
            <wp:simplePos x="0" y="0"/>
            <wp:positionH relativeFrom="column">
              <wp:posOffset>319088</wp:posOffset>
            </wp:positionH>
            <wp:positionV relativeFrom="paragraph">
              <wp:posOffset>66675</wp:posOffset>
            </wp:positionV>
            <wp:extent cx="5309799" cy="2195513"/>
            <wp:effectExtent b="0" l="0" r="0" t="0"/>
            <wp:wrapTopAndBottom distB="19050" distT="19050"/>
            <wp:docPr descr="sequenceDiagram&#10;    participant SGPI as Cliente SGPI&#10;    participant CONCYTEC as API RENACYT (Principal)&#10;    participant ESPEJO as Espejo CTIVITAE (Failover)&#10;&#10;    SGPI-&gt;&gt;CONCYTEC: POST /actoRegistral/obtenerActosRegistralesActivos/reglamento/{id}&#10;    alt Conexión Exitosa&#10;        CONCYTEC--&gt;&gt;SGPI: 200 OK - Registro JSON&#10;    else Error de Red o SSL&#10;        SGPI-&gt;&gt;ESPEJO: Reintento con Failover: POST /renacyt-backend/...&#10;        ESPEJO--&gt;&gt;SGPI: 200 OK - Registro JSON&#10;    end" id="1" name="image3.png"/>
            <a:graphic>
              <a:graphicData uri="http://schemas.openxmlformats.org/drawingml/2006/picture">
                <pic:pic>
                  <pic:nvPicPr>
                    <pic:cNvPr descr="sequenceDiagram&#10;    participant SGPI as Cliente SGPI&#10;    participant CONCYTEC as API RENACYT (Principal)&#10;    participant ESPEJO as Espejo CTIVITAE (Failover)&#10;&#10;    SGPI-&gt;&gt;CONCYTEC: POST /actoRegistral/obtenerActosRegistralesActivos/reglamento/{id}&#10;    alt Conexión Exitosa&#10;        CONCYTEC--&gt;&gt;SGPI: 200 OK - Registro JSON&#10;    else Error de Red o SSL&#10;        SGPI-&gt;&gt;ESPEJO: Reintento con Failover: POST /renacyt-backend/...&#10;        ESPEJO--&gt;&gt;SGPI: 200 OK - Registro JSON&#10;    end" id="0" name="image3.png"/>
                    <pic:cNvPicPr preferRelativeResize="0"/>
                  </pic:nvPicPr>
                  <pic:blipFill>
                    <a:blip r:embed="rId12"/>
                    <a:srcRect b="0" l="0" r="0" t="0"/>
                    <a:stretch>
                      <a:fillRect/>
                    </a:stretch>
                  </pic:blipFill>
                  <pic:spPr>
                    <a:xfrm>
                      <a:off x="0" y="0"/>
                      <a:ext cx="5309799" cy="2195513"/>
                    </a:xfrm>
                    <a:prstGeom prst="rect"/>
                    <a:ln/>
                  </pic:spPr>
                </pic:pic>
              </a:graphicData>
            </a:graphic>
          </wp:anchor>
        </w:drawing>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Viabilidad de Canal:</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Alta (con consideraciones de red)</w:t>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Mecanismo de Acceso:</w:t>
      </w:r>
      <w:r w:rsidDel="00000000" w:rsidR="00000000" w:rsidRPr="00000000">
        <w:rPr>
          <w:rFonts w:ascii="Times New Roman" w:cs="Times New Roman" w:eastAsia="Times New Roman" w:hAnsi="Times New Roman"/>
          <w:color w:val="1f1f1f"/>
          <w:rtl w:val="0"/>
        </w:rPr>
        <w:t xml:space="preserve"> Ingesta por peticiones HTTP POST estructuradas hacia los microservicios backend del Registro Nacional de Investigadores.</w:t>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Análisis de la Estructura de la API gubernamental:</w:t>
      </w:r>
      <w:r w:rsidDel="00000000" w:rsidR="00000000" w:rsidRPr="00000000">
        <w:rPr>
          <w:rFonts w:ascii="Times New Roman" w:cs="Times New Roman" w:eastAsia="Times New Roman" w:hAnsi="Times New Roman"/>
          <w:color w:val="1f1f1f"/>
          <w:rtl w:val="0"/>
        </w:rPr>
        <w:t xml:space="preserve"> A través de un análisis del flujo de peticiones asíncronas del portal nacional del CONCYTEC, se identificó la API backend que procesa las consultas de investigadores en tiempo real. Esta API pública no requiere claves de acceso (API keys) ni tokens de portador, lo cual simplifica enormemente la interconexión.</w:t>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Arquitectura de Reglamentos:</w:t>
      </w:r>
      <w:r w:rsidDel="00000000" w:rsidR="00000000" w:rsidRPr="00000000">
        <w:rPr>
          <w:rFonts w:ascii="Times New Roman" w:cs="Times New Roman" w:eastAsia="Times New Roman" w:hAnsi="Times New Roman"/>
          <w:color w:val="1f1f1f"/>
          <w:rtl w:val="0"/>
        </w:rPr>
        <w:t xml:space="preserve"> Para recuperar el expediente completo de un investigador, el canal de integración debe efectuar consultas estructuradas iterando dinámicamente entre los códigos que identifican los reglamentos históricos y vigentes de calificación (IDs del 21 al 27, correspondientes a modalidades de evaluación como REGINA, RENEDI, RENEIN y RENEISI).</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Parámetros de Búsqueda Homologados:</w:t>
      </w:r>
      <w:r w:rsidDel="00000000" w:rsidR="00000000" w:rsidRPr="00000000">
        <w:rPr>
          <w:rFonts w:ascii="Times New Roman" w:cs="Times New Roman" w:eastAsia="Times New Roman" w:hAnsi="Times New Roman"/>
          <w:color w:val="1f1f1f"/>
          <w:rtl w:val="0"/>
        </w:rPr>
        <w:t xml:space="preserve"> La API responde de manera determinista a consultas estructuradas que incluyan filtros exactos (DNI, pasaporte, código RENACYT u ORCID) y búsquedas parciales por cadenas de texto (nombres, apellidos o institución de afiliación declarada).</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 Resultados de Latencia y Rendimiento de Canales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 evaluaron las métricas de respuesta de los servidores de destino en horarios laborales y no laborales para estimar la ventana óptima de sincronización del SGPI:</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Fuente de Datos</w:t>
            </w:r>
          </w:p>
        </w:tc>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Protocolo de Canal</w:t>
            </w:r>
          </w:p>
        </w:tc>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Registros Promedio por Consulta</w:t>
            </w:r>
          </w:p>
        </w:tc>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Tiempo Medio de Latencia (Segundos)</w:t>
            </w:r>
          </w:p>
        </w:tc>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Rendimiento de Conexión</w:t>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Portal VRIP</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HTTP HTML Parsing</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9 convocatorias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7.8 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Conexión lenta debido a la carga de assets y Elementor.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Cybertesis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HTTP REST (DSpace 7)</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15 tesis académicas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3.6 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Altamente eficiente; procesamiento puramente JSON.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Proyectos VRIP</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HTTP REST (WP-JSON)</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26 resoluciones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4.2 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Respuesta fluida; soporte nativo de compresión gzip.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RENACYT</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HTTP REST POST</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1 investigador (DNI)</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1.8 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Extremadamente rápido cuando se consulta por llave exacta.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RENACYT</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HTTP REST POST</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50 investigadores (Filtro)</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3.5 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Paginación nativa eficiente.</w:t>
            </w:r>
          </w:p>
        </w:tc>
      </w:tr>
    </w:tbl>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 Hallazgos de Conectividad Críticos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Durante la fase de análisis de los canales de comunicación, se documentaron los siguientes hallazgos de red fundamentales para la arquitectura del SGPI:</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Incompatibilidad de Clientes HTML Tradicionales con SPAs (DSpace 7)</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Un cliente HTTP básico que solo descarga el código fuente HTML original recibirá un archivo de estructura vacía al consultar Cybertesis. Se constató la imperativa necesidad de consumir la API interna subyacente del sistema DSpace 7 para evitar la inclusión de dependencias de renderizado de navegadores pesados.</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Dispersión Regulatoria de Calificaciones en CONCYTEC</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 base de datos de RENACYT no consolida los investigadores bajo una única vista lógica. Los datos de vigencia y nivel académico se encuentran encapsulados en silos correspondientes a cada reglamento histórico de calificación nacional. Para obtener la información vigente de un docente, la estrategia de conexión del SGPI debe interrogar recursivamente los endpoints de los reglamentos del </w:t>
      </w:r>
      <w:r w:rsidDel="00000000" w:rsidR="00000000" w:rsidRPr="00000000">
        <w:rPr>
          <w:rFonts w:ascii="Times New Roman" w:cs="Times New Roman" w:eastAsia="Times New Roman" w:hAnsi="Times New Roman"/>
          <w:b w:val="1"/>
          <w:bCs w:val="1"/>
          <w:color w:val="1f1f1f"/>
          <w:rtl w:val="0"/>
        </w:rPr>
        <w:t xml:space="preserve">21 al 27</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Restricciones SSL en Redes Gubernamentales Peruanas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 identificó que los servidores del CONCYTEC y el Ministerio de Educación en los dominios .gob.pe suelen presentar fallas temporales de configuración en su cadena de confianza de certificados SSL (certificados autofirmados o intermedios ausentes).</w:t>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Impacto en el canal:</w:t>
      </w:r>
      <w:r w:rsidDel="00000000" w:rsidR="00000000" w:rsidRPr="00000000">
        <w:rPr>
          <w:rFonts w:ascii="Times New Roman" w:cs="Times New Roman" w:eastAsia="Times New Roman" w:hAnsi="Times New Roman"/>
          <w:color w:val="1f1f1f"/>
          <w:rtl w:val="0"/>
        </w:rPr>
        <w:t xml:space="preserve"> Una consulta estándar con un cliente HTTP estricto abortará la conexión por un error de handshake SSL.</w:t>
      </w:r>
    </w:p>
    <w:p w:rsidR="00000000" w:rsidDel="00000000" w:rsidP="00000000" w:rsidRDefault="00000000" w:rsidRPr="00000000" w14:paraId="000000B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Mitigación:</w:t>
      </w:r>
      <w:r w:rsidDel="00000000" w:rsidR="00000000" w:rsidRPr="00000000">
        <w:rPr>
          <w:rFonts w:ascii="Times New Roman" w:cs="Times New Roman" w:eastAsia="Times New Roman" w:hAnsi="Times New Roman"/>
          <w:color w:val="1f1f1f"/>
          <w:rtl w:val="0"/>
        </w:rPr>
        <w:t xml:space="preserve"> Es mandatorio configurar el canal de integración con bypass de firma SSL de nivel de transporte (verification=disabled), manteniendo únicamente el cifrado de datos pero permitiendo la confianza en autoridades no validadas localmente para garantizar el uptime de la sincronización.</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 Matriz de Riesgos de Canal y Mitigaciones</w:t>
      </w:r>
    </w:p>
    <w:tbl>
      <w:tblPr>
        <w:tblStyle w:val="Table5"/>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70"/>
        <w:gridCol w:w="2250"/>
        <w:gridCol w:w="1125"/>
        <w:gridCol w:w="1170"/>
        <w:gridCol w:w="1080"/>
        <w:gridCol w:w="2880"/>
        <w:tblGridChange w:id="0">
          <w:tblGrid>
            <w:gridCol w:w="870"/>
            <w:gridCol w:w="2250"/>
            <w:gridCol w:w="1125"/>
            <w:gridCol w:w="1170"/>
            <w:gridCol w:w="1080"/>
            <w:gridCol w:w="2880"/>
          </w:tblGrid>
        </w:tblGridChange>
      </w:tblGrid>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center"/>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0" w:line="240"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ID</w:t>
            </w:r>
          </w:p>
        </w:tc>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center"/>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0" w:line="240"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Evento de Riesgo de Red</w:t>
            </w:r>
          </w:p>
        </w:tc>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0" w:line="240"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Probabilidad</w:t>
            </w:r>
          </w:p>
        </w:tc>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center"/>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0" w:line="240"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Impacto</w:t>
            </w:r>
          </w:p>
        </w:tc>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center"/>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0" w:line="240"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Nivel de Riesgo</w:t>
            </w:r>
          </w:p>
        </w:tc>
        <w:tc>
          <w:tcPr>
            <w:tcBorders>
              <w:top w:color="000000" w:space="0" w:sz="6" w:val="single"/>
              <w:left w:color="000000" w:space="0" w:sz="6" w:val="single"/>
              <w:bottom w:color="000000" w:space="0" w:sz="6" w:val="single"/>
              <w:right w:color="000000" w:space="0" w:sz="6" w:val="single"/>
            </w:tcBorders>
            <w:shd w:fill="0b5394" w:val="clear"/>
            <w:tcMar>
              <w:top w:w="120.0" w:type="dxa"/>
              <w:left w:w="180.0" w:type="dxa"/>
              <w:bottom w:w="120.0" w:type="dxa"/>
              <w:right w:w="180.0" w:type="dxa"/>
            </w:tcMar>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0" w:line="240" w:lineRule="auto"/>
              <w:jc w:val="center"/>
              <w:rPr>
                <w:rFonts w:ascii="Times New Roman" w:cs="Times New Roman" w:eastAsia="Times New Roman" w:hAnsi="Times New Roman"/>
                <w:b w:val="1"/>
                <w:bCs w:val="1"/>
                <w:color w:val="ffffff"/>
                <w:shd w:fill="auto" w:val="clear"/>
              </w:rPr>
            </w:pPr>
            <w:r w:rsidDel="00000000" w:rsidR="00000000" w:rsidRPr="00000000">
              <w:rPr>
                <w:rFonts w:ascii="Times New Roman" w:cs="Times New Roman" w:eastAsia="Times New Roman" w:hAnsi="Times New Roman"/>
                <w:b w:val="1"/>
                <w:bCs w:val="1"/>
                <w:color w:val="ffffff"/>
                <w:shd w:fill="auto" w:val="clear"/>
                <w:rtl w:val="0"/>
              </w:rPr>
              <w:t xml:space="preserve">Estrategia de Mitigación de Infraestructura</w:t>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before="0" w:line="240" w:lineRule="auto"/>
              <w:jc w:val="center"/>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R01</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Rediseño de la interfaz visual del Portal VRIP.</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before="0" w:line="240"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Alta</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before="0" w:line="240"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Medio</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before="0" w:line="240"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Medio</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Desacoplamiento de selectores DOM a un diccionario de variables externo (archivo de configuración persistente config.json).</w:t>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before="0" w:line="240" w:lineRule="auto"/>
              <w:jc w:val="center"/>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R02</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Bloqueo temporal de la IP del SGPI por el WAF del CONCYTEC.</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before="0" w:line="240"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Media</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before="0" w:line="240"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Alto</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before="0" w:line="240"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Medio</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Configuración de pausa fija (Rate Limiting de 1.0 s) entre peticiones consecutivas y rotación programada de firmas de navegador.</w:t>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before="0" w:line="240" w:lineRule="auto"/>
              <w:jc w:val="center"/>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R03</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Inaccesibilidad del dominio principal de RENACYT (renacyt.concytec.gob.pe).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before="0" w:line="240"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Baja</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before="0" w:line="240"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Alto</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before="0" w:line="240"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Medio</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Mecanismo de </w:t>
            </w:r>
            <w:r w:rsidDel="00000000" w:rsidR="00000000" w:rsidRPr="00000000">
              <w:rPr>
                <w:rFonts w:ascii="Times New Roman" w:cs="Times New Roman" w:eastAsia="Times New Roman" w:hAnsi="Times New Roman"/>
                <w:b w:val="1"/>
                <w:bCs w:val="1"/>
                <w:color w:val="1f1f1f"/>
                <w:shd w:fill="auto" w:val="clear"/>
                <w:rtl w:val="0"/>
              </w:rPr>
              <w:t xml:space="preserve">Failover Dinámico de Red</w:t>
            </w:r>
            <w:r w:rsidDel="00000000" w:rsidR="00000000" w:rsidRPr="00000000">
              <w:rPr>
                <w:rFonts w:ascii="Times New Roman" w:cs="Times New Roman" w:eastAsia="Times New Roman" w:hAnsi="Times New Roman"/>
                <w:color w:val="1f1f1f"/>
                <w:shd w:fill="auto" w:val="clear"/>
                <w:rtl w:val="0"/>
              </w:rPr>
              <w:t xml:space="preserve"> apuntando al nodo alternativo espejo ctivitae.concytec.gob.pe.</w:t>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before="0" w:line="240" w:lineRule="auto"/>
              <w:jc w:val="center"/>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R04</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Timeouts prolongados por saturación de ancho de banda del portal UNMSM.</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before="0" w:line="240"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Media</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before="0" w:line="240"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Medio</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before="0" w:line="240" w:lineRule="auto"/>
              <w:jc w:val="center"/>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Medio</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Límite estricto de espera de socket a 15 segundos con un ciclo de tres reintentos con retraso exponencial de red.</w:t>
            </w:r>
          </w:p>
        </w:tc>
      </w:tr>
    </w:tbl>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 Evaluación de Factibilidad por Dimensión de Servicio</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El análisis de conectividad y acceso a las fuentes de datos del SGPI se evalúa bajo tres dimensiones clave:</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9.1 Sostenibilidad Operativa (Calificación: 4.8/5.0) </w:t>
      </w:r>
    </w:p>
    <w:p w:rsidR="00000000" w:rsidDel="00000000" w:rsidP="00000000" w:rsidRDefault="00000000" w:rsidRPr="00000000" w14:paraId="000000D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Bajo Impacto en el Origen:</w:t>
      </w:r>
      <w:r w:rsidDel="00000000" w:rsidR="00000000" w:rsidRPr="00000000">
        <w:rPr>
          <w:rFonts w:ascii="Times New Roman" w:cs="Times New Roman" w:eastAsia="Times New Roman" w:hAnsi="Times New Roman"/>
          <w:color w:val="1f1f1f"/>
          <w:rtl w:val="0"/>
        </w:rPr>
        <w:t xml:space="preserve"> Las solicitudes automatizadas consumen flujos de datos reducidos de los servidores objetivo (especialmente en el caso de las APIs JSON de Cybertesis y WordPress). El impacto es equivalente al de una visita de un usuario único al día, cumpliendo con las directivas de buen ciudadano de la web.</w:t>
      </w:r>
    </w:p>
    <w:p w:rsidR="00000000" w:rsidDel="00000000" w:rsidP="00000000" w:rsidRDefault="00000000" w:rsidRPr="00000000" w14:paraId="000000DF">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Sin Dependencia de Terceros:</w:t>
      </w:r>
      <w:r w:rsidDel="00000000" w:rsidR="00000000" w:rsidRPr="00000000">
        <w:rPr>
          <w:rFonts w:ascii="Times New Roman" w:cs="Times New Roman" w:eastAsia="Times New Roman" w:hAnsi="Times New Roman"/>
          <w:color w:val="1f1f1f"/>
          <w:rtl w:val="0"/>
        </w:rPr>
        <w:t xml:space="preserve"> No se requiere la intervención de administradores externos para dar de alta cuentas o tokens especiales que pudiesen expirar o ser revocados de forma discrecional.</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9.2 Viabilidad de Integración Arquitectónica (Calificación: 4.9/5.0) </w:t>
      </w:r>
    </w:p>
    <w:p w:rsidR="00000000" w:rsidDel="00000000" w:rsidP="00000000" w:rsidRDefault="00000000" w:rsidRPr="00000000" w14:paraId="000000E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Estandarización de Formatos:</w:t>
      </w:r>
      <w:r w:rsidDel="00000000" w:rsidR="00000000" w:rsidRPr="00000000">
        <w:rPr>
          <w:rFonts w:ascii="Times New Roman" w:cs="Times New Roman" w:eastAsia="Times New Roman" w:hAnsi="Times New Roman"/>
          <w:color w:val="1f1f1f"/>
          <w:rtl w:val="0"/>
        </w:rPr>
        <w:t xml:space="preserve"> Tres de las cuatro fuentes de datos son ingestadas nativamente bajo esquemas JSON. Esto simplifica de manera drástica el desarrollo del backend del SGPI, eliminando la necesidad de incorporar complejos procesadores de texto plano.</w:t>
      </w:r>
    </w:p>
    <w:p w:rsidR="00000000" w:rsidDel="00000000" w:rsidP="00000000" w:rsidRDefault="00000000" w:rsidRPr="00000000" w14:paraId="000000E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Facilidad de Sincronización:</w:t>
      </w:r>
      <w:r w:rsidDel="00000000" w:rsidR="00000000" w:rsidRPr="00000000">
        <w:rPr>
          <w:rFonts w:ascii="Times New Roman" w:cs="Times New Roman" w:eastAsia="Times New Roman" w:hAnsi="Times New Roman"/>
          <w:color w:val="1f1f1f"/>
          <w:rtl w:val="0"/>
        </w:rPr>
        <w:t xml:space="preserve"> El acoplamiento a nivel de red es mínimo; el motor del SGPI actúa en modo de solo lectura sobre canales públicos de red estándar (puerto 443 HTTPS).</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9.3 Costo de Conectividad (Calificación: 5.0/5.0) </w:t>
      </w:r>
    </w:p>
    <w:p w:rsidR="00000000" w:rsidDel="00000000" w:rsidP="00000000" w:rsidRDefault="00000000" w:rsidRPr="00000000" w14:paraId="000000E4">
      <w:pPr>
        <w:numPr>
          <w:ilvl w:val="0"/>
          <w:numId w:val="1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Costo Financiero:</w:t>
      </w:r>
      <w:r w:rsidDel="00000000" w:rsidR="00000000" w:rsidRPr="00000000">
        <w:rPr>
          <w:rFonts w:ascii="Times New Roman" w:cs="Times New Roman" w:eastAsia="Times New Roman" w:hAnsi="Times New Roman"/>
          <w:color w:val="1f1f1f"/>
          <w:rtl w:val="0"/>
        </w:rPr>
        <w:t xml:space="preserve"> $0.00 USD. El acceso a la API del CONCYTEC y a los portales web de la UNMSM es gratuito y no requiere contratos de mantenimiento de servicios de comunicación web externos o suscripciones a pasarelas de API corporativas.</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 Esquemas de Datos Disponibles para Ingesta</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El SGPI recibirá flujos de datos normalizados bajo los siguientes modelos lógicos JSON estructurados, hay que tener en cuenta que estas son propuestas, por lo que pueden ser modificados para adecuarse  a las necesidades del sistema:</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10.1 Esquema Propuesto Normalizado de Convocatorias (VRIP)</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Este esquema será extraído desde el canal HTML del VRIP mediante selectores DOM, traduciéndose de un formato de diseño a uno de base de datos: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25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br w:type="textWrapping"/>
              <w:t xml:space="preserve">  "titulo_convocatoria": "Proyectos de Investigación Multidisciplinarios (PMULTI) 2026 para Soluciones de Frontera",</w:t>
              <w:br w:type="textWrapping"/>
              <w:t xml:space="preserve">  "entidad_promotora": "Vicerrectorado de Investigación y Posgrado (VRIP) - UNMSM",</w:t>
              <w:br w:type="textWrapping"/>
              <w:t xml:space="preserve">  "fecha_publicacion_iso": "2026-05-12T00:00:00Z",</w:t>
              <w:br w:type="textWrapping"/>
              <w:t xml:space="preserve">  "fecha_cierre_limite": "2026-07-30T23:59:59Z",</w:t>
              <w:br w:type="textWrapping"/>
              <w:t xml:space="preserve">  "url_bases_pdf": "[https://vrip.unmsm.edu.pe/wp-content/uploads/2026/05/bases-pmulti-2026.pdf](https://vrip.unmsm.edu.pe/wp-content/uploads/2026/05/bases-pmulti-2026.pdf)",</w:t>
              <w:br w:type="textWrapping"/>
              <w:t xml:space="preserve">  "url_cronograma_pdf": "[https://vrip.unmsm.edu.pe/wp-content/uploads/2026/05/crono-pmulti-2026.pdf](https://vrip.unmsm.edu.pe/wp-content/uploads/2026/05/crono-pmulti-2026.pdf)"</w:t>
              <w:br w:type="textWrapping"/>
              <w:t xml:space="preserve">}</w:t>
            </w:r>
          </w:p>
        </w:tc>
      </w:tr>
    </w:tbl>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55"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10.2 Esquema Consolidado de Calificación Científica (RENACYT)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Este esquema se estructurará a partir de la unificación del flujo transaccional de los microservicios de CONCYTEC:</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25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br w:type="textWrapping"/>
              <w:t xml:space="preserve">  "identificador_interno": 45821,</w:t>
              <w:br w:type="textWrapping"/>
              <w:t xml:space="preserve">  "codigo_registro_concytec": "P0045821",</w:t>
              <w:br w:type="textWrapping"/>
              <w:t xml:space="preserve">  "documento_identidad": "07654321",</w:t>
              <w:br w:type="textWrapping"/>
              <w:t xml:space="preserve">  "apellido_paterno": "QUISPE",</w:t>
              <w:br w:type="textWrapping"/>
              <w:t xml:space="preserve">  "apellido_materno": "FLORES",</w:t>
              <w:br w:type="textWrapping"/>
              <w:t xml:space="preserve">  "nombres": "MARIA ELENA",</w:t>
              <w:br w:type="textWrapping"/>
              <w:t xml:space="preserve">  "nombre_completo": "MARIA ELENA QUISPE FLORES",</w:t>
              <w:br w:type="textWrapping"/>
              <w:t xml:space="preserve">  "correo_electronico": "m.quispe@unmsm.edu.pe",</w:t>
              <w:br w:type="textWrapping"/>
              <w:t xml:space="preserve">  "registro_orcid": "0000-0001-9876-5432",</w:t>
              <w:br w:type="textWrapping"/>
              <w:t xml:space="preserve">  "enlace_cti_vitae": "[https://ctivitae.concytec.gob.pe/appDirectorioCTI/VerDatosInvestigador.do?id_investigador=45821](https://ctivitae.concytec.gob.pe/appDirectorioCTI/VerDatosInvestigador.do?id_investigador=45821)",</w:t>
              <w:br w:type="textWrapping"/>
              <w:t xml:space="preserve">  "grupo_calificacion": "REGINA",</w:t>
              <w:br w:type="textWrapping"/>
              <w:t xml:space="preserve">  "nivel_calificacion": "IV",</w:t>
              <w:br w:type="textWrapping"/>
              <w:t xml:space="preserve">  "condicion_actual": "ACTIVO",</w:t>
              <w:br w:type="textWrapping"/>
              <w:t xml:space="preserve">  "afiliacion_institucional_principal": "UNIVERSIDAD NACIONAL MAYOR DE SAN MARCOS",</w:t>
              <w:br w:type="textWrapping"/>
              <w:t xml:space="preserve">  "fecha_inicio_vigencia_calificacion": "2024-01-01",</w:t>
              <w:br w:type="textWrapping"/>
              <w:t xml:space="preserve">  "fecha_fin_vigencia_calificacion": "2027-12-31"</w:t>
              <w:br w:type="textWrapping"/>
              <w:t xml:space="preserve">}</w:t>
            </w:r>
          </w:p>
        </w:tc>
      </w:tr>
    </w:tbl>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5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br w:type="textWrapping"/>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 Protocolos de Verificación de Conectividad</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Para validar el estado de disponibilidad de los canales de comunicación y sus APIs de forma independiente desde cualquier servidor, se pueden emplear comandos de red estándar (curl) que interrogan directamente a los endpoints identificados:</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Verificación de Canal 1: API Cybertesis (DSpace 7)</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Prueba la respuesta y conectividad del microservicio del Repositorio de la UNMSM:</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25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curl -X GET "[https://cybertesis.unmsm.edu.pe/backend/api/discover/search/objects?query=computacion&amp;size=2](https://cybertesis.unmsm.edu.pe/backend/api/discover/search/objects?query=computacion&amp;size=2)" \</w:t>
              <w:br w:type="textWrapping"/>
              <w:t xml:space="preserve">     -H "Accept: application/hal+json" \</w:t>
              <w:br w:type="textWrapping"/>
              <w:t xml:space="preserve">     --verbose</w:t>
            </w:r>
          </w:p>
        </w:tc>
      </w:tr>
    </w:tbl>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55"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Respuesta Esperada:</w:t>
      </w:r>
      <w:r w:rsidDel="00000000" w:rsidR="00000000" w:rsidRPr="00000000">
        <w:rPr>
          <w:rFonts w:ascii="Times New Roman" w:cs="Times New Roman" w:eastAsia="Times New Roman" w:hAnsi="Times New Roman"/>
          <w:color w:val="1f1f1f"/>
          <w:rtl w:val="0"/>
        </w:rPr>
        <w:t xml:space="preserve"> Estado de red HTTP 200 OK con un cuerpo JSON conteniendo la propiedad _embedded.searchResult.objects.</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Verificación de Canal 2: API de Publicaciones de Proyectos del VRIP</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Valida que la WordPress REST API esté habilitada y responda consultas estructuradas: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25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curl -X GET "[https://vrip.unmsm.edu.pe/wp-json/wp/v2/posts?search=proyecto&amp;per_page=1&amp;_fields=id,title,link](https://vrip.unmsm.edu.pe/wp-json/wp/v2/posts?search=proyecto&amp;per_page=1&amp;_fields=id,title,link)" \</w:t>
              <w:br w:type="textWrapping"/>
              <w:t xml:space="preserve">     --verbose</w:t>
            </w:r>
          </w:p>
        </w:tc>
      </w:tr>
    </w:tbl>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Respuesta Esperada:</w:t>
      </w:r>
      <w:r w:rsidDel="00000000" w:rsidR="00000000" w:rsidRPr="00000000">
        <w:rPr>
          <w:rFonts w:ascii="Times New Roman" w:cs="Times New Roman" w:eastAsia="Times New Roman" w:hAnsi="Times New Roman"/>
          <w:color w:val="1f1f1f"/>
          <w:rtl w:val="0"/>
        </w:rPr>
        <w:t xml:space="preserve"> Estado de red HTTP 200 OK con una lista JSON de publicaciones conteniendo campos estructurados de las resoluciones.Verificación de Canal 3: Canal Principal de Búsqueda de Investigadores (CONCYTEC)</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Evalúa el estado del canal de RENACYT utilizando una consulta de ejemplo dirigida al Reglamento de Calificación v3 (ID 23) empleando un DNI de prueba simulado:</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25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curl -X POST "[https://renacyt.concytec.gob.pe/renacyt-backend/actoRegistral/obtenerActosRegistralesActivos/reglamento/23/pagina/1/numeroRegistros/5](https://renacyt.concytec.gob.pe/renacyt-backend/actoRegistral/obtenerActosRegistralesActivos/reglamento/23/pagina/1/numeroRegistros/5)" \</w:t>
              <w:br w:type="textWrapping"/>
              <w:t xml:space="preserve">     -H "Content-Type: application/json" \</w:t>
              <w:br w:type="textWrapping"/>
              <w:t xml:space="preserve">     -d '[{"id": 7, "campo": "a.numero_documento", "valor": "07654321", "operadorBusqueda": "=", "operadorLogico": "and"}]' \</w:t>
              <w:br w:type="textWrapping"/>
              <w:t xml:space="preserve">     --insecure</w:t>
            </w:r>
          </w:p>
        </w:tc>
      </w:tr>
    </w:tbl>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55"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(Nota: El parámetro --insecure es crítico para forzar la confianza ante posibles fallas de firma SSL del certificado estatal de CONCYTEC)</w:t>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Respuesta de Canal Exitosa:</w:t>
      </w:r>
      <w:r w:rsidDel="00000000" w:rsidR="00000000" w:rsidRPr="00000000">
        <w:rPr>
          <w:rFonts w:ascii="Times New Roman" w:cs="Times New Roman" w:eastAsia="Times New Roman" w:hAnsi="Times New Roman"/>
          <w:color w:val="1f1f1f"/>
          <w:rtl w:val="0"/>
        </w:rPr>
        <w:t xml:space="preserve"> Estado de red HTTP 200 OK con estructura JSON con las claves total y data.</w:t>
      </w:r>
    </w:p>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 Estrategia de Sincronización y Mantenimiento de Canales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 el fin de mitigar la naturaleza no documentada de los endpoints analizados, se recomienda al equipo de arquitectura de software de la FISI implementar las siguientes tres directrices en el diseño final del SGPI:</w:t>
      </w:r>
      <w:r w:rsidDel="00000000" w:rsidR="00000000" w:rsidRPr="00000000">
        <w:drawing>
          <wp:anchor allowOverlap="1" behindDoc="0" distB="19050" distT="19050" distL="19050" distR="19050" hidden="0" layoutInCell="1" locked="0" relativeHeight="0" simplePos="0">
            <wp:simplePos x="0" y="0"/>
            <wp:positionH relativeFrom="column">
              <wp:posOffset>1633538</wp:posOffset>
            </wp:positionH>
            <wp:positionV relativeFrom="paragraph">
              <wp:posOffset>645802</wp:posOffset>
            </wp:positionV>
            <wp:extent cx="2674459" cy="4529138"/>
            <wp:effectExtent b="0" l="0" r="0" t="0"/>
            <wp:wrapTopAndBottom distB="19050" distT="19050"/>
            <wp:docPr descr="graph TD&#10;    %% Definición de Estilos&#10;    classDef source fill:#f5f5f5,stroke:#666,stroke-width:2px;&#10;    classDef process fill:#fff3e0,stroke:#ff9800,stroke-width:2px;&#10;    classDef monitor fill:#ffebee,stroke:#f44336,stroke-width:2px;&#10;&#10;    Sources[Fuentes de Datos Externas]:::source&#10;    Ingestion[Capa de Ingesta Automatizada]:::process&#10;    Monitor{¿Consistencia Estructural?}:::monitor&#10;    Alerts[Alertas Administrativas &lt;br/&gt; Email / Slack / Dashboard]:::monitor&#10;&#10;    Sources --&gt;|Sincronización Diaria 02:00 AM| Ingestion&#10;    Ingestion --&gt;|Validación de Esquema| Monitor&#10;    Monitor -- Datos OK --&gt; End((Proceso Finalizado))&#10;    Monitor -- Cambio Detectado --&gt; Alerts" id="7" name="image4.png"/>
            <a:graphic>
              <a:graphicData uri="http://schemas.openxmlformats.org/drawingml/2006/picture">
                <pic:pic>
                  <pic:nvPicPr>
                    <pic:cNvPr descr="graph TD&#10;    %% Definición de Estilos&#10;    classDef source fill:#f5f5f5,stroke:#666,stroke-width:2px;&#10;    classDef process fill:#fff3e0,stroke:#ff9800,stroke-width:2px;&#10;    classDef monitor fill:#ffebee,stroke:#f44336,stroke-width:2px;&#10;&#10;    Sources[Fuentes de Datos Externas]:::source&#10;    Ingestion[Capa de Ingesta Automatizada]:::process&#10;    Monitor{¿Consistencia Estructural?}:::monitor&#10;    Alerts[Alertas Administrativas &lt;br/&gt; Email / Slack / Dashboard]:::monitor&#10;&#10;    Sources --&gt;|Sincronización Diaria 02:00 AM| Ingestion&#10;    Ingestion --&gt;|Validación de Esquema| Monitor&#10;    Monitor -- Datos OK --&gt; End((Proceso Finalizado))&#10;    Monitor -- Cambio Detectado --&gt; Alerts" id="0" name="image4.png"/>
                    <pic:cNvPicPr preferRelativeResize="0"/>
                  </pic:nvPicPr>
                  <pic:blipFill>
                    <a:blip r:embed="rId13"/>
                    <a:srcRect b="0" l="0" r="0" t="0"/>
                    <a:stretch>
                      <a:fillRect/>
                    </a:stretch>
                  </pic:blipFill>
                  <pic:spPr>
                    <a:xfrm>
                      <a:off x="0" y="0"/>
                      <a:ext cx="2674459" cy="4529138"/>
                    </a:xfrm>
                    <a:prstGeom prst="rect"/>
                    <a:ln/>
                  </pic:spPr>
                </pic:pic>
              </a:graphicData>
            </a:graphic>
          </wp:anchor>
        </w:drawing>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55"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Times New Roman" w:cs="Times New Roman" w:eastAsia="Times New Roman" w:hAnsi="Times New Roman"/>
          <w:b w:val="1"/>
          <w:bCs w:val="1"/>
          <w:color w:val="1f1f1f"/>
          <w:rtl w:val="0"/>
        </w:rPr>
        <w:t xml:space="preserve">Planificación de Extracción Fuera de Horario Pico:</w:t>
      </w:r>
      <w:r w:rsidDel="00000000" w:rsidR="00000000" w:rsidRPr="00000000">
        <w:rPr>
          <w:rFonts w:ascii="Times New Roman" w:cs="Times New Roman" w:eastAsia="Times New Roman" w:hAnsi="Times New Roman"/>
          <w:color w:val="1f1f1f"/>
          <w:rtl w:val="0"/>
        </w:rPr>
        <w:t xml:space="preserve"> Ejecutar los procesos de actualización de manera automática y programada una vez al día a las 02:00 AM (UTC-5). Esto garantiza el uso eficiente de la red universitaria y disminuye la posibilidad de timeouts en las peticiones debido a la concurrencia de estudiantes y docentes en los servidores de origen.</w:t>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Times New Roman" w:cs="Times New Roman" w:eastAsia="Times New Roman" w:hAnsi="Times New Roman"/>
          <w:b w:val="1"/>
          <w:bCs w:val="1"/>
          <w:color w:val="1f1f1f"/>
          <w:rtl w:val="0"/>
        </w:rPr>
        <w:t xml:space="preserve">Capa de Alertas de Variación Estructural:</w:t>
      </w:r>
      <w:r w:rsidDel="00000000" w:rsidR="00000000" w:rsidRPr="00000000">
        <w:rPr>
          <w:rFonts w:ascii="Times New Roman" w:cs="Times New Roman" w:eastAsia="Times New Roman" w:hAnsi="Times New Roman"/>
          <w:color w:val="1f1f1f"/>
          <w:rtl w:val="0"/>
        </w:rPr>
        <w:t xml:space="preserve"> Programar un mecanismo que compare la consistencia de los datos recuperados. Si una consulta al VRIP o a Cybertesis devuelve un volumen inusual de campos vacíos (null) o una estructura DOM incoherente, el SGPI debe pausar la sincronización de dicha fuente de manera automática y enviar una alerta por correo electrónico o canal de operaciones para alertar sobre un posible cambio de frontend o actualización de backend del emisor.</w:t>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Times New Roman" w:cs="Times New Roman" w:eastAsia="Times New Roman" w:hAnsi="Times New Roman"/>
          <w:b w:val="1"/>
          <w:bCs w:val="1"/>
          <w:color w:val="1f1f1f"/>
          <w:rtl w:val="0"/>
        </w:rPr>
        <w:t xml:space="preserve">Mecanismo de Desacoplamiento de Redireccionamientos:</w:t>
      </w:r>
      <w:r w:rsidDel="00000000" w:rsidR="00000000" w:rsidRPr="00000000">
        <w:rPr>
          <w:rFonts w:ascii="Times New Roman" w:cs="Times New Roman" w:eastAsia="Times New Roman" w:hAnsi="Times New Roman"/>
          <w:color w:val="1f1f1f"/>
          <w:rtl w:val="0"/>
        </w:rPr>
        <w:t xml:space="preserve"> Las URLs y endpoints mapeados en este reporte nunca deben estar incrustados como constantes (</w:t>
      </w:r>
      <w:r w:rsidDel="00000000" w:rsidR="00000000" w:rsidRPr="00000000">
        <w:rPr>
          <w:rFonts w:ascii="Times New Roman" w:cs="Times New Roman" w:eastAsia="Times New Roman" w:hAnsi="Times New Roman"/>
          <w:i w:val="1"/>
          <w:iCs w:val="1"/>
          <w:color w:val="1f1f1f"/>
          <w:rtl w:val="0"/>
        </w:rPr>
        <w:t xml:space="preserve">hardcoded</w:t>
      </w:r>
      <w:r w:rsidDel="00000000" w:rsidR="00000000" w:rsidRPr="00000000">
        <w:rPr>
          <w:rFonts w:ascii="Times New Roman" w:cs="Times New Roman" w:eastAsia="Times New Roman" w:hAnsi="Times New Roman"/>
          <w:color w:val="1f1f1f"/>
          <w:rtl w:val="0"/>
        </w:rPr>
        <w:t xml:space="preserve">) dentro del código del sistema final del SGPI. Deben ser expuestos en un almacén de configuraciones del servidor para permitir su modificación rápida (por ejemplo, ante el cambio anual de URL de convocatorias del VRIP, como convocatoria-2026 a convocatoria-2027).</w:t>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13. Conclusiones de Viabilidad</w:t>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Times New Roman" w:cs="Times New Roman" w:eastAsia="Times New Roman" w:hAnsi="Times New Roman"/>
          <w:b w:val="1"/>
          <w:bCs w:val="1"/>
          <w:color w:val="1f1f1f"/>
          <w:rtl w:val="0"/>
        </w:rPr>
        <w:t xml:space="preserve">La factibilidad de acceso a la información académica externa está PLENAMENTE CONFIRMADA.</w:t>
      </w:r>
      <w:r w:rsidDel="00000000" w:rsidR="00000000" w:rsidRPr="00000000">
        <w:rPr>
          <w:rFonts w:ascii="Times New Roman" w:cs="Times New Roman" w:eastAsia="Times New Roman" w:hAnsi="Times New Roman"/>
          <w:color w:val="1f1f1f"/>
          <w:rtl w:val="0"/>
        </w:rPr>
        <w:t xml:space="preserve"> El acceso automatizado a tres de las cuatro fuentes prioritarias del SGPI no presenta barreras técnicas restrictivas ni de autenticación.</w:t>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Times New Roman" w:cs="Times New Roman" w:eastAsia="Times New Roman" w:hAnsi="Times New Roman"/>
          <w:b w:val="1"/>
          <w:bCs w:val="1"/>
          <w:color w:val="1f1f1f"/>
          <w:rtl w:val="0"/>
        </w:rPr>
        <w:t xml:space="preserve">La infraestructura basada en APIs REST asíncronas es el mecanismo idóneo.</w:t>
      </w:r>
      <w:r w:rsidDel="00000000" w:rsidR="00000000" w:rsidRPr="00000000">
        <w:rPr>
          <w:rFonts w:ascii="Times New Roman" w:cs="Times New Roman" w:eastAsia="Times New Roman" w:hAnsi="Times New Roman"/>
          <w:color w:val="1f1f1f"/>
          <w:rtl w:val="0"/>
        </w:rPr>
        <w:t xml:space="preserve"> DSpace 7, WordPress y RENACYT Backend ofrecen una conectividad de alto rendimiento, bajo uso de ancho de banda y excelente resistencia a rediseños estéticos de las interfaces de usuario.</w:t>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Times New Roman" w:cs="Times New Roman" w:eastAsia="Times New Roman" w:hAnsi="Times New Roman"/>
          <w:b w:val="1"/>
          <w:bCs w:val="1"/>
          <w:color w:val="1f1f1f"/>
          <w:rtl w:val="0"/>
        </w:rPr>
        <w:t xml:space="preserve">La integración de RENACYT es un pilar estratégico sin costo operativo.</w:t>
      </w:r>
      <w:r w:rsidDel="00000000" w:rsidR="00000000" w:rsidRPr="00000000">
        <w:rPr>
          <w:rFonts w:ascii="Times New Roman" w:cs="Times New Roman" w:eastAsia="Times New Roman" w:hAnsi="Times New Roman"/>
          <w:color w:val="1f1f1f"/>
          <w:rtl w:val="0"/>
        </w:rPr>
        <w:t xml:space="preserve"> El análisis demostró que el padrón de investigadores de CONCYTEC se encuentra expuesto para consultas de libre acceso. Su incorporación en el SGPI proveerá un servicio crítico de control de vigencia científica para el cuerpo docente sin dependencias comerciales.</w:t>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Times New Roman" w:cs="Times New Roman" w:eastAsia="Times New Roman" w:hAnsi="Times New Roman"/>
          <w:b w:val="1"/>
          <w:bCs w:val="1"/>
          <w:color w:val="1f1f1f"/>
          <w:rtl w:val="0"/>
        </w:rPr>
        <w:t xml:space="preserve">El canal de convocatorias del VRIP es el eslabón de conectividad más sensible.</w:t>
      </w:r>
      <w:r w:rsidDel="00000000" w:rsidR="00000000" w:rsidRPr="00000000">
        <w:rPr>
          <w:rFonts w:ascii="Times New Roman" w:cs="Times New Roman" w:eastAsia="Times New Roman" w:hAnsi="Times New Roman"/>
          <w:color w:val="1f1f1f"/>
          <w:rtl w:val="0"/>
        </w:rPr>
        <w:t xml:space="preserve"> Debido al uso del constructor Elementor y la ausencia de APIs formales de convocatorias vigentes, requerirá un monitoreo de consistencia periódica estructural cada semestre académico.</w:t>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Times New Roman" w:cs="Times New Roman" w:eastAsia="Times New Roman" w:hAnsi="Times New Roman"/>
          <w:b w:val="1"/>
          <w:bCs w:val="1"/>
          <w:color w:val="1f1f1f"/>
          <w:rtl w:val="0"/>
        </w:rPr>
        <w:t xml:space="preserve">Se debe consolidar una alternativa convencional para el RAIS.</w:t>
      </w:r>
      <w:r w:rsidDel="00000000" w:rsidR="00000000" w:rsidRPr="00000000">
        <w:rPr>
          <w:rFonts w:ascii="Times New Roman" w:cs="Times New Roman" w:eastAsia="Times New Roman" w:hAnsi="Times New Roman"/>
          <w:color w:val="1f1f1f"/>
          <w:rtl w:val="0"/>
        </w:rPr>
        <w:t xml:space="preserve"> Al estar protegido bajo el SSO de la universidad y protocolos de sesión de sesión privada, la conectividad automática por scraping no es viable para este portal. Se concluye que se requiere un canal de comunicación formal interfacultades para la obtención segura de dichos registros en formato de lote de datos (</w:t>
      </w:r>
      <w:r w:rsidDel="00000000" w:rsidR="00000000" w:rsidRPr="00000000">
        <w:rPr>
          <w:rFonts w:ascii="Times New Roman" w:cs="Times New Roman" w:eastAsia="Times New Roman" w:hAnsi="Times New Roman"/>
          <w:i w:val="1"/>
          <w:iCs w:val="1"/>
          <w:color w:val="1f1f1f"/>
          <w:rtl w:val="0"/>
        </w:rPr>
        <w:t xml:space="preserve">data batch</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i w:val="1"/>
          <w:iCs w:val="1"/>
          <w:color w:val="1f1f1f"/>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color w:val="1f1f1f"/>
        </w:rPr>
      </w:pPr>
      <w:r w:rsidDel="00000000" w:rsidR="00000000" w:rsidRPr="00000000">
        <w:rPr>
          <w:rtl w:val="0"/>
        </w:rPr>
      </w:r>
    </w:p>
    <w:sectPr>
      <w:headerReference r:id="rId14"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widowControl w:val="1"/>
      <w:spacing w:line="276" w:lineRule="auto"/>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109.98046875" w:hRule="atLeast"/>
        <w:tblHeader w:val="1"/>
      </w:trPr>
      <w:tc>
        <w:tcPr>
          <w:shd w:fill="9fc5e8" w:val="clear"/>
          <w:tcMar>
            <w:top w:w="100.0" w:type="dxa"/>
            <w:left w:w="100.0" w:type="dxa"/>
            <w:bottom w:w="100.0" w:type="dxa"/>
            <w:right w:w="100.0" w:type="dxa"/>
          </w:tcMar>
          <w:vAlign w:val="top"/>
        </w:tcPr>
        <w:p w:rsidR="00000000" w:rsidDel="00000000" w:rsidP="00000000" w:rsidRDefault="00000000" w:rsidRPr="00000000" w14:paraId="0000011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 de Gestión de Proyectos de Investigación (SGPI)</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2">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1.0</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Documento de Reporte de Viabilidad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4">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16/05/2026</w:t>
          </w:r>
        </w:p>
      </w:tc>
    </w:tr>
  </w:tbl>
  <w:p w:rsidR="00000000" w:rsidDel="00000000" w:rsidP="00000000" w:rsidRDefault="00000000" w:rsidRPr="00000000" w14:paraId="00000115">
    <w:pPr>
      <w:widowControl w:val="1"/>
      <w:spacing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