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right"/>
        <w:rPr>
          <w:rFonts w:ascii="Times New Roman" w:cs="Times New Roman" w:eastAsia="Times New Roman" w:hAnsi="Times New Roman"/>
          <w:color w:val="1f1f1f"/>
          <w:sz w:val="36"/>
          <w:szCs w:val="36"/>
        </w:rPr>
      </w:pPr>
      <w:r w:rsidDel="00000000" w:rsidR="00000000" w:rsidRPr="00000000">
        <w:rPr>
          <w:rFonts w:ascii="Times New Roman" w:cs="Times New Roman" w:eastAsia="Times New Roman" w:hAnsi="Times New Roman"/>
          <w:color w:val="1f1f1f"/>
          <w:sz w:val="36"/>
          <w:szCs w:val="36"/>
          <w:rtl w:val="0"/>
        </w:rPr>
        <w:t xml:space="preserve">Reporte de Pruebas Backend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jc w:val="right"/>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Sistema de Gestión de Proyectos de Investigación </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jc w:val="right"/>
        <w:rPr>
          <w:rFonts w:ascii="Times New Roman" w:cs="Times New Roman" w:eastAsia="Times New Roman" w:hAnsi="Times New Roman"/>
          <w:color w:val="1f1f1f"/>
          <w:sz w:val="36"/>
          <w:szCs w:val="36"/>
        </w:rPr>
      </w:pPr>
      <w:r w:rsidDel="00000000" w:rsidR="00000000" w:rsidRPr="00000000">
        <w:rPr>
          <w:rFonts w:ascii="Times New Roman" w:cs="Times New Roman" w:eastAsia="Times New Roman" w:hAnsi="Times New Roman"/>
          <w:color w:val="1f1f1f"/>
          <w:sz w:val="36"/>
          <w:szCs w:val="36"/>
          <w:rtl w:val="0"/>
        </w:rPr>
        <w:t xml:space="preserve">Versión 1.0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8">
      <w:pPr>
        <w:pStyle w:val="Heading2"/>
        <w:spacing w:after="120" w:before="0" w:line="275.9999942779541" w:lineRule="auto"/>
        <w:jc w:val="right"/>
        <w:rPr>
          <w:rFonts w:ascii="Times New Roman" w:cs="Times New Roman" w:eastAsia="Times New Roman" w:hAnsi="Times New Roman"/>
        </w:rPr>
      </w:pPr>
      <w:bookmarkStart w:colFirst="0" w:colLast="0" w:name="_cl8aq2g8giji" w:id="0"/>
      <w:bookmarkEnd w:id="0"/>
      <w:r w:rsidDel="00000000" w:rsidR="00000000" w:rsidRPr="00000000">
        <w:rPr>
          <w:rFonts w:ascii="Times New Roman" w:cs="Times New Roman" w:eastAsia="Times New Roman" w:hAnsi="Times New Roman"/>
          <w:rtl w:val="0"/>
        </w:rPr>
        <w:t xml:space="preserve">Historial de Revisiones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Fecha</w:t>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Versión</w:t>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Descripción</w:t>
            </w:r>
          </w:p>
        </w:tc>
        <w:tc>
          <w:tcPr>
            <w:tcBorders>
              <w:top w:color="000000" w:space="0" w:sz="6" w:val="single"/>
              <w:left w:color="000000" w:space="0" w:sz="6" w:val="single"/>
              <w:bottom w:color="000000" w:space="0" w:sz="6" w:val="single"/>
              <w:right w:color="000000"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shd w:fill="auto" w:val="clear"/>
              </w:rPr>
            </w:pPr>
            <w:r w:rsidDel="00000000" w:rsidR="00000000" w:rsidRPr="00000000">
              <w:rPr>
                <w:rFonts w:ascii="Times New Roman" w:cs="Times New Roman" w:eastAsia="Times New Roman" w:hAnsi="Times New Roman"/>
                <w:b w:val="1"/>
                <w:bCs w:val="1"/>
                <w:color w:val="1f1f1f"/>
                <w:shd w:fill="auto" w:val="clear"/>
                <w:rtl w:val="0"/>
              </w:rPr>
              <w:t xml:space="preserve">Autor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w:t>
            </w:r>
            <w:r w:rsidDel="00000000" w:rsidR="00000000" w:rsidRPr="00000000">
              <w:rPr>
                <w:rFonts w:ascii="Times New Roman" w:cs="Times New Roman" w:eastAsia="Times New Roman" w:hAnsi="Times New Roman"/>
                <w:color w:val="1f1f1f"/>
                <w:rtl w:val="0"/>
              </w:rPr>
              <w:t xml:space="preserve">6</w:t>
            </w:r>
            <w:r w:rsidDel="00000000" w:rsidR="00000000" w:rsidRPr="00000000">
              <w:rPr>
                <w:rFonts w:ascii="Times New Roman" w:cs="Times New Roman" w:eastAsia="Times New Roman" w:hAnsi="Times New Roman"/>
                <w:color w:val="1f1f1f"/>
                <w:shd w:fill="auto" w:val="clear"/>
                <w:rtl w:val="0"/>
              </w:rPr>
              <w:t xml:space="preserve">/0</w:t>
            </w:r>
            <w:r w:rsidDel="00000000" w:rsidR="00000000" w:rsidRPr="00000000">
              <w:rPr>
                <w:rFonts w:ascii="Times New Roman" w:cs="Times New Roman" w:eastAsia="Times New Roman" w:hAnsi="Times New Roman"/>
                <w:color w:val="1f1f1f"/>
                <w:rtl w:val="0"/>
              </w:rPr>
              <w:t xml:space="preserve">6</w:t>
            </w:r>
            <w:r w:rsidDel="00000000" w:rsidR="00000000" w:rsidRPr="00000000">
              <w:rPr>
                <w:rFonts w:ascii="Times New Roman" w:cs="Times New Roman" w:eastAsia="Times New Roman" w:hAnsi="Times New Roman"/>
                <w:color w:val="1f1f1f"/>
                <w:shd w:fill="auto" w:val="clear"/>
                <w:rtl w:val="0"/>
              </w:rPr>
              <w:t xml:space="preserve">/2026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Creación </w:t>
            </w:r>
            <w:r w:rsidDel="00000000" w:rsidR="00000000" w:rsidRPr="00000000">
              <w:rPr>
                <w:rFonts w:ascii="Times New Roman" w:cs="Times New Roman" w:eastAsia="Times New Roman" w:hAnsi="Times New Roman"/>
                <w:color w:val="1f1f1f"/>
                <w:rtl w:val="0"/>
              </w:rPr>
              <w:t xml:space="preserve">del documento de Reporte de Pruebas 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shd w:fill="auto" w:val="clear"/>
              </w:rPr>
            </w:pPr>
            <w:r w:rsidDel="00000000" w:rsidR="00000000" w:rsidRPr="00000000">
              <w:rPr>
                <w:rFonts w:ascii="Times New Roman" w:cs="Times New Roman" w:eastAsia="Times New Roman" w:hAnsi="Times New Roman"/>
                <w:color w:val="1f1f1f"/>
                <w:shd w:fill="auto" w:val="clear"/>
                <w:rtl w:val="0"/>
              </w:rPr>
              <w:t xml:space="preserve">Axel Cueva (Analista QA / Tester)</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39">
      <w:pPr>
        <w:pStyle w:val="Heading2"/>
        <w:spacing w:after="120" w:before="120" w:line="275.9999942779541" w:lineRule="auto"/>
        <w:jc w:val="right"/>
        <w:rPr>
          <w:rFonts w:ascii="Times New Roman" w:cs="Times New Roman" w:eastAsia="Times New Roman" w:hAnsi="Times New Roman"/>
        </w:rPr>
      </w:pPr>
      <w:bookmarkStart w:colFirst="0" w:colLast="0" w:name="_9x3ci4x24t07" w:id="1"/>
      <w:bookmarkEnd w:id="1"/>
      <w:r w:rsidDel="00000000" w:rsidR="00000000" w:rsidRPr="00000000">
        <w:rPr>
          <w:rFonts w:ascii="Times New Roman" w:cs="Times New Roman" w:eastAsia="Times New Roman" w:hAnsi="Times New Roman"/>
          <w:rtl w:val="0"/>
        </w:rPr>
        <w:t xml:space="preserve">Tabla de Contenido</w:t>
      </w:r>
    </w:p>
    <w:sdt>
      <w:sdtPr>
        <w:id w:val="-1896677032"/>
        <w:docPartObj>
          <w:docPartGallery w:val="Table of Contents"/>
          <w:docPartUnique w:val="1"/>
        </w:docPartObj>
      </w:sdtPr>
      <w:sdtContent>
        <w:p w:rsidR="00000000" w:rsidDel="00000000" w:rsidP="00000000" w:rsidRDefault="00000000" w:rsidRPr="00000000" w14:paraId="0000003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Reporte de Pruebas Backend</w:t>
              <w:tab/>
              <w:t xml:space="preserve">1</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Sistema de Gestión de Proyectos de Investigación</w:t>
              <w:tab/>
              <w:t xml:space="preserve">1</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Versión 1.0</w:t>
              <w:tab/>
              <w:t xml:space="preserve">1</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8aq2g8gij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Historial de Revisiones</w:t>
              <w:tab/>
              <w:t xml:space="preserve">2</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3ci4x24t0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Tabla de Contenido</w:t>
              <w:tab/>
              <w:t xml:space="preserve">3</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0wn7sp47y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aa8q5b8xr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Entorno de Ejecución</w:t>
              <w:tab/>
              <w:t xml:space="preserve">4</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jvv8yovbj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Casos de Prueba Críticos Analizados</w:t>
              <w:tab/>
              <w:t xml:space="preserve">4</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pae5rzh9f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Hallazgos y Defectos Documentados</w:t>
              <w:tab/>
              <w:t xml:space="preserve">5</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1qjbjve61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Conclusión y Dictamen Final</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Times New Roman" w:cs="Times New Roman" w:eastAsia="Times New Roman" w:hAnsi="Times New Roman"/>
          <w:color w:val="0b57d0"/>
          <w:u w:val="singl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8">
      <w:pPr>
        <w:pStyle w:val="Heading2"/>
        <w:spacing w:after="120" w:before="480" w:line="276" w:lineRule="auto"/>
        <w:rPr>
          <w:rFonts w:ascii="Times New Roman" w:cs="Times New Roman" w:eastAsia="Times New Roman" w:hAnsi="Times New Roman"/>
        </w:rPr>
      </w:pPr>
      <w:bookmarkStart w:colFirst="0" w:colLast="0" w:name="_z90wn7sp47yz" w:id="2"/>
      <w:bookmarkEnd w:id="2"/>
      <w:r w:rsidDel="00000000" w:rsidR="00000000" w:rsidRPr="00000000">
        <w:rPr>
          <w:rFonts w:ascii="Times New Roman" w:cs="Times New Roman" w:eastAsia="Times New Roman" w:hAnsi="Times New Roman"/>
          <w:rtl w:val="0"/>
        </w:rPr>
        <w:t xml:space="preserve">1. Resumen Ejecutivo</w:t>
      </w:r>
    </w:p>
    <w:p w:rsidR="00000000" w:rsidDel="00000000" w:rsidP="00000000" w:rsidRDefault="00000000" w:rsidRPr="00000000" w14:paraId="00000059">
      <w:pPr>
        <w:spacing w:after="20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 ejecutó exitosamente el conjunto de pruebas automatizadas contra los servicios Backend del SGPI (FastAPI y Node.js/Express). Utilizando una colección generada y automatizada con Postman Collection Runner, se evaluaron un total de 40 endpoints divididos en 10 módulos principales, disparando 138 asertos de prueba. La tasa de éxito general de las APIs es del 99.2% (137 pruebas aprobadas y 1 fallida). El único fallo encontrado corresponde a una vulnerabilidad crítica de seguridad (Control de Acceso) que fue reportada de inmediato.</w:t>
      </w:r>
    </w:p>
    <w:p w:rsidR="00000000" w:rsidDel="00000000" w:rsidP="00000000" w:rsidRDefault="00000000" w:rsidRPr="00000000" w14:paraId="0000005A">
      <w:pPr>
        <w:pStyle w:val="Heading2"/>
        <w:spacing w:after="120" w:before="480" w:line="276" w:lineRule="auto"/>
        <w:rPr>
          <w:rFonts w:ascii="Times New Roman" w:cs="Times New Roman" w:eastAsia="Times New Roman" w:hAnsi="Times New Roman"/>
        </w:rPr>
      </w:pPr>
      <w:bookmarkStart w:colFirst="0" w:colLast="0" w:name="_b3aa8q5b8xry" w:id="3"/>
      <w:bookmarkEnd w:id="3"/>
      <w:r w:rsidDel="00000000" w:rsidR="00000000" w:rsidRPr="00000000">
        <w:rPr>
          <w:rFonts w:ascii="Times New Roman" w:cs="Times New Roman" w:eastAsia="Times New Roman" w:hAnsi="Times New Roman"/>
          <w:rtl w:val="0"/>
        </w:rPr>
        <w:t xml:space="preserve">2. Entorno de Ejecución</w:t>
      </w:r>
    </w:p>
    <w:p w:rsidR="00000000" w:rsidDel="00000000" w:rsidP="00000000" w:rsidRDefault="00000000" w:rsidRPr="00000000" w14:paraId="0000005B">
      <w:pPr>
        <w:spacing w:after="20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Las pruebas se ejecutaron bajo el siguiente entorno tecnológico configurado en la colección:</w:t>
        <w:br w:type="textWrapping"/>
        <w:t xml:space="preserve"> • Core REST API (FastAPI): http://localhost:8000</w:t>
        <w:br w:type="textWrapping"/>
        <w:t xml:space="preserve"> • Auth Service (Node.js/MAAPI): http://localhost:3000</w:t>
        <w:br w:type="textWrapping"/>
        <w:t xml:space="preserve"> • Manejo de Tokens: Re-autenticación asíncrona automatizada (Pre-request Script en Postman)</w:t>
        <w:br w:type="textWrapping"/>
        <w:t xml:space="preserve"> • Base de Datos: Conectado y verificado con entorno de Staging (Supabase).</w:t>
      </w:r>
    </w:p>
    <w:p w:rsidR="00000000" w:rsidDel="00000000" w:rsidP="00000000" w:rsidRDefault="00000000" w:rsidRPr="00000000" w14:paraId="0000005C">
      <w:pPr>
        <w:pStyle w:val="Heading2"/>
        <w:spacing w:after="120" w:before="480" w:line="276" w:lineRule="auto"/>
        <w:rPr>
          <w:rFonts w:ascii="Times New Roman" w:cs="Times New Roman" w:eastAsia="Times New Roman" w:hAnsi="Times New Roman"/>
        </w:rPr>
      </w:pPr>
      <w:bookmarkStart w:colFirst="0" w:colLast="0" w:name="_3njvv8yovbj9" w:id="4"/>
      <w:bookmarkEnd w:id="4"/>
      <w:r w:rsidDel="00000000" w:rsidR="00000000" w:rsidRPr="00000000">
        <w:rPr>
          <w:rFonts w:ascii="Times New Roman" w:cs="Times New Roman" w:eastAsia="Times New Roman" w:hAnsi="Times New Roman"/>
          <w:rtl w:val="0"/>
        </w:rPr>
        <w:t xml:space="preserve">3. Casos de Prueba Críticos Analizados</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970"/>
        <w:gridCol w:w="2340"/>
        <w:gridCol w:w="1620"/>
        <w:tblGridChange w:id="0">
          <w:tblGrid>
            <w:gridCol w:w="1965"/>
            <w:gridCol w:w="2970"/>
            <w:gridCol w:w="2340"/>
            <w:gridCol w:w="162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ID Prueba / Módulo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Endpoint &amp; Escenario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Resultado Obtenido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Estado</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PB-01</w:t>
              <w:br w:type="textWrapping"/>
              <w:t xml:space="preserve"> Configuración (Seguridad)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PUT /api/v1/configuracion/{clave}</w:t>
              <w:br w:type="textWrapping"/>
              <w:t xml:space="preserve"> Validar que rol "Consulta" reciba error 403 al intentar editar parámetros.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200 OK. El sistema permitió modificar la variable SISTEMA_NOMBRE y retornó el registro actualizado.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line="276"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FALLÓ ❌</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PB-02</w:t>
              <w:br w:type="textWrapping"/>
              <w:t xml:space="preserve"> Ingesta (Excel RAIS)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POST /api/v1/import/excel</w:t>
              <w:br w:type="textWrapping"/>
              <w:t xml:space="preserve"> Cargar Excel RAIS y validar inicio del proceso asíncrono.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202 Accepted / 200 OK. La API respondió correctamente retornando un "job_id" (24adac94-...) para el procesamiento en background.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line="276"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PASÓ ✅</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PB-03</w:t>
              <w:br w:type="textWrapping"/>
              <w:t xml:space="preserve"> Exportadores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POST /api/v1/reports/export/excel</w:t>
              <w:br w:type="textWrapping"/>
              <w:t xml:space="preserve"> Descargar reporte en Excel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200 OK. El servidor retornó correctamente un archivo Excel en formato binario (PK/ZIP 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line="276"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PASÓ ✅</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PB-04</w:t>
              <w:br w:type="textWrapping"/>
              <w:t xml:space="preserve"> Health Check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GET /health</w:t>
              <w:br w:type="textWrapping"/>
              <w:t xml:space="preserve"> Verificar estado del servidor y DB.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200 OK. JSON confirmando {"status": "ok", "database": "connected"}.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line="276"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PASÓ ✅</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PB-05</w:t>
              <w:br w:type="textWrapping"/>
              <w:t xml:space="preserve"> Collection Runner Global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Automated Execution (40 Endpoints)</w:t>
              <w:br w:type="textWrapping"/>
              <w:t xml:space="preserve"> Validar funcionalidad general de todos los módulos.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138 assertions evaluadas en total. 137 assertions exitosas en verificación de Status Codes, Estructura JSON y validación de tipos de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line="276"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PASÓ ✅</w:t>
            </w:r>
          </w:p>
        </w:tc>
      </w:tr>
    </w:tbl>
    <w:p w:rsidR="00000000" w:rsidDel="00000000" w:rsidP="00000000" w:rsidRDefault="00000000" w:rsidRPr="00000000" w14:paraId="00000075">
      <w:pPr>
        <w:pStyle w:val="Heading2"/>
        <w:spacing w:after="120" w:before="480" w:line="276" w:lineRule="auto"/>
        <w:rPr>
          <w:rFonts w:ascii="Times New Roman" w:cs="Times New Roman" w:eastAsia="Times New Roman" w:hAnsi="Times New Roman"/>
        </w:rPr>
      </w:pPr>
      <w:bookmarkStart w:colFirst="0" w:colLast="0" w:name="_erpae5rzh9f1" w:id="5"/>
      <w:bookmarkEnd w:id="5"/>
      <w:r w:rsidDel="00000000" w:rsidR="00000000" w:rsidRPr="00000000">
        <w:rPr>
          <w:rFonts w:ascii="Times New Roman" w:cs="Times New Roman" w:eastAsia="Times New Roman" w:hAnsi="Times New Roman"/>
          <w:rtl w:val="0"/>
        </w:rPr>
        <w:t xml:space="preserve">4. Hallazgos y Defectos Documentados</w:t>
      </w:r>
    </w:p>
    <w:p w:rsidR="00000000" w:rsidDel="00000000" w:rsidP="00000000" w:rsidRDefault="00000000" w:rsidRPr="00000000" w14:paraId="00000076">
      <w:pPr>
        <w:spacing w:after="20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 encontró y documentó el siguiente defecto de nivel crítico durante las pruebas de integración:</w:t>
      </w:r>
    </w:p>
    <w:p w:rsidR="00000000" w:rsidDel="00000000" w:rsidP="00000000" w:rsidRDefault="00000000" w:rsidRPr="00000000" w14:paraId="00000077">
      <w:pPr>
        <w:spacing w:after="20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Defecto PB-01 (Vulnerabilidad de Seguridad RBAC):</w:t>
        <w:br w:type="textWrapping"/>
        <w:t xml:space="preserve"> </w:t>
      </w:r>
      <w:r w:rsidDel="00000000" w:rsidR="00000000" w:rsidRPr="00000000">
        <w:rPr>
          <w:rFonts w:ascii="Times New Roman" w:cs="Times New Roman" w:eastAsia="Times New Roman" w:hAnsi="Times New Roman"/>
          <w:color w:val="1f1f1f"/>
          <w:rtl w:val="0"/>
        </w:rPr>
        <w:t xml:space="preserve">Al ejecutar la prueba de configuración global con un usuario que tiene el rol_sistema "Consulta" (email: test@unmsm.edu.pe), el endpoint PUT /api/v1/configuracion/SISTEMA_NOMBRE devolvió un Status 200 OK, permitiendo procesar la solicitud en lugar de denegar el acceso con un 403 Forbidden. Esto significa que no hay control de acceso basado en roles en esta ruta, permitiendo a usuarios no autorizados cambiar parámetros del sistema. El hallazgo se registró formalmente en GitHub Issues.</w:t>
      </w:r>
    </w:p>
    <w:p w:rsidR="00000000" w:rsidDel="00000000" w:rsidP="00000000" w:rsidRDefault="00000000" w:rsidRPr="00000000" w14:paraId="00000078">
      <w:pPr>
        <w:pStyle w:val="Heading2"/>
        <w:spacing w:after="120" w:before="480" w:line="276" w:lineRule="auto"/>
        <w:rPr>
          <w:rFonts w:ascii="Times New Roman" w:cs="Times New Roman" w:eastAsia="Times New Roman" w:hAnsi="Times New Roman"/>
        </w:rPr>
      </w:pPr>
      <w:bookmarkStart w:colFirst="0" w:colLast="0" w:name="_t01qjbjve613" w:id="6"/>
      <w:bookmarkEnd w:id="6"/>
      <w:r w:rsidDel="00000000" w:rsidR="00000000" w:rsidRPr="00000000">
        <w:rPr>
          <w:rFonts w:ascii="Times New Roman" w:cs="Times New Roman" w:eastAsia="Times New Roman" w:hAnsi="Times New Roman"/>
          <w:rtl w:val="0"/>
        </w:rPr>
        <w:t xml:space="preserve">5. Conclusión y Dictamen Final</w:t>
      </w:r>
    </w:p>
    <w:p w:rsidR="00000000" w:rsidDel="00000000" w:rsidP="00000000" w:rsidRDefault="00000000" w:rsidRPr="00000000" w14:paraId="00000079">
      <w:pPr>
        <w:spacing w:after="200"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Dictamen Final: APROBADO CON OBSERVACIONES</w:t>
        <w:br w:type="textWrapping"/>
        <w:t xml:space="preserve"> </w:t>
      </w:r>
      <w:r w:rsidDel="00000000" w:rsidR="00000000" w:rsidRPr="00000000">
        <w:rPr>
          <w:rFonts w:ascii="Times New Roman" w:cs="Times New Roman" w:eastAsia="Times New Roman" w:hAnsi="Times New Roman"/>
          <w:color w:val="1f1f1f"/>
          <w:rtl w:val="0"/>
        </w:rPr>
        <w:t xml:space="preserve">El backend desarrollado demuestra ser altamente estable, resiliente y estructurado. Los procesos asíncronos (como la carga de Excel en background y la generación de binarios de exportación) funcionan según las especificaciones técnicas del SGPI-PP. No obstante, la vulnerabilidad crítica detectada en el control de accesos bloquea la certificación de seguridad final, por lo que el equipo de desarrollo debe implementar los validadores ("guards" de roles) en los endpoints críticos previo a salir a Producción.</w:t>
      </w:r>
    </w:p>
    <w:p w:rsidR="00000000" w:rsidDel="00000000" w:rsidP="00000000" w:rsidRDefault="00000000" w:rsidRPr="00000000" w14:paraId="0000007A">
      <w:pPr>
        <w:spacing w:after="240" w:before="240" w:line="276" w:lineRule="auto"/>
        <w:rPr>
          <w:rFonts w:ascii="Times New Roman" w:cs="Times New Roman" w:eastAsia="Times New Roman" w:hAnsi="Times New Roman"/>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