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Discovery — Facturación Adquiriente a la Nube</w:t>
      </w:r>
    </w:p>
    <w:p>
      <w:r>
        <w:rPr>
          <w:b/>
        </w:rPr>
        <w:t>Veredicto: Go  ·  Completitud: 100.0%  ·  Brechas: 0</w:t>
      </w:r>
    </w:p>
    <w:p>
      <w:pPr>
        <w:pStyle w:val="Heading2"/>
      </w:pPr>
      <w:r>
        <w:t>Evaluación por bloque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Completitud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t>Negocio / Caso de uso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Personas / Roles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Fuentes y datos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Técnico / Habilitación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Hipótesis y valor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Riesgos y factibilidad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</w:tbl>
    <w:p>
      <w:pPr>
        <w:pStyle w:val="Heading1"/>
      </w:pPr>
      <w:r>
        <w:t>Narrativa del Discovery</w:t>
      </w:r>
    </w:p>
    <w:p>
      <w:pPr>
        <w:pStyle w:val="Heading3"/>
      </w:pPr>
      <w:r>
        <w:t>Contexto y problema de negocio</w:t>
      </w:r>
    </w:p>
    <w:p>
      <w:r>
        <w:t>El área de Adquirencia depende hoy de procesos manuales en Excel para construir la facturación</w:t>
      </w:r>
    </w:p>
    <w:p>
      <w:r>
        <w:t>adquiriente, lo que consume tiempo y es propenso a errores [E002]. No existe reportería diaria ni</w:t>
      </w:r>
    </w:p>
    <w:p>
      <w:r>
        <w:t>capacidad de análisis self-service para Finanzas [E002].</w:t>
      </w:r>
    </w:p>
    <w:p>
      <w:pPr>
        <w:pStyle w:val="Heading3"/>
      </w:pPr>
      <w:r>
        <w:t>Proceso actual (as-is)</w:t>
      </w:r>
    </w:p>
    <w:p>
      <w:r>
        <w:t>La información se extrae manualmente desde las fuentes on-premise y se consolida en hojas de cálculo.</w:t>
      </w:r>
    </w:p>
    <w:p>
      <w:r>
        <w:t>Los plazos de liquidación se calculan con un join entre transacciones y el catálogo de comercios por</w:t>
      </w:r>
    </w:p>
    <w:p>
      <w:r>
        <w:t>fecha de corte, ejecutado de forma manual [E003 seg-006].</w:t>
      </w:r>
    </w:p>
    <w:p>
      <w:pPr>
        <w:pStyle w:val="Heading3"/>
      </w:pPr>
      <w:r>
        <w:t>Proceso futuro (to-be)</w:t>
      </w:r>
    </w:p>
    <w:p>
      <w:r>
        <w:t>Se habilita una réplica no transaccional (SQLREPL02) para no bloquear producción; Azure Data Factory</w:t>
      </w:r>
    </w:p>
    <w:p>
      <w:r>
        <w:t>lee de la réplica y carga el lakehouse en capas Medallion (Bronce → Plata → Oro), desde donde Power BI</w:t>
      </w:r>
    </w:p>
    <w:p>
      <w:r>
        <w:t>consume el dato diario [E003 seg-003, seg-004].</w:t>
      </w:r>
    </w:p>
    <w:p>
      <w:pPr>
        <w:pStyle w:val="Heading3"/>
      </w:pPr>
      <w:r>
        <w:t>Riesgos</w:t>
      </w:r>
    </w:p>
    <w:p>
      <w:r>
        <w:t>El principal riesgo es generar bloqueos en producción al leer la tabla transaccional; se mitiga con la</w:t>
      </w:r>
    </w:p>
    <w:p>
      <w:r>
        <w:t>réplica [E003]. Existe además un conflicto de volumetría de TRX (Excel 400M vs reunión 300M) que se</w:t>
      </w:r>
    </w:p>
    <w:p>
      <w:r>
        <w:t>asume desde el Excel hasta confirmación del experto [E001 vs E003].</w:t>
      </w:r>
    </w:p>
    <w:p>
      <w:pPr>
        <w:pStyle w:val="Heading3"/>
      </w:pPr>
      <w:r>
        <w:t>Evaluación de factibilidad</w:t>
      </w:r>
    </w:p>
    <w:p>
      <w:r>
        <w:t>Factibilidad alta y complejidad M: stack estándar (réplica + ADF + Medallion) y una sola</w:t>
      </w:r>
    </w:p>
    <w:p>
      <w:r>
        <w:t>habilitación crítica (réplica anti-bloqueo) [E003].</w:t>
      </w:r>
    </w:p>
    <w:p>
      <w:pPr>
        <w:pStyle w:val="Heading3"/>
      </w:pPr>
      <w:r>
        <w:t>Recomendación</w:t>
      </w:r>
    </w:p>
    <w:p>
      <w:r>
        <w:t>Avanzar de forma condicional: cerrar el acceso a SQLREPL02 y confirmar la volumetría real de TRX antes</w:t>
      </w:r>
    </w:p>
    <w:p>
      <w:r>
        <w:t>de productivizar; lo demás está suficientemente definido para iniciar la construcción.</w:t>
      </w:r>
    </w:p>
    <w:p>
      <w:pPr>
        <w:pStyle w:val="Heading1"/>
      </w:pPr>
      <w:r>
        <w:t>Parte I — Discovery inicial (general)</w:t>
      </w:r>
    </w:p>
    <w:p>
      <w:pPr>
        <w:pStyle w:val="Heading2"/>
      </w:pPr>
      <w:r>
        <w:t>Caso de uso y negocio</w:t>
      </w:r>
    </w:p>
    <w:p>
      <w:r>
        <w:rPr>
          <w:b/>
        </w:rPr>
        <w:t xml:space="preserve">Nombre del caso de uso: </w:t>
      </w:r>
      <w:r>
        <w:t>Facturación Adquiriente a la Nube [E002]</w:t>
      </w:r>
    </w:p>
    <w:p>
      <w:r>
        <w:rPr>
          <w:b/>
        </w:rPr>
        <w:t xml:space="preserve">Problema de negocio / necesidad que resuelve: </w:t>
      </w:r>
      <w:r>
        <w:t>Hoy la facturación adquiriente se arma manualmente en Excel, con alto esfuerzo y riesgo de error; no permite análisis diario ni self-service [E002].</w:t>
      </w:r>
    </w:p>
    <w:p>
      <w:r>
        <w:rPr>
          <w:b/>
        </w:rPr>
        <w:t xml:space="preserve">Objetivo del caso de uso: </w:t>
      </w:r>
      <w:r>
        <w:t>Disponer la facturación adquiriente (comisiones, montos transados y plazos de liquidación) en el lakehouse para reportería diaria y tableros regionales [E002].</w:t>
      </w:r>
    </w:p>
    <w:p>
      <w:r>
        <w:rPr>
          <w:b/>
        </w:rPr>
        <w:t xml:space="preserve">Beneficio de atender el caso / valor esperado y prioridad: </w:t>
      </w:r>
      <w:r>
        <w:t>Reducción de ~40 horas/mes de trabajo manual y visibilidad diaria del flujo de caja; prioridad alta para Adquirencia [E002].</w:t>
      </w:r>
    </w:p>
    <w:p>
      <w:r>
        <w:rPr>
          <w:b/>
        </w:rPr>
        <w:t xml:space="preserve">Alcance incluido: </w:t>
      </w:r>
      <w:r>
        <w:t>Comisiones, montos transados y plazos de liquidación por comercio y país [E002].</w:t>
      </w:r>
    </w:p>
    <w:p>
      <w:r>
        <w:rPr>
          <w:b/>
        </w:rPr>
        <w:t xml:space="preserve">Alcance excluido: </w:t>
      </w:r>
      <w:r>
        <w:t>Datos de tarjetahabientes e información de fraude (fuera de alcance) [E002].</w:t>
      </w:r>
    </w:p>
    <w:p>
      <w:r>
        <w:rPr>
          <w:b/>
        </w:rPr>
        <w:t xml:space="preserve">Métricas de éxito / KPIs: </w:t>
      </w:r>
      <w:r>
        <w:t>Tablero diario disponible antes de las 8:00 a.m.; 100% de comercios cubiertos; 0 reprocesos manuales por cierre mensual [inferencia de E002].</w:t>
      </w:r>
    </w:p>
    <w:p>
      <w:r>
        <w:rPr>
          <w:b/>
        </w:rPr>
        <w:t xml:space="preserve">Consumidores y forma de consumo: </w:t>
      </w:r>
      <w:r>
        <w:t>Equipo de Finanzas de Adquirencia y tableros de Power BI regionales [E002].</w:t>
      </w:r>
    </w:p>
    <w:p>
      <w:pPr>
        <w:pStyle w:val="Heading2"/>
      </w:pPr>
      <w:r>
        <w:t>Roles del caso de uso y equipo</w:t>
      </w:r>
    </w:p>
    <w:p>
      <w:r>
        <w:rPr>
          <w:b/>
        </w:rPr>
        <w:t xml:space="preserve">Solicitante del caso de uso: </w:t>
      </w:r>
      <w:r>
        <w:t>María Solís (Gerente de Adquirencia) — msolis@empresa.com</w:t>
      </w:r>
    </w:p>
    <w:p>
      <w:r>
        <w:rPr>
          <w:b/>
        </w:rPr>
        <w:t xml:space="preserve">Dueño final del producto de datos: </w:t>
      </w:r>
      <w:r>
        <w:t>Carlos Vega (Product Owner de Datos de Pagos) — cvega@empresa.com</w:t>
      </w:r>
    </w:p>
    <w:p>
      <w:r>
        <w:rPr>
          <w:b/>
        </w:rPr>
        <w:t>Equipo desarrollador (roles):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Contacto</w:t>
            </w:r>
          </w:p>
        </w:tc>
      </w:tr>
      <w:tr>
        <w:tc>
          <w:tcPr>
            <w:tcW w:type="dxa" w:w="2880"/>
          </w:tcPr>
          <w:p>
            <w:r>
              <w:t>Juan Pérez</w:t>
            </w:r>
          </w:p>
        </w:tc>
        <w:tc>
          <w:tcPr>
            <w:tcW w:type="dxa" w:w="2880"/>
          </w:tcPr>
          <w:p>
            <w:r>
              <w:t>Ingeniero de Infraestructura SQL</w:t>
            </w:r>
          </w:p>
        </w:tc>
        <w:tc>
          <w:tcPr>
            <w:tcW w:type="dxa" w:w="2880"/>
          </w:tcPr>
          <w:p>
            <w:r>
              <w:t>jperez@empresa.com</w:t>
            </w:r>
          </w:p>
        </w:tc>
      </w:tr>
      <w:tr>
        <w:tc>
          <w:tcPr>
            <w:tcW w:type="dxa" w:w="2880"/>
          </w:tcPr>
          <w:p>
            <w:r>
              <w:t>Laura Méndez</w:t>
            </w:r>
          </w:p>
        </w:tc>
        <w:tc>
          <w:tcPr>
            <w:tcW w:type="dxa" w:w="2880"/>
          </w:tcPr>
          <w:p>
            <w:r>
              <w:t>Data Engineer (lakehouse)</w:t>
            </w:r>
          </w:p>
        </w:tc>
        <w:tc>
          <w:tcPr>
            <w:tcW w:type="dxa" w:w="2880"/>
          </w:tcPr>
          <w:p>
            <w:r>
              <w:t>lmendez@empresa.com</w:t>
            </w:r>
          </w:p>
        </w:tc>
      </w:tr>
      <w:tr>
        <w:tc>
          <w:tcPr>
            <w:tcW w:type="dxa" w:w="2880"/>
          </w:tcPr>
          <w:p>
            <w:r>
              <w:t>Diego Ramírez</w:t>
            </w:r>
          </w:p>
        </w:tc>
        <w:tc>
          <w:tcPr>
            <w:tcW w:type="dxa" w:w="2880"/>
          </w:tcPr>
          <w:p>
            <w:r>
              <w:t>Analista BI / Power BI</w:t>
            </w:r>
          </w:p>
        </w:tc>
        <w:tc>
          <w:tcPr>
            <w:tcW w:type="dxa" w:w="2880"/>
          </w:tcPr>
          <w:p>
            <w:r>
              <w:t>dramirez@empresa.com</w:t>
            </w:r>
          </w:p>
        </w:tc>
      </w:tr>
    </w:tbl>
    <w:p>
      <w:pPr>
        <w:pStyle w:val="Heading2"/>
      </w:pPr>
      <w:r>
        <w:t>Riesgos, supuestos y restricciones</w:t>
      </w:r>
    </w:p>
    <w:p>
      <w:r>
        <w:rPr>
          <w:b/>
        </w:rPr>
        <w:t>Riesgos identificados: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880"/>
          </w:tcPr>
          <w:p>
            <w:r>
              <w:t>Bloqueos en producción si se lee la tabla transaccional directamente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Equipo</w:t>
            </w:r>
          </w:p>
        </w:tc>
      </w:tr>
      <w:tr>
        <w:tc>
          <w:tcPr>
            <w:tcW w:type="dxa" w:w="2880"/>
          </w:tcPr>
          <w:p>
            <w:r>
              <w:t>Conflicto de volumetría TRX sin confirmar puede afectar dimensionamiento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Carlos Vega</w:t>
            </w:r>
          </w:p>
        </w:tc>
      </w:tr>
    </w:tbl>
    <w:p>
      <w:r>
        <w:rPr>
          <w:b/>
        </w:rPr>
        <w:t>Supuestos: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Validado por</w:t>
            </w:r>
          </w:p>
        </w:tc>
      </w:tr>
      <w:tr>
        <w:tc>
          <w:tcPr>
            <w:tcW w:type="dxa" w:w="4320"/>
          </w:tcPr>
          <w:p>
            <w:r>
              <w:t>Se asume volumetría del Excel (400M/año) hasta confirmación del experto [E001 vs E003]</w:t>
            </w:r>
          </w:p>
        </w:tc>
        <w:tc>
          <w:tcPr>
            <w:tcW w:type="dxa" w:w="4320"/>
          </w:tcPr>
          <w:p>
            <w:r>
              <w:t>Carlos Vega</w:t>
            </w:r>
          </w:p>
        </w:tc>
      </w:tr>
    </w:tbl>
    <w:p>
      <w:r>
        <w:rPr>
          <w:b/>
        </w:rPr>
        <w:t>Restricciones: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Origen</w:t>
            </w:r>
          </w:p>
        </w:tc>
      </w:tr>
      <w:tr>
        <w:tc>
          <w:tcPr>
            <w:tcW w:type="dxa" w:w="4320"/>
          </w:tcPr>
          <w:p>
            <w:r>
              <w:t>Cargas solo en ventana nocturna para no afectar operación</w:t>
            </w:r>
          </w:p>
        </w:tc>
        <w:tc>
          <w:tcPr>
            <w:tcW w:type="dxa" w:w="4320"/>
          </w:tcPr>
          <w:p>
            <w:r>
              <w:t>Operaciones</w:t>
            </w:r>
          </w:p>
        </w:tc>
      </w:tr>
    </w:tbl>
    <w:p>
      <w:pPr>
        <w:pStyle w:val="Heading1"/>
      </w:pPr>
      <w:r>
        <w:t>Parte II — Discovery técnico (profundo)</w:t>
      </w:r>
    </w:p>
    <w:p>
      <w:pPr>
        <w:pStyle w:val="Heading2"/>
      </w:pPr>
      <w:r>
        <w:t>Expertos técnicos, por país y certificadores</w:t>
      </w:r>
    </w:p>
    <w:p>
      <w:r>
        <w:rPr>
          <w:b/>
        </w:rPr>
        <w:t>Expertos técnicos / del dato: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Especialidad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Contacto</w:t>
            </w:r>
          </w:p>
        </w:tc>
      </w:tr>
      <w:tr>
        <w:tc>
          <w:tcPr>
            <w:tcW w:type="dxa" w:w="2880"/>
          </w:tcPr>
          <w:p>
            <w:r>
              <w:t>Carlos Vega</w:t>
            </w:r>
          </w:p>
        </w:tc>
        <w:tc>
          <w:tcPr>
            <w:tcW w:type="dxa" w:w="2880"/>
          </w:tcPr>
          <w:p>
            <w:r>
              <w:t>Fuentes de pagos / Adquirencia</w:t>
            </w:r>
          </w:p>
        </w:tc>
        <w:tc>
          <w:tcPr>
            <w:tcW w:type="dxa" w:w="2880"/>
          </w:tcPr>
          <w:p>
            <w:r>
              <w:t>cvega@empresa.com</w:t>
            </w:r>
          </w:p>
        </w:tc>
      </w:tr>
      <w:tr>
        <w:tc>
          <w:tcPr>
            <w:tcW w:type="dxa" w:w="2880"/>
          </w:tcPr>
          <w:p>
            <w:r>
              <w:t>Juan Pérez</w:t>
            </w:r>
          </w:p>
        </w:tc>
        <w:tc>
          <w:tcPr>
            <w:tcW w:type="dxa" w:w="2880"/>
          </w:tcPr>
          <w:p>
            <w:r>
              <w:t>Infraestructura SQL / réplicas</w:t>
            </w:r>
          </w:p>
        </w:tc>
        <w:tc>
          <w:tcPr>
            <w:tcW w:type="dxa" w:w="2880"/>
          </w:tcPr>
          <w:p>
            <w:r>
              <w:t>jperez@empresa.com</w:t>
            </w:r>
          </w:p>
        </w:tc>
      </w:tr>
    </w:tbl>
    <w:p>
      <w:r>
        <w:rPr>
          <w:b/>
        </w:rPr>
        <w:t>Expertos por país: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Especialidad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Contacto</w:t>
            </w:r>
          </w:p>
        </w:tc>
      </w:tr>
      <w:tr>
        <w:tc>
          <w:tcPr>
            <w:tcW w:type="dxa" w:w="2160"/>
          </w:tcPr>
          <w:p>
            <w:r>
              <w:t>Sofía Díaz</w:t>
            </w:r>
          </w:p>
        </w:tc>
        <w:tc>
          <w:tcPr>
            <w:tcW w:type="dxa" w:w="2160"/>
          </w:tcPr>
          <w:p>
            <w:r>
              <w:t>CRI</w:t>
            </w:r>
          </w:p>
        </w:tc>
        <w:tc>
          <w:tcPr>
            <w:tcW w:type="dxa" w:w="2160"/>
          </w:tcPr>
          <w:p>
            <w:r>
              <w:t>Reglas de comisiones CR</w:t>
            </w:r>
          </w:p>
        </w:tc>
        <w:tc>
          <w:tcPr>
            <w:tcW w:type="dxa" w:w="2160"/>
          </w:tcPr>
          <w:p>
            <w:r>
              <w:t>sdiaz@empresa.com</w:t>
            </w:r>
          </w:p>
        </w:tc>
      </w:tr>
      <w:tr>
        <w:tc>
          <w:tcPr>
            <w:tcW w:type="dxa" w:w="2160"/>
          </w:tcPr>
          <w:p>
            <w:r>
              <w:t>Marco Lazo</w:t>
            </w:r>
          </w:p>
        </w:tc>
        <w:tc>
          <w:tcPr>
            <w:tcW w:type="dxa" w:w="2160"/>
          </w:tcPr>
          <w:p>
            <w:r>
              <w:t>GTM</w:t>
            </w:r>
          </w:p>
        </w:tc>
        <w:tc>
          <w:tcPr>
            <w:tcW w:type="dxa" w:w="2160"/>
          </w:tcPr>
          <w:p>
            <w:r>
              <w:t>Liquidaciones GT</w:t>
            </w:r>
          </w:p>
        </w:tc>
        <w:tc>
          <w:tcPr>
            <w:tcW w:type="dxa" w:w="2160"/>
          </w:tcPr>
          <w:p>
            <w:r>
              <w:t>mlazo@empresa.com</w:t>
            </w:r>
          </w:p>
        </w:tc>
      </w:tr>
    </w:tbl>
    <w:p>
      <w:r>
        <w:rPr>
          <w:b/>
        </w:rPr>
        <w:t>Certificadores del producto de datos: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Ambito</w:t>
            </w:r>
          </w:p>
        </w:tc>
      </w:tr>
      <w:tr>
        <w:tc>
          <w:tcPr>
            <w:tcW w:type="dxa" w:w="4320"/>
          </w:tcPr>
          <w:p>
            <w:r>
              <w:t>Ana Rojas</w:t>
            </w:r>
          </w:p>
        </w:tc>
        <w:tc>
          <w:tcPr>
            <w:tcW w:type="dxa" w:w="4320"/>
          </w:tcPr>
          <w:p>
            <w:r>
              <w:t>REG</w:t>
            </w:r>
          </w:p>
        </w:tc>
      </w:tr>
      <w:tr>
        <w:tc>
          <w:tcPr>
            <w:tcW w:type="dxa" w:w="4320"/>
          </w:tcPr>
          <w:p>
            <w:r>
              <w:t>Pedro Soto</w:t>
            </w:r>
          </w:p>
        </w:tc>
        <w:tc>
          <w:tcPr>
            <w:tcW w:type="dxa" w:w="4320"/>
          </w:tcPr>
          <w:p>
            <w:r>
              <w:t>CRI</w:t>
            </w:r>
          </w:p>
        </w:tc>
      </w:tr>
    </w:tbl>
    <w:p>
      <w:pPr>
        <w:pStyle w:val="Heading2"/>
      </w:pPr>
      <w:r>
        <w:t>Fuentes de datos a la nube</w:t>
      </w:r>
    </w:p>
    <w:p>
      <w:r>
        <w:rPr>
          <w:b/>
        </w:rPr>
        <w:t>Fuentes / tablas a llevar a la nube: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960"/>
          </w:tcPr>
          <w:p>
            <w:r>
              <w:rPr>
                <w:b/>
              </w:rPr>
              <w:t>Esquema</w:t>
            </w:r>
          </w:p>
        </w:tc>
        <w:tc>
          <w:tcPr>
            <w:tcW w:type="dxa" w:w="960"/>
          </w:tcPr>
          <w:p>
            <w:r>
              <w:rPr>
                <w:b/>
              </w:rPr>
              <w:t>Servidor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Columnas</w:t>
            </w:r>
          </w:p>
        </w:tc>
        <w:tc>
          <w:tcPr>
            <w:tcW w:type="dxa" w:w="960"/>
          </w:tcPr>
          <w:p>
            <w:r>
              <w:rPr>
                <w:b/>
              </w:rPr>
              <w:t>Librerias</w:t>
            </w:r>
          </w:p>
        </w:tc>
        <w:tc>
          <w:tcPr>
            <w:tcW w:type="dxa" w:w="960"/>
          </w:tcPr>
          <w:p>
            <w:r>
              <w:rPr>
                <w:b/>
              </w:rPr>
              <w:t>Volumetria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960"/>
          </w:tcPr>
          <w:p>
            <w:r>
              <w:rPr>
                <w:b/>
              </w:rPr>
              <w:t>Sensible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Evidencia</w:t>
            </w:r>
          </w:p>
        </w:tc>
      </w:tr>
      <w:tr>
        <w:tc>
          <w:tcPr>
            <w:tcW w:type="dxa" w:w="960"/>
          </w:tcPr>
          <w:p>
            <w:r>
              <w:t>TRX_ADQUIRENCIA</w:t>
            </w:r>
          </w:p>
        </w:tc>
        <w:tc>
          <w:tcPr>
            <w:tcW w:type="dxa" w:w="960"/>
          </w:tcPr>
          <w:p>
            <w:r>
              <w:t>dbo</w:t>
            </w:r>
          </w:p>
        </w:tc>
        <w:tc>
          <w:tcPr>
            <w:tcW w:type="dxa" w:w="960"/>
          </w:tcPr>
          <w:p>
            <w:r>
              <w:t>SQLPROD01 (on-premise)</w:t>
            </w:r>
          </w:p>
        </w:tc>
        <w:tc>
          <w:tcPr>
            <w:tcW w:type="dxa" w:w="960"/>
          </w:tcPr>
          <w:p>
            <w:r>
              <w:t>monto_transado, comision, fecha_corte, comercio_id</w:t>
            </w:r>
          </w:p>
        </w:tc>
        <w:tc>
          <w:tcPr>
            <w:tcW w:type="dxa" w:w="960"/>
          </w:tcPr>
          <w:p>
            <w:r>
              <w:t>ODBC Driver 18 for SQL Server (pyodbc)</w:t>
            </w:r>
          </w:p>
        </w:tc>
        <w:tc>
          <w:tcPr>
            <w:tcW w:type="dxa" w:w="960"/>
          </w:tcPr>
          <w:p>
            <w:r>
              <w:t>400,000,000 / año</w:t>
            </w:r>
          </w:p>
        </w:tc>
        <w:tc>
          <w:tcPr>
            <w:tcW w:type="dxa" w:w="960"/>
          </w:tcPr>
          <w:p>
            <w:r>
              <w:t>Diaria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E001</w:t>
            </w:r>
          </w:p>
        </w:tc>
      </w:tr>
      <w:tr>
        <w:tc>
          <w:tcPr>
            <w:tcW w:type="dxa" w:w="960"/>
          </w:tcPr>
          <w:p>
            <w:r>
              <w:t>CATALOGO_COMERCIOS</w:t>
            </w:r>
          </w:p>
        </w:tc>
        <w:tc>
          <w:tcPr>
            <w:tcW w:type="dxa" w:w="960"/>
          </w:tcPr>
          <w:p>
            <w:r>
              <w:t>dbo</w:t>
            </w:r>
          </w:p>
        </w:tc>
        <w:tc>
          <w:tcPr>
            <w:tcW w:type="dxa" w:w="960"/>
          </w:tcPr>
          <w:p>
            <w:r>
              <w:t>SQLPROD01 (on-premise)</w:t>
            </w:r>
          </w:p>
        </w:tc>
        <w:tc>
          <w:tcPr>
            <w:tcW w:type="dxa" w:w="960"/>
          </w:tcPr>
          <w:p>
            <w:r>
              <w:t>comercio_id, pais, nombre_comercio</w:t>
            </w:r>
          </w:p>
        </w:tc>
        <w:tc>
          <w:tcPr>
            <w:tcW w:type="dxa" w:w="960"/>
          </w:tcPr>
          <w:p>
            <w:r>
              <w:t>ODBC Driver 18 for SQL Server (pyodbc)</w:t>
            </w:r>
          </w:p>
        </w:tc>
        <w:tc>
          <w:tcPr>
            <w:tcW w:type="dxa" w:w="960"/>
          </w:tcPr>
          <w:p>
            <w:r>
              <w:t>120,000 registros</w:t>
            </w:r>
          </w:p>
        </w:tc>
        <w:tc>
          <w:tcPr>
            <w:tcW w:type="dxa" w:w="960"/>
          </w:tcPr>
          <w:p>
            <w:r>
              <w:t>Mensual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E001</w:t>
            </w:r>
          </w:p>
        </w:tc>
      </w:tr>
      <w:tr>
        <w:tc>
          <w:tcPr>
            <w:tcW w:type="dxa" w:w="960"/>
          </w:tcPr>
          <w:p>
            <w:r>
              <w:t>LIQUIDACIONES</w:t>
            </w:r>
          </w:p>
        </w:tc>
        <w:tc>
          <w:tcPr>
            <w:tcW w:type="dxa" w:w="960"/>
          </w:tcPr>
          <w:p>
            <w:r>
              <w:t>fin</w:t>
            </w:r>
          </w:p>
        </w:tc>
        <w:tc>
          <w:tcPr>
            <w:tcW w:type="dxa" w:w="960"/>
          </w:tcPr>
          <w:p>
            <w:r>
              <w:t>SQLPROD02 (on-premise)</w:t>
            </w:r>
          </w:p>
        </w:tc>
        <w:tc>
          <w:tcPr>
            <w:tcW w:type="dxa" w:w="960"/>
          </w:tcPr>
          <w:p>
            <w:r>
              <w:t>comercio_id, monto_liquidado, plazo_liquidacion</w:t>
            </w:r>
          </w:p>
        </w:tc>
        <w:tc>
          <w:tcPr>
            <w:tcW w:type="dxa" w:w="960"/>
          </w:tcPr>
          <w:p>
            <w:r>
              <w:t>ODBC Driver 18 for SQL Server (pyodbc)</w:t>
            </w:r>
          </w:p>
        </w:tc>
        <w:tc>
          <w:tcPr>
            <w:tcW w:type="dxa" w:w="960"/>
          </w:tcPr>
          <w:p>
            <w:r>
              <w:t>18,000,000 / año</w:t>
            </w:r>
          </w:p>
        </w:tc>
        <w:tc>
          <w:tcPr>
            <w:tcW w:type="dxa" w:w="960"/>
          </w:tcPr>
          <w:p>
            <w:r>
              <w:t>Diaria</w:t>
            </w:r>
          </w:p>
        </w:tc>
        <w:tc>
          <w:tcPr>
            <w:tcW w:type="dxa" w:w="960"/>
          </w:tcPr>
          <w:p>
            <w:r>
              <w:t>Sí (montos)</w:t>
            </w:r>
          </w:p>
        </w:tc>
        <w:tc>
          <w:tcPr>
            <w:tcW w:type="dxa" w:w="960"/>
          </w:tcPr>
          <w:p>
            <w:r>
              <w:t>E001</w:t>
            </w:r>
          </w:p>
        </w:tc>
      </w:tr>
    </w:tbl>
    <w:p>
      <w:r>
        <w:rPr>
          <w:b/>
        </w:rPr>
        <w:t xml:space="preserve">Frecuencia de actualización / latencia: </w:t>
      </w:r>
      <w:r>
        <w:t>Carga diaria; latencia objetivo &lt; 4 horas tras el cierre del día [E001].</w:t>
      </w:r>
    </w:p>
    <w:p>
      <w:r>
        <w:rPr>
          <w:b/>
        </w:rPr>
        <w:t xml:space="preserve">Lógica de negocio a nivel de queries: </w:t>
      </w:r>
      <w:r>
        <w:t>Los plazos de liquidación se derivan de un join entre TRX_ADQUIRENCIA y CATALOGO_COMERCIOS filtrando por fecha de corte [E003 seg-006].</w:t>
      </w:r>
    </w:p>
    <w:p>
      <w:r>
        <w:rPr>
          <w:b/>
        </w:rPr>
        <w:t xml:space="preserve">Calidad de datos y limitaciones: </w:t>
      </w:r>
      <w:r>
        <w:t>Volumetría estable; pendiente perfilar nulos en fecha_corte y duplicados de comercio_id antes de productivizar [inferencia de E003].</w:t>
      </w:r>
    </w:p>
    <w:p>
      <w:r>
        <w:rPr>
          <w:b/>
        </w:rPr>
        <w:t>Entidades preliminares (boceto, no diseño):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Relaciones</w:t>
            </w:r>
          </w:p>
        </w:tc>
      </w:tr>
      <w:tr>
        <w:tc>
          <w:tcPr>
            <w:tcW w:type="dxa" w:w="2880"/>
          </w:tcPr>
          <w:p>
            <w:r>
              <w:t>Transaccion</w:t>
            </w:r>
          </w:p>
        </w:tc>
        <w:tc>
          <w:tcPr>
            <w:tcW w:type="dxa" w:w="2880"/>
          </w:tcPr>
          <w:p>
            <w:r>
              <w:t>Operación adquiriente</w:t>
            </w:r>
          </w:p>
        </w:tc>
        <w:tc>
          <w:tcPr>
            <w:tcW w:type="dxa" w:w="2880"/>
          </w:tcPr>
          <w:p>
            <w:r>
              <w:t>Comercio</w:t>
            </w:r>
          </w:p>
        </w:tc>
      </w:tr>
      <w:tr>
        <w:tc>
          <w:tcPr>
            <w:tcW w:type="dxa" w:w="2880"/>
          </w:tcPr>
          <w:p>
            <w:r>
              <w:t>Comercio</w:t>
            </w:r>
          </w:p>
        </w:tc>
        <w:tc>
          <w:tcPr>
            <w:tcW w:type="dxa" w:w="2880"/>
          </w:tcPr>
          <w:p>
            <w:r>
              <w:t>Catálogo de comercios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Liquidacion</w:t>
            </w:r>
          </w:p>
        </w:tc>
        <w:tc>
          <w:tcPr>
            <w:tcW w:type="dxa" w:w="2880"/>
          </w:tcPr>
          <w:p>
            <w:r>
              <w:t>Liquidación al comercio</w:t>
            </w:r>
          </w:p>
        </w:tc>
        <w:tc>
          <w:tcPr>
            <w:tcW w:type="dxa" w:w="2880"/>
          </w:tcPr>
          <w:p>
            <w:r>
              <w:t>Comercio</w:t>
            </w:r>
          </w:p>
        </w:tc>
      </w:tr>
    </w:tbl>
    <w:p>
      <w:pPr>
        <w:pStyle w:val="Heading2"/>
      </w:pPr>
      <w:r>
        <w:t>Datos sensibles / privados / regulados</w:t>
      </w:r>
    </w:p>
    <w:p>
      <w:r>
        <w:rPr>
          <w:b/>
        </w:rPr>
        <w:t xml:space="preserve">Datos sensibles / privados / regulados: </w:t>
      </w:r>
      <w:r>
        <w:t>Montos de liquidación en LIQUIDACIONES (dato financiero sensible) [E001].</w:t>
      </w:r>
    </w:p>
    <w:p>
      <w:r>
        <w:rPr>
          <w:b/>
        </w:rPr>
        <w:t xml:space="preserve">Controles de seguridad requeridos: </w:t>
      </w:r>
      <w:r>
        <w:t>Enmascarar montos para perfiles no financieros; acceso por rol; cumplimiento de políticas internas de datos de pagos [inferencia de E001].</w:t>
      </w:r>
    </w:p>
    <w:p>
      <w:pPr>
        <w:pStyle w:val="Heading2"/>
      </w:pPr>
      <w:r>
        <w:t>Habilitación técnica</w:t>
      </w:r>
    </w:p>
    <w:p>
      <w:r>
        <w:rPr>
          <w:b/>
        </w:rPr>
        <w:t xml:space="preserve">Habilitación para estar en línea: </w:t>
      </w:r>
      <w:r>
        <w:t>Réplica no transaccional a SQLREPL02 para evitar bloqueos en producción; Azure Data Factory lee de la réplica hacia el lakehouse Medallion [E003 seg-003, seg-004].</w:t>
      </w:r>
    </w:p>
    <w:p>
      <w:pPr>
        <w:pStyle w:val="Heading2"/>
      </w:pPr>
      <w:r>
        <w:t>Dependencias, impedimentos y accesos</w:t>
      </w:r>
    </w:p>
    <w:p>
      <w:r>
        <w:rPr>
          <w:b/>
        </w:rPr>
        <w:t>Dependencias internas/externas: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Habilitación de réplica SQLREPL02</w:t>
            </w:r>
          </w:p>
        </w:tc>
        <w:tc>
          <w:tcPr>
            <w:tcW w:type="dxa" w:w="2160"/>
          </w:tcPr>
          <w:p>
            <w:r>
              <w:t>infraestructura</w:t>
            </w:r>
          </w:p>
        </w:tc>
        <w:tc>
          <w:tcPr>
            <w:tcW w:type="dxa" w:w="2160"/>
          </w:tcPr>
          <w:p>
            <w:r>
              <w:t>DBA</w:t>
            </w:r>
          </w:p>
        </w:tc>
        <w:tc>
          <w:tcPr>
            <w:tcW w:type="dxa" w:w="2160"/>
          </w:tcPr>
          <w:p>
            <w:r>
              <w:t>abierta</w:t>
            </w:r>
          </w:p>
        </w:tc>
      </w:tr>
    </w:tbl>
    <w:p>
      <w:r>
        <w:rPr>
          <w:b/>
        </w:rPr>
        <w:t>Impedimentos abiertos: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Acceso de lectura a SQLREPL02 aún no otorgado</w:t>
            </w:r>
          </w:p>
        </w:tc>
        <w:tc>
          <w:tcPr>
            <w:tcW w:type="dxa" w:w="2160"/>
          </w:tcPr>
          <w:p>
            <w:r>
              <w:t>DBA</w:t>
            </w:r>
          </w:p>
        </w:tc>
        <w:tc>
          <w:tcPr>
            <w:tcW w:type="dxa" w:w="2160"/>
          </w:tcPr>
          <w:p>
            <w:r>
              <w:t>RFC #1245</w:t>
            </w:r>
          </w:p>
        </w:tc>
        <w:tc>
          <w:tcPr>
            <w:tcW w:type="dxa" w:w="2160"/>
          </w:tcPr>
          <w:p>
            <w:r>
              <w:t>en curso</w:t>
            </w:r>
          </w:p>
        </w:tc>
      </w:tr>
    </w:tbl>
    <w:p>
      <w:r>
        <w:rPr>
          <w:b/>
        </w:rPr>
        <w:t>Accesos requeridos: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Solicitado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SQLREPL02 (lectura)</w:t>
            </w:r>
          </w:p>
        </w:tc>
        <w:tc>
          <w:tcPr>
            <w:tcW w:type="dxa" w:w="2880"/>
          </w:tcPr>
          <w:p>
            <w:r>
              <w:t>DBA</w:t>
            </w:r>
          </w:p>
        </w:tc>
        <w:tc>
          <w:tcPr>
            <w:tcW w:type="dxa" w:w="2880"/>
          </w:tcPr>
          <w:p>
            <w:r>
              <w:t>en curso</w:t>
            </w:r>
          </w:p>
        </w:tc>
      </w:tr>
      <w:tr>
        <w:tc>
          <w:tcPr>
            <w:tcW w:type="dxa" w:w="2880"/>
          </w:tcPr>
          <w:p>
            <w:r>
              <w:t>Workspace lakehouse (escritura Bronce)</w:t>
            </w:r>
          </w:p>
        </w:tc>
        <w:tc>
          <w:tcPr>
            <w:tcW w:type="dxa" w:w="2880"/>
          </w:tcPr>
          <w:p>
            <w:r>
              <w:t>Plataforma</w:t>
            </w:r>
          </w:p>
        </w:tc>
        <w:tc>
          <w:tcPr>
            <w:tcW w:type="dxa" w:w="2880"/>
          </w:tcPr>
          <w:p>
            <w:r>
              <w:t>otorgado</w:t>
            </w:r>
          </w:p>
        </w:tc>
      </w:tr>
    </w:tbl>
    <w:p>
      <w:pPr>
        <w:pStyle w:val="Heading2"/>
      </w:pPr>
      <w:r>
        <w:t>Hipótesis de valor y arquetipos DataMesh</w:t>
      </w:r>
    </w:p>
    <w:p>
      <w:r>
        <w:rPr>
          <w:b/>
        </w:rPr>
        <w:t>Hipótesis del producto: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Enunciado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 validacion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Experimento</w:t>
            </w:r>
          </w:p>
        </w:tc>
      </w:tr>
      <w:tr>
        <w:tc>
          <w:tcPr>
            <w:tcW w:type="dxa" w:w="2880"/>
          </w:tcPr>
          <w:p>
            <w:r>
              <w:t>Los plazos de liquidación derivables generan valor a Finanzas</w:t>
            </w:r>
          </w:p>
        </w:tc>
        <w:tc>
          <w:tcPr>
            <w:tcW w:type="dxa" w:w="2880"/>
          </w:tcPr>
          <w:p>
            <w:r>
              <w:t>Prototipo con 3 meses de datos validado por Finanzas</w:t>
            </w:r>
          </w:p>
        </w:tc>
        <w:tc>
          <w:tcPr>
            <w:tcW w:type="dxa" w:w="2880"/>
          </w:tcPr>
          <w:p>
            <w:r>
              <w:t>Notebook exploratorio</w:t>
            </w:r>
          </w:p>
        </w:tc>
      </w:tr>
    </w:tbl>
    <w:p>
      <w:r>
        <w:rPr>
          <w:b/>
        </w:rPr>
        <w:t>Arquetipos DataMesh adicionales: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Dominio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de negocio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Reutiliza fuentes</w:t>
            </w:r>
          </w:p>
        </w:tc>
      </w:tr>
      <w:tr>
        <w:tc>
          <w:tcPr>
            <w:tcW w:type="dxa" w:w="2160"/>
          </w:tcPr>
          <w:p>
            <w:r>
              <w:t>Plazos de liquidación</w:t>
            </w:r>
          </w:p>
        </w:tc>
        <w:tc>
          <w:tcPr>
            <w:tcW w:type="dxa" w:w="2160"/>
          </w:tcPr>
          <w:p>
            <w:r>
              <w:t>Pagos</w:t>
            </w:r>
          </w:p>
        </w:tc>
        <w:tc>
          <w:tcPr>
            <w:tcW w:type="dxa" w:w="2160"/>
          </w:tcPr>
          <w:p>
            <w:r>
              <w:t>Visibilidad de flujo de caja</w:t>
            </w:r>
          </w:p>
        </w:tc>
        <w:tc>
          <w:tcPr>
            <w:tcW w:type="dxa" w:w="2160"/>
          </w:tcPr>
          <w:p>
            <w:r>
              <w:t>TRX_ADQUIRENCIA, LIQUIDACIONES</w:t>
            </w:r>
          </w:p>
        </w:tc>
      </w:tr>
      <w:tr>
        <w:tc>
          <w:tcPr>
            <w:tcW w:type="dxa" w:w="2160"/>
          </w:tcPr>
          <w:p>
            <w:r>
              <w:t>Rentabilidad por comercio</w:t>
            </w:r>
          </w:p>
        </w:tc>
        <w:tc>
          <w:tcPr>
            <w:tcW w:type="dxa" w:w="2160"/>
          </w:tcPr>
          <w:p>
            <w:r>
              <w:t>Pagos</w:t>
            </w:r>
          </w:p>
        </w:tc>
        <w:tc>
          <w:tcPr>
            <w:tcW w:type="dxa" w:w="2160"/>
          </w:tcPr>
          <w:p>
            <w:r>
              <w:t>Pricing informado</w:t>
            </w:r>
          </w:p>
        </w:tc>
        <w:tc>
          <w:tcPr>
            <w:tcW w:type="dxa" w:w="2160"/>
          </w:tcPr>
          <w:p>
            <w:r>
              <w:t>TRX_ADQUIRENCIA, CATALOGO_COMERCIOS</w:t>
            </w:r>
          </w:p>
        </w:tc>
      </w:tr>
    </w:tbl>
    <w:p>
      <w:pPr>
        <w:pStyle w:val="Heading2"/>
      </w:pPr>
      <w:r>
        <w:t>Costos preliminares (FinOps)</w:t>
      </w:r>
    </w:p>
    <w:p>
      <w:r>
        <w:rPr>
          <w:b/>
        </w:rPr>
        <w:t xml:space="preserve">Estimación de costos (FinOps): </w:t>
      </w:r>
      <w:r>
        <w:t>Estimación preliminar: ~1 DBU/hora en cargas diarias + almacenamiento Bronce/Plata/Oro; a refinar con volúmenes reales [inferencia de E001].</w:t>
      </w:r>
    </w:p>
    <w:p>
      <w:pPr>
        <w:pStyle w:val="Heading1"/>
      </w:pPr>
      <w:r>
        <w:t>Cierre — Evaluación, temas faltantes y trazabilidad</w:t>
      </w:r>
    </w:p>
    <w:p>
      <w:pPr>
        <w:pStyle w:val="Heading2"/>
      </w:pPr>
      <w:r>
        <w:t>Veredicto de factibilidad</w:t>
      </w:r>
    </w:p>
    <w:p>
      <w:r>
        <w:t>Sin condiciones bloqueantes pendientes.</w:t>
      </w:r>
    </w:p>
    <w:p>
      <w:pPr>
        <w:pStyle w:val="Heading2"/>
      </w:pPr>
      <w:r>
        <w:t>Temas faltantes y deuda técnica</w:t>
      </w:r>
    </w:p>
    <w:p>
      <w:r>
        <w:rPr>
          <w:b/>
        </w:rPr>
        <w:t xml:space="preserve">Temas faltantes y deuda técnica: </w:t>
      </w:r>
      <w:r>
        <w:rPr>
          <w:i/>
        </w:rPr>
        <w:t>PENDIENTE</w:t>
      </w:r>
    </w:p>
    <w:p>
      <w:pPr>
        <w:pStyle w:val="Heading2"/>
      </w:pPr>
      <w:r>
        <w:t>Cobertura de evidencia</w:t>
      </w:r>
    </w:p>
    <w:p>
      <w:r>
        <w:rPr>
          <w:b/>
        </w:rPr>
        <w:t>Cobertura de evidencia: 73.3% (11/15 campos con cita [E00x]).</w:t>
      </w:r>
    </w:p>
    <w:p>
      <w:r>
        <w:t>Campos con contenido pero sin cita de evidencia:</w:t>
      </w:r>
    </w:p>
    <w:p>
      <w:pPr>
        <w:pStyle w:val="ListBullet"/>
      </w:pPr>
      <w:r>
        <w:t>Métricas de éxito / KPIs</w:t>
      </w:r>
    </w:p>
    <w:p>
      <w:pPr>
        <w:pStyle w:val="ListBullet"/>
      </w:pPr>
      <w:r>
        <w:t>Calidad de datos y limitaciones</w:t>
      </w:r>
    </w:p>
    <w:p>
      <w:pPr>
        <w:pStyle w:val="ListBullet"/>
      </w:pPr>
      <w:r>
        <w:t>Controles de seguridad requeridos</w:t>
      </w:r>
    </w:p>
    <w:p>
      <w:pPr>
        <w:pStyle w:val="ListBullet"/>
      </w:pPr>
      <w:r>
        <w:t>Estimación de costos (FinOps)</w:t>
      </w:r>
    </w:p>
    <w:p>
      <w:r>
        <w:t>Párrafos de la narrativa sin cita: 9.</w:t>
      </w:r>
    </w:p>
    <w:p>
      <w:pPr>
        <w:pStyle w:val="Heading2"/>
      </w:pPr>
      <w:r>
        <w:t>Brechas y preguntas poderosas pendientes</w:t>
      </w:r>
    </w:p>
    <w:p>
      <w:r>
        <w:t>Sin brechas: el discovery responde todas las preguntas de la rúbrica.</w:t>
      </w:r>
    </w:p>
    <w:p>
      <w:pPr>
        <w:pStyle w:val="Heading1"/>
      </w:pPr>
      <w:r>
        <w:t>Anexo — Diagramas (Mermaid)</w:t>
      </w:r>
    </w:p>
    <w:p>
      <w:r>
        <w:t>Código Mermaid (renderizable en GitHub, VS Code o SharePoint moderno):</w:t>
      </w:r>
    </w:p>
    <w:p>
      <w:pPr>
        <w:pStyle w:val="Heading2"/>
      </w:pPr>
      <w:r>
        <w:t>Flujo datos</w:t>
      </w:r>
    </w:p>
    <w:p>
      <w:r>
        <w:rPr>
          <w:rFonts w:ascii="Courier New" w:hAnsi="Courier New"/>
          <w:sz w:val="18"/>
        </w:rPr>
        <w:t>flowchart LR</w:t>
        <w:br/>
        <w:t xml:space="preserve">  subgraph OnPrem["Fuentes on-premise"]</w:t>
        <w:br/>
        <w:t xml:space="preserve">    SQLPROD01__on_premise["SQLPROD01 (on-premise)&lt;br/&gt;TRX_ADQUIRENCIA, CATALOGO_COMERCIOS"]</w:t>
        <w:br/>
        <w:t xml:space="preserve">    SQLPROD02__on_premise["SQLPROD02 (on-premise)&lt;br/&gt;LIQUIDACIONES"]</w:t>
        <w:br/>
        <w:t xml:space="preserve">  end</w:t>
        <w:br/>
        <w:t xml:space="preserve">  REPL["Réplica no transaccional&lt;br/&gt;(evita bloqueos)"]</w:t>
        <w:br/>
        <w:t xml:space="preserve">  ADF["Azure Data Factory"]</w:t>
        <w:br/>
        <w:t xml:space="preserve">  subgraph Medallion["Lakehouse — Medallion"]</w:t>
        <w:br/>
        <w:t xml:space="preserve">    BR["Bronce"] --&gt; PL["Plata"] --&gt; OR["Oro"]</w:t>
        <w:br/>
        <w:t xml:space="preserve">  end</w:t>
        <w:br/>
        <w:t xml:space="preserve">  CONS["Consumo&lt;br/&gt;Facturación Adquiriente a la Nube"]</w:t>
        <w:br/>
        <w:t xml:space="preserve">  SQLPROD01__on_premise --&gt; REPL</w:t>
        <w:br/>
        <w:t xml:space="preserve">  SQLPROD02__on_premise --&gt; REPL</w:t>
        <w:br/>
        <w:t xml:space="preserve">  REPL --&gt; ADF --&gt; BR</w:t>
        <w:br/>
        <w:t xml:space="preserve">  OR --&gt; CONS</w:t>
      </w:r>
    </w:p>
    <w:p>
      <w:pPr>
        <w:pStyle w:val="Heading2"/>
      </w:pPr>
      <w:r>
        <w:t>Fuentes por servidor</w:t>
      </w:r>
    </w:p>
    <w:p>
      <w:r>
        <w:rPr>
          <w:rFonts w:ascii="Courier New" w:hAnsi="Courier New"/>
          <w:sz w:val="18"/>
        </w:rPr>
        <w:t>flowchart TB</w:t>
        <w:br/>
        <w:t xml:space="preserve">  subgraph SQLPROD01__on_premise["SQLPROD01 (on-premise)"]</w:t>
        <w:br/>
        <w:t xml:space="preserve">    SQLPROD01__on_premise_TRX_ADQUIRENCIA["TRX_ADQUIRENCIA— 400,000,000 / año · 4 col."]</w:t>
        <w:br/>
        <w:t xml:space="preserve">    SQLPROD01__on_premise_CATALOGO_COMERCIOS["CATALOGO_COMERCIOS— 120,000 registros · 3 col."]</w:t>
        <w:br/>
        <w:t xml:space="preserve">  end</w:t>
        <w:br/>
        <w:t xml:space="preserve">  subgraph SQLPROD02__on_premise["SQLPROD02 (on-premise)"]</w:t>
        <w:br/>
        <w:t xml:space="preserve">    SQLPROD02__on_premise_LIQUIDACIONES["LIQUIDACIONES— 18,000,000 / año · 3 col. 🔒"]</w:t>
        <w:br/>
        <w:t xml:space="preserve">  end</w:t>
      </w:r>
    </w:p>
    <w:p>
      <w:pPr>
        <w:pStyle w:val="Heading2"/>
      </w:pPr>
      <w:r>
        <w:t>Datamesh</w:t>
      </w:r>
    </w:p>
    <w:p>
      <w:r>
        <w:rPr>
          <w:rFonts w:ascii="Courier New" w:hAnsi="Courier New"/>
          <w:sz w:val="18"/>
        </w:rPr>
        <w:t>flowchart LR</w:t>
        <w:br/>
        <w:t xml:space="preserve">  CORE(("Facturación Adquiriente a la Nube"))</w:t>
        <w:br/>
        <w:t xml:space="preserve">  subgraph Pagos["Pagos"]</w:t>
        <w:br/>
        <w:t xml:space="preserve">    Pagos_Plazos_de_liquidaci_n["Plazos de liquidación"]</w:t>
        <w:br/>
        <w:t xml:space="preserve">    Pagos_Rentabilidad_por_comercio["Rentabilidad por comercio"]</w:t>
        <w:br/>
        <w:t xml:space="preserve">  end</w:t>
        <w:br/>
        <w:t xml:space="preserve">  CORE --&gt; Pagos_Plazos_de_liquidaci_n</w:t>
        <w:br/>
        <w:t xml:space="preserve">  CORE --&gt; Pagos_Rentabilidad_por_comercio</w:t>
      </w:r>
    </w:p>
    <w:p>
      <w:pPr>
        <w:pStyle w:val="Heading2"/>
      </w:pPr>
      <w:r>
        <w:t>Entidades preliminar</w:t>
      </w:r>
    </w:p>
    <w:p>
      <w:r>
        <w:rPr>
          <w:rFonts w:ascii="Courier New" w:hAnsi="Courier New"/>
          <w:sz w:val="18"/>
        </w:rPr>
        <w:t>erDiagram</w:t>
        <w:br/>
        <w:t xml:space="preserve">  Transaccion ||--o{ Comercio : "se relaciona"</w:t>
        <w:br/>
        <w:t xml:space="preserve">  Liquidacion ||--o{ Comercio : "se relaciona"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