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Evidencias de BoletaPago</w:t>
      </w:r>
    </w:p>
    <w:p>
      <w:r>
        <w:t>Semana 9 · Rama manual · 28 de octubre de 2026</w:t>
      </w:r>
    </w:p>
    <w:p>
      <w:r>
        <w:t>La aplicación SwiftUI conserva un flujo de una pantalla y reproduce los datos y fórmulas de Boleta_Pago_Grupo_B.xlsx. La comparación comprobó 98 importes de los seis casos y de la boleta activa, sin diferencias al centavo.</w:t>
      </w:r>
    </w:p>
    <w:p>
      <w:pPr>
        <w:pStyle w:val="Heading1"/>
      </w:pPr>
      <w:r>
        <w:t>Resultados comprobados</w:t>
      </w:r>
    </w:p>
    <w:tbl>
      <w:tblPr>
        <w:tblW w:type="auto" w:w="0"/>
        <w:jc w:val="center"/>
        <w:tblLayout w:type="fixed"/>
        <w:tblLook w:firstColumn="1" w:firstRow="1" w:lastColumn="0" w:lastRow="0" w:noHBand="0" w:noVBand="1" w:val="04A0"/>
      </w:tblPr>
      <w:tblGrid>
        <w:gridCol w:w="2437"/>
        <w:gridCol w:w="2437"/>
        <w:gridCol w:w="2437"/>
        <w:gridCol w:w="2437"/>
      </w:tblGrid>
      <w:tr>
        <w:tc>
          <w:tcPr>
            <w:tcW w:type="dxa" w:w="2952"/>
            <w:vAlign w:val="center"/>
            <w:tcBorders>
              <w:top w:val="single" w:sz="4" w:color="D9D9D9"/>
              <w:left w:val="single" w:sz="4" w:color="D9D9D9"/>
              <w:bottom w:val="single" w:sz="4" w:color="D9D9D9"/>
              <w:right w:val="single" w:sz="4" w:color="D9D9D9"/>
            </w:tcBorders>
            <w:shd w:fill="19324F"/>
          </w:tcPr>
          <w:p>
            <w:pPr>
              <w:spacing w:after="100" w:before="100"/>
            </w:pPr>
            <w:r>
              <w:rPr>
                <w:b/>
                <w:color w:val="FFFFFF"/>
                <w:sz w:val="20"/>
              </w:rPr>
              <w:t>Caso</w:t>
            </w:r>
          </w:p>
        </w:tc>
        <w:tc>
          <w:tcPr>
            <w:tcW w:type="dxa" w:w="2160"/>
            <w:vAlign w:val="center"/>
            <w:tcBorders>
              <w:top w:val="single" w:sz="4" w:color="D9D9D9"/>
              <w:left w:val="single" w:sz="4" w:color="D9D9D9"/>
              <w:bottom w:val="single" w:sz="4" w:color="D9D9D9"/>
              <w:right w:val="single" w:sz="4" w:color="D9D9D9"/>
            </w:tcBorders>
            <w:shd w:fill="19324F"/>
          </w:tcPr>
          <w:p>
            <w:pPr>
              <w:spacing w:after="100" w:before="100"/>
              <w:jc w:val="right"/>
            </w:pPr>
            <w:r>
              <w:rPr>
                <w:b/>
                <w:color w:val="FFFFFF"/>
                <w:sz w:val="20"/>
              </w:rPr>
              <w:t>Ingresos S/</w:t>
            </w:r>
          </w:p>
        </w:tc>
        <w:tc>
          <w:tcPr>
            <w:tcW w:type="dxa" w:w="2376"/>
            <w:vAlign w:val="center"/>
            <w:tcBorders>
              <w:top w:val="single" w:sz="4" w:color="D9D9D9"/>
              <w:left w:val="single" w:sz="4" w:color="D9D9D9"/>
              <w:bottom w:val="single" w:sz="4" w:color="D9D9D9"/>
              <w:right w:val="single" w:sz="4" w:color="D9D9D9"/>
            </w:tcBorders>
            <w:shd w:fill="19324F"/>
          </w:tcPr>
          <w:p>
            <w:pPr>
              <w:spacing w:after="100" w:before="100"/>
              <w:jc w:val="right"/>
            </w:pPr>
            <w:r>
              <w:rPr>
                <w:b/>
                <w:color w:val="FFFFFF"/>
                <w:sz w:val="20"/>
              </w:rPr>
              <w:t>Descuentos S/</w:t>
            </w:r>
          </w:p>
        </w:tc>
        <w:tc>
          <w:tcPr>
            <w:tcW w:type="dxa" w:w="2160"/>
            <w:vAlign w:val="center"/>
            <w:tcBorders>
              <w:top w:val="single" w:sz="4" w:color="D9D9D9"/>
              <w:left w:val="single" w:sz="4" w:color="D9D9D9"/>
              <w:bottom w:val="single" w:sz="4" w:color="D9D9D9"/>
              <w:right w:val="single" w:sz="4" w:color="D9D9D9"/>
            </w:tcBorders>
            <w:shd w:fill="19324F"/>
          </w:tcPr>
          <w:p>
            <w:pPr>
              <w:spacing w:after="100" w:before="100"/>
              <w:jc w:val="right"/>
            </w:pPr>
            <w:r>
              <w:rPr>
                <w:b/>
                <w:color w:val="FFFFFF"/>
                <w:sz w:val="20"/>
              </w:rPr>
              <w:t>Neto S/</w:t>
            </w:r>
          </w:p>
        </w:tc>
      </w:tr>
      <w:tr>
        <w:tc>
          <w:tcPr>
            <w:tcW w:type="dxa" w:w="2952"/>
            <w:vAlign w:val="center"/>
            <w:tcBorders>
              <w:top w:val="single" w:sz="4" w:color="D9D9D9"/>
              <w:left w:val="single" w:sz="4" w:color="D9D9D9"/>
              <w:bottom w:val="single" w:sz="4" w:color="D9D9D9"/>
              <w:right w:val="single" w:sz="4" w:color="D9D9D9"/>
            </w:tcBorders>
            <w:shd w:fill="FFFFFF"/>
          </w:tcPr>
          <w:p>
            <w:pPr>
              <w:spacing w:after="100" w:before="100"/>
            </w:pPr>
            <w:r>
              <w:rPr>
                <w:sz w:val="20"/>
              </w:rPr>
              <w:t>1</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jc w:val="right"/>
            </w:pPr>
            <w:r>
              <w:rPr>
                <w:sz w:val="20"/>
              </w:rPr>
              <w:t>2500.00</w:t>
            </w:r>
          </w:p>
        </w:tc>
        <w:tc>
          <w:tcPr>
            <w:tcW w:type="dxa" w:w="2376"/>
            <w:vAlign w:val="center"/>
            <w:tcBorders>
              <w:top w:val="single" w:sz="4" w:color="D9D9D9"/>
              <w:left w:val="single" w:sz="4" w:color="D9D9D9"/>
              <w:bottom w:val="single" w:sz="4" w:color="D9D9D9"/>
              <w:right w:val="single" w:sz="4" w:color="D9D9D9"/>
            </w:tcBorders>
            <w:shd w:fill="FFFFFF"/>
          </w:tcPr>
          <w:p>
            <w:pPr>
              <w:spacing w:after="100" w:before="100"/>
              <w:jc w:val="right"/>
            </w:pPr>
            <w:r>
              <w:rPr>
                <w:sz w:val="20"/>
              </w:rPr>
              <w:t>325.00</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jc w:val="right"/>
            </w:pPr>
            <w:r>
              <w:rPr>
                <w:sz w:val="20"/>
              </w:rPr>
              <w:t>2175.00</w:t>
            </w:r>
          </w:p>
        </w:tc>
      </w:tr>
      <w:tr>
        <w:tc>
          <w:tcPr>
            <w:tcW w:type="dxa" w:w="2952"/>
            <w:vAlign w:val="center"/>
            <w:tcBorders>
              <w:top w:val="single" w:sz="4" w:color="D9D9D9"/>
              <w:left w:val="single" w:sz="4" w:color="D9D9D9"/>
              <w:bottom w:val="single" w:sz="4" w:color="D9D9D9"/>
              <w:right w:val="single" w:sz="4" w:color="D9D9D9"/>
            </w:tcBorders>
            <w:shd w:fill="EDF2F7"/>
          </w:tcPr>
          <w:p>
            <w:pPr>
              <w:spacing w:after="100" w:before="100"/>
            </w:pPr>
            <w:r>
              <w:rPr>
                <w:sz w:val="20"/>
              </w:rPr>
              <w:t>2</w:t>
            </w:r>
          </w:p>
        </w:tc>
        <w:tc>
          <w:tcPr>
            <w:tcW w:type="dxa" w:w="2160"/>
            <w:vAlign w:val="center"/>
            <w:tcBorders>
              <w:top w:val="single" w:sz="4" w:color="D9D9D9"/>
              <w:left w:val="single" w:sz="4" w:color="D9D9D9"/>
              <w:bottom w:val="single" w:sz="4" w:color="D9D9D9"/>
              <w:right w:val="single" w:sz="4" w:color="D9D9D9"/>
            </w:tcBorders>
            <w:shd w:fill="EDF2F7"/>
          </w:tcPr>
          <w:p>
            <w:pPr>
              <w:spacing w:after="100" w:before="100"/>
              <w:jc w:val="right"/>
            </w:pPr>
            <w:r>
              <w:rPr>
                <w:sz w:val="20"/>
              </w:rPr>
              <w:t>1743.00</w:t>
            </w:r>
          </w:p>
        </w:tc>
        <w:tc>
          <w:tcPr>
            <w:tcW w:type="dxa" w:w="2376"/>
            <w:vAlign w:val="center"/>
            <w:tcBorders>
              <w:top w:val="single" w:sz="4" w:color="D9D9D9"/>
              <w:left w:val="single" w:sz="4" w:color="D9D9D9"/>
              <w:bottom w:val="single" w:sz="4" w:color="D9D9D9"/>
              <w:right w:val="single" w:sz="4" w:color="D9D9D9"/>
            </w:tcBorders>
            <w:shd w:fill="EDF2F7"/>
          </w:tcPr>
          <w:p>
            <w:pPr>
              <w:spacing w:after="100" w:before="100"/>
              <w:jc w:val="right"/>
            </w:pPr>
            <w:r>
              <w:rPr>
                <w:sz w:val="20"/>
              </w:rPr>
              <w:t>226.59</w:t>
            </w:r>
          </w:p>
        </w:tc>
        <w:tc>
          <w:tcPr>
            <w:tcW w:type="dxa" w:w="2160"/>
            <w:vAlign w:val="center"/>
            <w:tcBorders>
              <w:top w:val="single" w:sz="4" w:color="D9D9D9"/>
              <w:left w:val="single" w:sz="4" w:color="D9D9D9"/>
              <w:bottom w:val="single" w:sz="4" w:color="D9D9D9"/>
              <w:right w:val="single" w:sz="4" w:color="D9D9D9"/>
            </w:tcBorders>
            <w:shd w:fill="EDF2F7"/>
          </w:tcPr>
          <w:p>
            <w:pPr>
              <w:spacing w:after="100" w:before="100"/>
              <w:jc w:val="right"/>
            </w:pPr>
            <w:r>
              <w:rPr>
                <w:sz w:val="20"/>
              </w:rPr>
              <w:t>1516.41</w:t>
            </w:r>
          </w:p>
        </w:tc>
      </w:tr>
      <w:tr>
        <w:tc>
          <w:tcPr>
            <w:tcW w:type="dxa" w:w="2952"/>
            <w:vAlign w:val="center"/>
            <w:tcBorders>
              <w:top w:val="single" w:sz="4" w:color="D9D9D9"/>
              <w:left w:val="single" w:sz="4" w:color="D9D9D9"/>
              <w:bottom w:val="single" w:sz="4" w:color="D9D9D9"/>
              <w:right w:val="single" w:sz="4" w:color="D9D9D9"/>
            </w:tcBorders>
            <w:shd w:fill="FFFFFF"/>
          </w:tcPr>
          <w:p>
            <w:pPr>
              <w:spacing w:after="100" w:before="100"/>
            </w:pPr>
            <w:r>
              <w:rPr>
                <w:sz w:val="20"/>
              </w:rPr>
              <w:t>3</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jc w:val="right"/>
            </w:pPr>
            <w:r>
              <w:rPr>
                <w:sz w:val="20"/>
              </w:rPr>
              <w:t>3253.00</w:t>
            </w:r>
          </w:p>
        </w:tc>
        <w:tc>
          <w:tcPr>
            <w:tcW w:type="dxa" w:w="2376"/>
            <w:vAlign w:val="center"/>
            <w:tcBorders>
              <w:top w:val="single" w:sz="4" w:color="D9D9D9"/>
              <w:left w:val="single" w:sz="4" w:color="D9D9D9"/>
              <w:bottom w:val="single" w:sz="4" w:color="D9D9D9"/>
              <w:right w:val="single" w:sz="4" w:color="D9D9D9"/>
            </w:tcBorders>
            <w:shd w:fill="FFFFFF"/>
          </w:tcPr>
          <w:p>
            <w:pPr>
              <w:spacing w:after="100" w:before="100"/>
              <w:jc w:val="right"/>
            </w:pPr>
            <w:r>
              <w:rPr>
                <w:sz w:val="20"/>
              </w:rPr>
              <w:t>621.27</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jc w:val="right"/>
            </w:pPr>
            <w:r>
              <w:rPr>
                <w:sz w:val="20"/>
              </w:rPr>
              <w:t>2631.73</w:t>
            </w:r>
          </w:p>
        </w:tc>
      </w:tr>
      <w:tr>
        <w:tc>
          <w:tcPr>
            <w:tcW w:type="dxa" w:w="2952"/>
            <w:vAlign w:val="center"/>
            <w:tcBorders>
              <w:top w:val="single" w:sz="4" w:color="D9D9D9"/>
              <w:left w:val="single" w:sz="4" w:color="D9D9D9"/>
              <w:bottom w:val="single" w:sz="4" w:color="D9D9D9"/>
              <w:right w:val="single" w:sz="4" w:color="D9D9D9"/>
            </w:tcBorders>
            <w:shd w:fill="EDF2F7"/>
          </w:tcPr>
          <w:p>
            <w:pPr>
              <w:spacing w:after="100" w:before="100"/>
            </w:pPr>
            <w:r>
              <w:rPr>
                <w:sz w:val="20"/>
              </w:rPr>
              <w:t>4</w:t>
            </w:r>
          </w:p>
        </w:tc>
        <w:tc>
          <w:tcPr>
            <w:tcW w:type="dxa" w:w="2160"/>
            <w:vAlign w:val="center"/>
            <w:tcBorders>
              <w:top w:val="single" w:sz="4" w:color="D9D9D9"/>
              <w:left w:val="single" w:sz="4" w:color="D9D9D9"/>
              <w:bottom w:val="single" w:sz="4" w:color="D9D9D9"/>
              <w:right w:val="single" w:sz="4" w:color="D9D9D9"/>
            </w:tcBorders>
            <w:shd w:fill="EDF2F7"/>
          </w:tcPr>
          <w:p>
            <w:pPr>
              <w:spacing w:after="100" w:before="100"/>
              <w:jc w:val="right"/>
            </w:pPr>
            <w:r>
              <w:rPr>
                <w:sz w:val="20"/>
              </w:rPr>
              <w:t>3574.00</w:t>
            </w:r>
          </w:p>
        </w:tc>
        <w:tc>
          <w:tcPr>
            <w:tcW w:type="dxa" w:w="2376"/>
            <w:vAlign w:val="center"/>
            <w:tcBorders>
              <w:top w:val="single" w:sz="4" w:color="D9D9D9"/>
              <w:left w:val="single" w:sz="4" w:color="D9D9D9"/>
              <w:bottom w:val="single" w:sz="4" w:color="D9D9D9"/>
              <w:right w:val="single" w:sz="4" w:color="D9D9D9"/>
            </w:tcBorders>
            <w:shd w:fill="EDF2F7"/>
          </w:tcPr>
          <w:p>
            <w:pPr>
              <w:spacing w:after="100" w:before="100"/>
              <w:jc w:val="right"/>
            </w:pPr>
            <w:r>
              <w:rPr>
                <w:sz w:val="20"/>
              </w:rPr>
              <w:t>562.83</w:t>
            </w:r>
          </w:p>
        </w:tc>
        <w:tc>
          <w:tcPr>
            <w:tcW w:type="dxa" w:w="2160"/>
            <w:vAlign w:val="center"/>
            <w:tcBorders>
              <w:top w:val="single" w:sz="4" w:color="D9D9D9"/>
              <w:left w:val="single" w:sz="4" w:color="D9D9D9"/>
              <w:bottom w:val="single" w:sz="4" w:color="D9D9D9"/>
              <w:right w:val="single" w:sz="4" w:color="D9D9D9"/>
            </w:tcBorders>
            <w:shd w:fill="EDF2F7"/>
          </w:tcPr>
          <w:p>
            <w:pPr>
              <w:spacing w:after="100" w:before="100"/>
              <w:jc w:val="right"/>
            </w:pPr>
            <w:r>
              <w:rPr>
                <w:sz w:val="20"/>
              </w:rPr>
              <w:t>3011.17</w:t>
            </w:r>
          </w:p>
        </w:tc>
      </w:tr>
      <w:tr>
        <w:tc>
          <w:tcPr>
            <w:tcW w:type="dxa" w:w="2952"/>
            <w:vAlign w:val="center"/>
            <w:tcBorders>
              <w:top w:val="single" w:sz="4" w:color="D9D9D9"/>
              <w:left w:val="single" w:sz="4" w:color="D9D9D9"/>
              <w:bottom w:val="single" w:sz="4" w:color="D9D9D9"/>
              <w:right w:val="single" w:sz="4" w:color="D9D9D9"/>
            </w:tcBorders>
            <w:shd w:fill="FFFFFF"/>
          </w:tcPr>
          <w:p>
            <w:pPr>
              <w:spacing w:after="100" w:before="100"/>
            </w:pPr>
            <w:r>
              <w:rPr>
                <w:sz w:val="20"/>
              </w:rPr>
              <w:t>Propio 1 ONP</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jc w:val="right"/>
            </w:pPr>
            <w:r>
              <w:rPr>
                <w:sz w:val="20"/>
              </w:rPr>
              <w:t>1600.00</w:t>
            </w:r>
          </w:p>
        </w:tc>
        <w:tc>
          <w:tcPr>
            <w:tcW w:type="dxa" w:w="2376"/>
            <w:vAlign w:val="center"/>
            <w:tcBorders>
              <w:top w:val="single" w:sz="4" w:color="D9D9D9"/>
              <w:left w:val="single" w:sz="4" w:color="D9D9D9"/>
              <w:bottom w:val="single" w:sz="4" w:color="D9D9D9"/>
              <w:right w:val="single" w:sz="4" w:color="D9D9D9"/>
            </w:tcBorders>
            <w:shd w:fill="FFFFFF"/>
          </w:tcPr>
          <w:p>
            <w:pPr>
              <w:spacing w:after="100" w:before="100"/>
              <w:jc w:val="right"/>
            </w:pPr>
            <w:r>
              <w:rPr>
                <w:sz w:val="20"/>
              </w:rPr>
              <w:t>208.00</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jc w:val="right"/>
            </w:pPr>
            <w:r>
              <w:rPr>
                <w:sz w:val="20"/>
              </w:rPr>
              <w:t>1392.00</w:t>
            </w:r>
          </w:p>
        </w:tc>
      </w:tr>
      <w:tr>
        <w:tc>
          <w:tcPr>
            <w:tcW w:type="dxa" w:w="2952"/>
            <w:vAlign w:val="center"/>
            <w:tcBorders>
              <w:top w:val="single" w:sz="4" w:color="D9D9D9"/>
              <w:left w:val="single" w:sz="4" w:color="D9D9D9"/>
              <w:bottom w:val="single" w:sz="4" w:color="D9D9D9"/>
              <w:right w:val="single" w:sz="4" w:color="D9D9D9"/>
            </w:tcBorders>
            <w:shd w:fill="EDF2F7"/>
          </w:tcPr>
          <w:p>
            <w:pPr>
              <w:spacing w:after="100" w:before="100"/>
            </w:pPr>
            <w:r>
              <w:rPr>
                <w:sz w:val="20"/>
              </w:rPr>
              <w:t>Propio 2 Habitat</w:t>
            </w:r>
          </w:p>
        </w:tc>
        <w:tc>
          <w:tcPr>
            <w:tcW w:type="dxa" w:w="2160"/>
            <w:vAlign w:val="center"/>
            <w:tcBorders>
              <w:top w:val="single" w:sz="4" w:color="D9D9D9"/>
              <w:left w:val="single" w:sz="4" w:color="D9D9D9"/>
              <w:bottom w:val="single" w:sz="4" w:color="D9D9D9"/>
              <w:right w:val="single" w:sz="4" w:color="D9D9D9"/>
            </w:tcBorders>
            <w:shd w:fill="EDF2F7"/>
          </w:tcPr>
          <w:p>
            <w:pPr>
              <w:spacing w:after="100" w:before="100"/>
              <w:jc w:val="right"/>
            </w:pPr>
            <w:r>
              <w:rPr>
                <w:sz w:val="20"/>
              </w:rPr>
              <w:t>4000.00</w:t>
            </w:r>
          </w:p>
        </w:tc>
        <w:tc>
          <w:tcPr>
            <w:tcW w:type="dxa" w:w="2376"/>
            <w:vAlign w:val="center"/>
            <w:tcBorders>
              <w:top w:val="single" w:sz="4" w:color="D9D9D9"/>
              <w:left w:val="single" w:sz="4" w:color="D9D9D9"/>
              <w:bottom w:val="single" w:sz="4" w:color="D9D9D9"/>
              <w:right w:val="single" w:sz="4" w:color="D9D9D9"/>
            </w:tcBorders>
            <w:shd w:fill="EDF2F7"/>
          </w:tcPr>
          <w:p>
            <w:pPr>
              <w:spacing w:after="100" w:before="100"/>
              <w:jc w:val="right"/>
            </w:pPr>
            <w:r>
              <w:rPr>
                <w:sz w:val="20"/>
              </w:rPr>
              <w:t>513.60</w:t>
            </w:r>
          </w:p>
        </w:tc>
        <w:tc>
          <w:tcPr>
            <w:tcW w:type="dxa" w:w="2160"/>
            <w:vAlign w:val="center"/>
            <w:tcBorders>
              <w:top w:val="single" w:sz="4" w:color="D9D9D9"/>
              <w:left w:val="single" w:sz="4" w:color="D9D9D9"/>
              <w:bottom w:val="single" w:sz="4" w:color="D9D9D9"/>
              <w:right w:val="single" w:sz="4" w:color="D9D9D9"/>
            </w:tcBorders>
            <w:shd w:fill="EDF2F7"/>
          </w:tcPr>
          <w:p>
            <w:pPr>
              <w:spacing w:after="100" w:before="100"/>
              <w:jc w:val="right"/>
            </w:pPr>
            <w:r>
              <w:rPr>
                <w:sz w:val="20"/>
              </w:rPr>
              <w:t>3486.40</w:t>
            </w:r>
          </w:p>
        </w:tc>
      </w:tr>
      <w:tr>
        <w:tc>
          <w:tcPr>
            <w:tcW w:type="dxa" w:w="2952"/>
            <w:vAlign w:val="center"/>
            <w:tcBorders>
              <w:top w:val="single" w:sz="4" w:color="D9D9D9"/>
              <w:left w:val="single" w:sz="4" w:color="D9D9D9"/>
              <w:bottom w:val="single" w:sz="4" w:color="D9D9D9"/>
              <w:right w:val="single" w:sz="4" w:color="D9D9D9"/>
            </w:tcBorders>
            <w:shd w:fill="FFFFFF"/>
          </w:tcPr>
          <w:p>
            <w:pPr>
              <w:spacing w:after="100" w:before="100"/>
            </w:pPr>
            <w:r>
              <w:rPr>
                <w:sz w:val="20"/>
              </w:rPr>
              <w:t>Boleta activa</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jc w:val="right"/>
            </w:pPr>
            <w:r>
              <w:rPr>
                <w:sz w:val="20"/>
              </w:rPr>
              <w:t>3698.84</w:t>
            </w:r>
          </w:p>
        </w:tc>
        <w:tc>
          <w:tcPr>
            <w:tcW w:type="dxa" w:w="2376"/>
            <w:vAlign w:val="center"/>
            <w:tcBorders>
              <w:top w:val="single" w:sz="4" w:color="D9D9D9"/>
              <w:left w:val="single" w:sz="4" w:color="D9D9D9"/>
              <w:bottom w:val="single" w:sz="4" w:color="D9D9D9"/>
              <w:right w:val="single" w:sz="4" w:color="D9D9D9"/>
            </w:tcBorders>
            <w:shd w:fill="FFFFFF"/>
          </w:tcPr>
          <w:p>
            <w:pPr>
              <w:spacing w:after="100" w:before="100"/>
              <w:jc w:val="right"/>
            </w:pPr>
            <w:r>
              <w:rPr>
                <w:sz w:val="20"/>
              </w:rPr>
              <w:t>624.92</w:t>
            </w:r>
          </w:p>
        </w:tc>
        <w:tc>
          <w:tcPr>
            <w:tcW w:type="dxa" w:w="2160"/>
            <w:vAlign w:val="center"/>
            <w:tcBorders>
              <w:top w:val="single" w:sz="4" w:color="D9D9D9"/>
              <w:left w:val="single" w:sz="4" w:color="D9D9D9"/>
              <w:bottom w:val="single" w:sz="4" w:color="D9D9D9"/>
              <w:right w:val="single" w:sz="4" w:color="D9D9D9"/>
            </w:tcBorders>
            <w:shd w:fill="FFFFFF"/>
          </w:tcPr>
          <w:p>
            <w:pPr>
              <w:spacing w:after="100" w:before="100"/>
              <w:jc w:val="right"/>
            </w:pPr>
            <w:r>
              <w:rPr>
                <w:sz w:val="20"/>
              </w:rPr>
              <w:t>3073.92</w:t>
            </w:r>
          </w:p>
        </w:tc>
      </w:tr>
    </w:tbl>
    <w:p>
      <w:pPr>
        <w:pStyle w:val="Heading1"/>
      </w:pPr>
      <w:r>
        <w:t>Ejemplo inicial del Excel</w:t>
      </w:r>
    </w:p>
    <w:p>
      <w:r>
        <w:t>Sueldo 4000, 26 días, hijos Sí, Habitat, 2 horas al 25%, 3 al 35% y adelanto 150. Sueldo computable 3466.67, asignación 123, extras 41.67 y 67.50. Fondo 369.88, comisión 54.37 y seguro 50.67. EsSalud 332.90 y costo de la empresa 4031.74.</w:t>
      </w:r>
    </w:p>
    <w:p>
      <w:r>
        <w:t>La referencia profesional y la oferta del libro son datos de simulación. No se acredita un sueldo, una afiliación ni un vínculo laboral real de la persona mencionada. El modelo no incluye quinta categoría ni otras obligaciones que las fórmulas del Excel excluyen.</w:t>
      </w:r>
    </w:p>
    <w:p>
      <w:pPr>
        <w:pStyle w:val="Heading1"/>
      </w:pPr>
      <w:r>
        <w:t>Cómo se comprobó</w:t>
      </w:r>
    </w:p>
    <w:p>
      <w:r>
        <w:t>Compilación para iPhone 16 correcta. Pruebas Swift por concepto y control del XLSX original, repetido sobre una copia recalculada por LibreOffice. El archivo entregado se conserva intacto. La app valida entradas y borra el resultado si cambian los datos.</w:t>
      </w:r>
    </w:p>
    <w:p>
      <w:r>
        <w:br w:type="page"/>
      </w:r>
    </w:p>
    <w:p>
      <w:pPr>
        <w:pStyle w:val="Heading1"/>
      </w:pPr>
      <w:r>
        <w:t>Pantalla y resultado de la app</w:t>
      </w:r>
    </w:p>
    <w:p>
      <w:r>
        <w:t>Ejecución en iPhone 16 con iOS 26.5. El formulario carga la boleta activa y el botón calcula el resultado sin navegar a otra pantalla.</w:t>
      </w:r>
    </w:p>
    <w:p>
      <w:pPr>
        <w:jc w:val="center"/>
      </w:pPr>
      <w:r>
        <w:drawing>
          <wp:inline xmlns:a="http://schemas.openxmlformats.org/drawingml/2006/main" xmlns:pic="http://schemas.openxmlformats.org/drawingml/2006/picture">
            <wp:extent cx="2514600" cy="5451499"/>
            <wp:docPr id="1" name="Picture 1" descr="app formulario"/>
            <wp:cNvGraphicFramePr>
              <a:graphicFrameLocks noChangeAspect="1"/>
            </wp:cNvGraphicFramePr>
            <a:graphic>
              <a:graphicData uri="http://schemas.openxmlformats.org/drawingml/2006/picture">
                <pic:pic>
                  <pic:nvPicPr>
                    <pic:cNvPr id="0" name="app_formulario.png"/>
                    <pic:cNvPicPr/>
                  </pic:nvPicPr>
                  <pic:blipFill>
                    <a:blip r:embed="rId9"/>
                    <a:stretch>
                      <a:fillRect/>
                    </a:stretch>
                  </pic:blipFill>
                  <pic:spPr>
                    <a:xfrm>
                      <a:off x="0" y="0"/>
                      <a:ext cx="2514600" cy="5451499"/>
                    </a:xfrm>
                    <a:prstGeom prst="rect"/>
                  </pic:spPr>
                </pic:pic>
              </a:graphicData>
            </a:graphic>
          </wp:inline>
        </w:drawing>
      </w:r>
      <w:r>
        <w:t xml:space="preserve">   </w:t>
      </w:r>
      <w:r>
        <w:drawing>
          <wp:inline xmlns:a="http://schemas.openxmlformats.org/drawingml/2006/main" xmlns:pic="http://schemas.openxmlformats.org/drawingml/2006/picture">
            <wp:extent cx="2514600" cy="5451499"/>
            <wp:docPr id="2" name="Picture 2" descr="app boleta neto"/>
            <wp:cNvGraphicFramePr>
              <a:graphicFrameLocks noChangeAspect="1"/>
            </wp:cNvGraphicFramePr>
            <a:graphic>
              <a:graphicData uri="http://schemas.openxmlformats.org/drawingml/2006/picture">
                <pic:pic>
                  <pic:nvPicPr>
                    <pic:cNvPr id="0" name="app_boleta_neto.png"/>
                    <pic:cNvPicPr/>
                  </pic:nvPicPr>
                  <pic:blipFill>
                    <a:blip r:embed="rId10"/>
                    <a:stretch>
                      <a:fillRect/>
                    </a:stretch>
                  </pic:blipFill>
                  <pic:spPr>
                    <a:xfrm>
                      <a:off x="0" y="0"/>
                      <a:ext cx="2514600" cy="5451499"/>
                    </a:xfrm>
                    <a:prstGeom prst="rect"/>
                  </pic:spPr>
                </pic:pic>
              </a:graphicData>
            </a:graphic>
          </wp:inline>
        </w:drawing>
      </w:r>
    </w:p>
    <w:p>
      <w:r>
        <w:t>Izquierda: entradas iniciales. Derecha: referencia profesional, oferta y neto de S/ 3073.92. Las imágenes son capturas del simulador, no diseños de ejemplo.</w:t>
      </w:r>
    </w:p>
    <w:p>
      <w:r>
        <w:br w:type="page"/>
      </w:r>
    </w:p>
    <w:p>
      <w:pPr>
        <w:pStyle w:val="Heading1"/>
      </w:pPr>
      <w:r>
        <w:t>Desglose y validación</w:t>
      </w:r>
    </w:p>
    <w:p>
      <w:r>
        <w:t>El mismo ScrollView muestra remuneraciones, retenciones y aportaciones. EsSalud se suma al costo de la empresa, pero no se descuenta del trabajador.</w:t>
      </w:r>
    </w:p>
    <w:p>
      <w:pPr>
        <w:jc w:val="center"/>
      </w:pPr>
      <w:r>
        <w:drawing>
          <wp:inline xmlns:a="http://schemas.openxmlformats.org/drawingml/2006/main" xmlns:pic="http://schemas.openxmlformats.org/drawingml/2006/picture">
            <wp:extent cx="2514600" cy="5451499"/>
            <wp:docPr id="3" name="Picture 3" descr="app boleta detalle"/>
            <wp:cNvGraphicFramePr>
              <a:graphicFrameLocks noChangeAspect="1"/>
            </wp:cNvGraphicFramePr>
            <a:graphic>
              <a:graphicData uri="http://schemas.openxmlformats.org/drawingml/2006/picture">
                <pic:pic>
                  <pic:nvPicPr>
                    <pic:cNvPr id="0" name="app_boleta_detalle.png"/>
                    <pic:cNvPicPr/>
                  </pic:nvPicPr>
                  <pic:blipFill>
                    <a:blip r:embed="rId11"/>
                    <a:stretch>
                      <a:fillRect/>
                    </a:stretch>
                  </pic:blipFill>
                  <pic:spPr>
                    <a:xfrm>
                      <a:off x="0" y="0"/>
                      <a:ext cx="2514600" cy="5451499"/>
                    </a:xfrm>
                    <a:prstGeom prst="rect"/>
                  </pic:spPr>
                </pic:pic>
              </a:graphicData>
            </a:graphic>
          </wp:inline>
        </w:drawing>
      </w:r>
      <w:r>
        <w:t xml:space="preserve">   </w:t>
      </w:r>
      <w:r>
        <w:drawing>
          <wp:inline xmlns:a="http://schemas.openxmlformats.org/drawingml/2006/main" xmlns:pic="http://schemas.openxmlformats.org/drawingml/2006/picture">
            <wp:extent cx="2514600" cy="5451499"/>
            <wp:docPr id="4" name="Picture 4" descr="app validacion"/>
            <wp:cNvGraphicFramePr>
              <a:graphicFrameLocks noChangeAspect="1"/>
            </wp:cNvGraphicFramePr>
            <a:graphic>
              <a:graphicData uri="http://schemas.openxmlformats.org/drawingml/2006/picture">
                <pic:pic>
                  <pic:nvPicPr>
                    <pic:cNvPr id="0" name="app_validacion.png"/>
                    <pic:cNvPicPr/>
                  </pic:nvPicPr>
                  <pic:blipFill>
                    <a:blip r:embed="rId12"/>
                    <a:stretch>
                      <a:fillRect/>
                    </a:stretch>
                  </pic:blipFill>
                  <pic:spPr>
                    <a:xfrm>
                      <a:off x="0" y="0"/>
                      <a:ext cx="2514600" cy="5451499"/>
                    </a:xfrm>
                    <a:prstGeom prst="rect"/>
                  </pic:spPr>
                </pic:pic>
              </a:graphicData>
            </a:graphic>
          </wp:inline>
        </w:drawing>
      </w:r>
    </w:p>
    <w:p>
      <w:r>
        <w:t>La boleta muestra ingresos de 3698.84, descuentos de 624.92 y EsSalud de 332.90. La prueba con 31 días muestra un error y elimina el neto anterior. Se realizó con el caso propio 2.</w:t>
      </w:r>
    </w:p>
    <w:p>
      <w:r>
        <w:br w:type="page"/>
      </w:r>
    </w:p>
    <w:p>
      <w:pPr>
        <w:pStyle w:val="Heading1"/>
      </w:pPr>
      <w:r>
        <w:t>Correspondencia con la hoja Boleta</w:t>
      </w:r>
    </w:p>
    <w:p>
      <w:r>
        <w:t>Las celdas B23 a B41 y A43 del libro coinciden con los conceptos de la app. Cada importe se redondea a dos decimales antes de sumar. Habitat aplica comisión de 1.47%, distinta del 1.60% de AFP Guía.</w:t>
      </w:r>
    </w:p>
    <w:p>
      <w:pPr>
        <w:jc w:val="center"/>
      </w:pPr>
      <w:r>
        <w:drawing>
          <wp:inline xmlns:a="http://schemas.openxmlformats.org/drawingml/2006/main" xmlns:pic="http://schemas.openxmlformats.org/drawingml/2006/picture">
            <wp:extent cx="4800600" cy="6239600"/>
            <wp:docPr id="5" name="Picture 5" descr="excel boleta"/>
            <wp:cNvGraphicFramePr>
              <a:graphicFrameLocks noChangeAspect="1"/>
            </wp:cNvGraphicFramePr>
            <a:graphic>
              <a:graphicData uri="http://schemas.openxmlformats.org/drawingml/2006/picture">
                <pic:pic>
                  <pic:nvPicPr>
                    <pic:cNvPr id="0" name="excel_boleta.png"/>
                    <pic:cNvPicPr/>
                  </pic:nvPicPr>
                  <pic:blipFill>
                    <a:blip r:embed="rId13"/>
                    <a:stretch>
                      <a:fillRect/>
                    </a:stretch>
                  </pic:blipFill>
                  <pic:spPr>
                    <a:xfrm>
                      <a:off x="0" y="0"/>
                      <a:ext cx="4800600" cy="6239600"/>
                    </a:xfrm>
                    <a:prstGeom prst="rect"/>
                  </pic:spPr>
                </pic:pic>
              </a:graphicData>
            </a:graphic>
          </wp:inline>
        </w:drawing>
      </w:r>
    </w:p>
    <w:p>
      <w:r>
        <w:t>Imagen generada directamente del XLSX entregado. No es una captura de Microsoft Excel. El libro original conserva sus cinco hojas, fórmulas, gráficos y notas de fuentes.</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Evidencias de BoletaPago</dc:title>
  <dc:subject/>
  <dc:creator>Luis Dionicio</dc:creator>
  <cp:keywords/>
  <dc:description>generated by python-docx</dc:description>
  <cp:lastModifiedBy/>
  <cp:revision>1</cp:revision>
  <dcterms:created xsi:type="dcterms:W3CDTF">2013-12-23T23:15:00Z</dcterms:created>
  <dcterms:modified xsi:type="dcterms:W3CDTF">2013-12-23T23:15:00Z</dcterms:modified>
  <cp:category/>
</cp:coreProperties>
</file>