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776A8" w14:textId="77777777" w:rsidR="00107FE8" w:rsidRPr="00D30EE1" w:rsidRDefault="00107FE8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 w:rsidRPr="00D30EE1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Cuestionario (Respuestas al final del libro)</w:t>
      </w:r>
    </w:p>
    <w:p w14:paraId="5BAFEF36" w14:textId="77777777" w:rsidR="00107FE8" w:rsidRPr="0014632D" w:rsidRDefault="00107FE8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• </w:t>
      </w:r>
      <w:r w:rsidRPr="0014632D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11.1.</w:t>
      </w:r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¿Qué se entiende por una </w:t>
      </w:r>
      <w:proofErr w:type="spellStart"/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put</w:t>
      </w:r>
      <w:proofErr w:type="spellEnd"/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protectora? ¿Qué posición en opciones </w:t>
      </w:r>
      <w:proofErr w:type="spellStart"/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call</w:t>
      </w:r>
      <w:proofErr w:type="spellEnd"/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es equivalente a una </w:t>
      </w:r>
      <w:proofErr w:type="spellStart"/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put</w:t>
      </w:r>
      <w:proofErr w:type="spellEnd"/>
      <w:r w:rsidRPr="0014632D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protectora?</w:t>
      </w:r>
    </w:p>
    <w:p w14:paraId="1EA8021A" w14:textId="69724046" w:rsidR="00EE6B91" w:rsidRDefault="00D63C82" w:rsidP="00823B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D63C8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Una </w:t>
      </w:r>
      <w:proofErr w:type="spellStart"/>
      <w:r w:rsidRPr="00D63C8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put</w:t>
      </w:r>
      <w:proofErr w:type="spellEnd"/>
      <w:r w:rsidRPr="00D63C8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protectora es una </w:t>
      </w: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estrategia donde se compra una opción </w:t>
      </w:r>
      <w:proofErr w:type="spellStart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put</w:t>
      </w:r>
      <w:proofErr w:type="spellEnd"/>
      <w:r w:rsidR="00883C48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europea sobre una acción, y también se compra la misma acción.</w:t>
      </w:r>
    </w:p>
    <w:p w14:paraId="4FC5E8D6" w14:textId="4E9F2799" w:rsidR="00883C48" w:rsidRDefault="00883C48" w:rsidP="00823BA8">
      <w:pPr>
        <w:pStyle w:val="Prrafodelista"/>
        <w:spacing w:after="0" w:line="240" w:lineRule="auto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Esto busca cubrir el movimiento de la acci</w:t>
      </w:r>
      <w:r w:rsidR="002D6A8C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ón, normalmente cuando ya se tiene, y se utiliza esta opción para que en caso de qu</w:t>
      </w:r>
      <w:r w:rsidR="0073656D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e tuviera una bajada que está fuera de la estrategia, se tenga la carta para poder vender a un precio determinado, que es el que podría </w:t>
      </w:r>
      <w:r w:rsidR="00A67673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convenir al tenedor.</w:t>
      </w:r>
    </w:p>
    <w:p w14:paraId="1CDF4E75" w14:textId="35F30C7A" w:rsidR="00A67673" w:rsidRDefault="00A67673" w:rsidP="00823B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La opción </w:t>
      </w:r>
      <w:proofErr w:type="spellStart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</w:t>
      </w:r>
      <w:proofErr w:type="spellEnd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que corresponde a esta </w:t>
      </w:r>
      <w:proofErr w:type="spellStart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put</w:t>
      </w:r>
      <w:proofErr w:type="spellEnd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protectora y es cuando compras una posición larga en una acción, y </w:t>
      </w:r>
      <w:r w:rsidR="00833E5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una posición corta en una </w:t>
      </w:r>
      <w:proofErr w:type="spellStart"/>
      <w:r w:rsidR="00833E5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</w:t>
      </w:r>
      <w:proofErr w:type="spellEnd"/>
      <w:r w:rsidR="00833E5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cubierta.</w:t>
      </w:r>
    </w:p>
    <w:p w14:paraId="1A83AA30" w14:textId="77777777" w:rsidR="00823BA8" w:rsidRPr="00A67673" w:rsidRDefault="00823BA8" w:rsidP="00823BA8">
      <w:pPr>
        <w:pStyle w:val="Prrafodelista"/>
        <w:spacing w:after="0" w:line="240" w:lineRule="auto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</w:p>
    <w:p w14:paraId="0778BED7" w14:textId="150D7C51" w:rsidR="00107FE8" w:rsidRPr="00AA71C7" w:rsidRDefault="00107FE8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 w:rsidRPr="00AA71C7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• </w:t>
      </w:r>
      <w:r w:rsidRPr="00AA71C7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11.2.</w:t>
      </w:r>
      <w:r w:rsidRPr="00AA71C7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Explica dos formas en las que se puede crear un </w:t>
      </w:r>
      <w:proofErr w:type="spellStart"/>
      <w:r w:rsidRPr="00AA71C7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bear</w:t>
      </w:r>
      <w:proofErr w:type="spellEnd"/>
      <w:r w:rsidRPr="00AA71C7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spread (spread bajista).</w:t>
      </w:r>
      <w:r w:rsidR="009748BE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c</w:t>
      </w:r>
    </w:p>
    <w:p w14:paraId="53742FEE" w14:textId="2EEBBB8F" w:rsidR="003D4804" w:rsidRPr="00E21C96" w:rsidRDefault="009748BE" w:rsidP="00823BA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Puede ut</w:t>
      </w:r>
      <w:r w:rsidR="00DC640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i</w:t>
      </w: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lizarse de d</w:t>
      </w:r>
      <w:r w:rsidR="00244835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iversas </w:t>
      </w:r>
      <w:r w:rsidR="00E21C96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formas, pero:</w:t>
      </w:r>
    </w:p>
    <w:p w14:paraId="633EA442" w14:textId="5378AE81" w:rsidR="00923860" w:rsidRPr="00923860" w:rsidRDefault="00923860" w:rsidP="00823B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val="en-US" w:eastAsia="es-MX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lang w:val="en-US" w:eastAsia="es-MX"/>
          <w14:ligatures w14:val="none"/>
        </w:rPr>
        <w:t>Un bear spread</w:t>
      </w:r>
      <w:r w:rsidR="00CC10A9">
        <w:rPr>
          <w:rFonts w:ascii="Lato" w:eastAsia="Times New Roman" w:hAnsi="Lato" w:cs="Times New Roman"/>
          <w:b/>
          <w:bCs/>
          <w:color w:val="2D3B45"/>
          <w:kern w:val="0"/>
          <w:lang w:val="en-US" w:eastAsia="es-MX"/>
          <w14:ligatures w14:val="none"/>
        </w:rPr>
        <w:t xml:space="preserve"> con put</w:t>
      </w:r>
    </w:p>
    <w:p w14:paraId="56C01DB1" w14:textId="2F47C12C" w:rsidR="00923860" w:rsidRDefault="00923860" w:rsidP="00823BA8">
      <w:pPr>
        <w:spacing w:after="0" w:line="240" w:lineRule="auto"/>
        <w:ind w:left="72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92386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Esto se puede hacer con </w:t>
      </w:r>
      <w:proofErr w:type="spellStart"/>
      <w:r w:rsidRPr="0092386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</w:t>
      </w:r>
      <w:proofErr w:type="spellEnd"/>
      <w:r w:rsidRPr="0092386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o </w:t>
      </w:r>
      <w:proofErr w:type="spellStart"/>
      <w:r w:rsidRPr="0092386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put</w:t>
      </w:r>
      <w:proofErr w:type="spellEnd"/>
      <w:r w:rsidRPr="0092386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, pero toma</w:t>
      </w: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remos </w:t>
      </w:r>
      <w:proofErr w:type="spellStart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put</w:t>
      </w:r>
      <w:proofErr w:type="spellEnd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.</w:t>
      </w:r>
    </w:p>
    <w:p w14:paraId="6A159A7F" w14:textId="07A19770" w:rsidR="00923860" w:rsidRDefault="00923860" w:rsidP="00823BA8">
      <w:pPr>
        <w:spacing w:after="0" w:line="240" w:lineRule="auto"/>
        <w:ind w:left="72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Se p</w:t>
      </w:r>
      <w:r w:rsidR="00DC640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ue</w:t>
      </w: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de comprar un </w:t>
      </w:r>
      <w:proofErr w:type="spellStart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put</w:t>
      </w:r>
      <w:proofErr w:type="spellEnd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precio de ejercicio muy alto. </w:t>
      </w:r>
      <w:proofErr w:type="spellStart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Despés</w:t>
      </w:r>
      <w:proofErr w:type="spellEnd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, vender una </w:t>
      </w:r>
      <w:proofErr w:type="spellStart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put</w:t>
      </w:r>
      <w:proofErr w:type="spellEnd"/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con un precio de ejercicio más </w:t>
      </w:r>
      <w:r w:rsidR="00CC10A9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bajo.</w:t>
      </w:r>
    </w:p>
    <w:p w14:paraId="1C0C94AC" w14:textId="0B115A21" w:rsidR="00CC10A9" w:rsidRDefault="00CC10A9" w:rsidP="00823BA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val="en-US" w:eastAsia="es-MX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lang w:val="en-US" w:eastAsia="es-MX"/>
          <w14:ligatures w14:val="none"/>
        </w:rPr>
        <w:t>Un bear spread con call</w:t>
      </w:r>
    </w:p>
    <w:p w14:paraId="3AEDCBCC" w14:textId="06CE0913" w:rsidR="003A41BD" w:rsidRDefault="003A41BD" w:rsidP="00823BA8">
      <w:pPr>
        <w:spacing w:after="0" w:line="240" w:lineRule="auto"/>
        <w:ind w:left="72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3A41BD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En este caso se realiza prácticamente lo mismo, e</w:t>
      </w: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s comprar una</w:t>
      </w:r>
      <w:r w:rsidR="00056B86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opción de tipo </w:t>
      </w:r>
      <w:proofErr w:type="spellStart"/>
      <w:r w:rsidR="00056B86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</w:t>
      </w:r>
      <w:proofErr w:type="spellEnd"/>
      <w:r w:rsidR="00056B86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con un precio de ejercicio muy alto, pero ahora, </w:t>
      </w:r>
      <w:r w:rsidR="00526895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se vende una </w:t>
      </w:r>
      <w:proofErr w:type="spellStart"/>
      <w:r w:rsidR="00526895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</w:t>
      </w:r>
      <w:proofErr w:type="spellEnd"/>
      <w:r w:rsidR="00526895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con un precio muy bajo</w:t>
      </w:r>
      <w:r w:rsidR="0009695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.</w:t>
      </w:r>
    </w:p>
    <w:p w14:paraId="6BD6322E" w14:textId="77777777" w:rsidR="00096950" w:rsidRDefault="00096950" w:rsidP="00823BA8">
      <w:pPr>
        <w:spacing w:after="0" w:line="240" w:lineRule="auto"/>
        <w:ind w:left="72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</w:p>
    <w:p w14:paraId="0102BCA3" w14:textId="15494DA2" w:rsidR="00096950" w:rsidRPr="003A41BD" w:rsidRDefault="00096950" w:rsidP="00823BA8">
      <w:pPr>
        <w:spacing w:after="0" w:line="240" w:lineRule="auto"/>
        <w:ind w:left="72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Estas estrategias están buscando la forma de cubrir cuando ya </w:t>
      </w:r>
      <w:r w:rsidR="00AA4F6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se tiene la </w:t>
      </w:r>
      <w:r w:rsidR="00776CB4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acción, esto buscando que en desplomes o cambios significativos (considerando que puede ser cualquier situación volátil, pero que en el fondo esa acción sí la necesitaba el cliente, no está buscando hacer arbitraje”)</w:t>
      </w:r>
    </w:p>
    <w:p w14:paraId="35D4F95E" w14:textId="37C84E4E" w:rsidR="00CC10A9" w:rsidRDefault="00CC10A9" w:rsidP="00823BA8">
      <w:pPr>
        <w:pStyle w:val="Prrafodelista"/>
        <w:spacing w:after="0" w:line="240" w:lineRule="auto"/>
        <w:ind w:left="108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3A41BD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ESETEP</w:t>
      </w:r>
    </w:p>
    <w:p w14:paraId="4954EEE0" w14:textId="77777777" w:rsidR="00DC6402" w:rsidRPr="003A41BD" w:rsidRDefault="00DC6402" w:rsidP="00823BA8">
      <w:pPr>
        <w:pStyle w:val="Prrafodelista"/>
        <w:spacing w:after="0" w:line="240" w:lineRule="auto"/>
        <w:ind w:left="108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</w:p>
    <w:p w14:paraId="3E3DF7E0" w14:textId="1B175FF1" w:rsidR="00107FE8" w:rsidRDefault="00107FE8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 w:rsidRPr="00923860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• </w:t>
      </w:r>
      <w:r w:rsidRPr="00923860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11.3.</w:t>
      </w:r>
      <w:r w:rsidRPr="00923860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</w:t>
      </w:r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¿Cuándo es apropiado que un inversionista compre un </w:t>
      </w:r>
      <w:proofErr w:type="spellStart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butterfly</w:t>
      </w:r>
      <w:proofErr w:type="spellEnd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spread (spread mariposa)?</w:t>
      </w:r>
    </w:p>
    <w:p w14:paraId="3AEAAD9D" w14:textId="2F463D2F" w:rsidR="00DC6402" w:rsidRPr="00280793" w:rsidRDefault="00280793" w:rsidP="00823BA8">
      <w:pPr>
        <w:spacing w:after="0" w:line="240" w:lineRule="auto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280793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Cuando el inversor considera que es poco probable que se produzcan grandes fluctuaciones en el precio de las acciones.</w:t>
      </w:r>
    </w:p>
    <w:p w14:paraId="75D0CA56" w14:textId="77777777" w:rsidR="00DC6402" w:rsidRPr="00823BA8" w:rsidRDefault="00DC6402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</w:p>
    <w:p w14:paraId="6A5B27EF" w14:textId="77777777" w:rsidR="00107FE8" w:rsidRDefault="00107FE8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• </w:t>
      </w:r>
      <w:r w:rsidRPr="00823BA8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11.4.</w:t>
      </w:r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Se encuentran disponibles opciones </w:t>
      </w:r>
      <w:proofErr w:type="spellStart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call</w:t>
      </w:r>
      <w:proofErr w:type="spellEnd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sobre una acción con precios de ejercicio de $15, $17.5 y $20, y fechas de vencimiento en tres meses. Sus precios son $4, $2 y $0.5, respectivamente. Explica cómo se pueden usar estas opciones para crear un </w:t>
      </w:r>
      <w:proofErr w:type="spellStart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butterfly</w:t>
      </w:r>
      <w:proofErr w:type="spellEnd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spread. Construye una tabla que muestre cómo varía la ganancia con el precio de la acción para el </w:t>
      </w:r>
      <w:proofErr w:type="spellStart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butterfly</w:t>
      </w:r>
      <w:proofErr w:type="spellEnd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spread.</w:t>
      </w:r>
    </w:p>
    <w:p w14:paraId="72579D4D" w14:textId="77777777" w:rsidR="00B964D1" w:rsidRDefault="00B964D1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37"/>
        <w:gridCol w:w="4231"/>
      </w:tblGrid>
      <w:tr w:rsidR="00B964D1" w14:paraId="1073B6C7" w14:textId="77777777" w:rsidTr="00D924B1">
        <w:tc>
          <w:tcPr>
            <w:tcW w:w="4237" w:type="dxa"/>
          </w:tcPr>
          <w:p w14:paraId="04EE5DC9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Strike </w:t>
            </w:r>
            <w:proofErr w:type="spellStart"/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price</w:t>
            </w:r>
            <w:proofErr w:type="spellEnd"/>
          </w:p>
        </w:tc>
        <w:tc>
          <w:tcPr>
            <w:tcW w:w="4231" w:type="dxa"/>
          </w:tcPr>
          <w:p w14:paraId="47909367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Call</w:t>
            </w:r>
            <w:proofErr w:type="spellEnd"/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price</w:t>
            </w:r>
            <w:proofErr w:type="spellEnd"/>
          </w:p>
        </w:tc>
      </w:tr>
      <w:tr w:rsidR="00B964D1" w14:paraId="07787E89" w14:textId="77777777" w:rsidTr="00D924B1">
        <w:tc>
          <w:tcPr>
            <w:tcW w:w="4237" w:type="dxa"/>
          </w:tcPr>
          <w:p w14:paraId="4237BA66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$15</w:t>
            </w:r>
          </w:p>
        </w:tc>
        <w:tc>
          <w:tcPr>
            <w:tcW w:w="4231" w:type="dxa"/>
          </w:tcPr>
          <w:p w14:paraId="6EF6A72E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$4</w:t>
            </w:r>
          </w:p>
        </w:tc>
      </w:tr>
      <w:tr w:rsidR="00B964D1" w14:paraId="32F29605" w14:textId="77777777" w:rsidTr="00D924B1">
        <w:tc>
          <w:tcPr>
            <w:tcW w:w="4237" w:type="dxa"/>
          </w:tcPr>
          <w:p w14:paraId="349AF3C2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$17.5</w:t>
            </w:r>
          </w:p>
        </w:tc>
        <w:tc>
          <w:tcPr>
            <w:tcW w:w="4231" w:type="dxa"/>
          </w:tcPr>
          <w:p w14:paraId="378636D7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$2</w:t>
            </w:r>
          </w:p>
        </w:tc>
      </w:tr>
      <w:tr w:rsidR="00B964D1" w14:paraId="55B1552B" w14:textId="77777777" w:rsidTr="00D924B1">
        <w:tc>
          <w:tcPr>
            <w:tcW w:w="4237" w:type="dxa"/>
          </w:tcPr>
          <w:p w14:paraId="1F721556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$20</w:t>
            </w:r>
          </w:p>
        </w:tc>
        <w:tc>
          <w:tcPr>
            <w:tcW w:w="4231" w:type="dxa"/>
          </w:tcPr>
          <w:p w14:paraId="76A93DB6" w14:textId="77777777" w:rsidR="00B964D1" w:rsidRPr="000A604D" w:rsidRDefault="00B964D1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0A604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$0.5</w:t>
            </w:r>
          </w:p>
        </w:tc>
      </w:tr>
    </w:tbl>
    <w:p w14:paraId="039D9D2C" w14:textId="77777777" w:rsidR="00D924B1" w:rsidRPr="006E3972" w:rsidRDefault="00D924B1" w:rsidP="00D924B1">
      <w:pPr>
        <w:ind w:left="36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lastRenderedPageBreak/>
        <w:t xml:space="preserve">Comprar opción </w:t>
      </w:r>
      <w:proofErr w:type="spellStart"/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</w:t>
      </w:r>
      <w:proofErr w:type="spellEnd"/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de $15, comprar opción </w:t>
      </w:r>
      <w:proofErr w:type="spellStart"/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</w:t>
      </w:r>
      <w:proofErr w:type="spellEnd"/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de $20 y vendiendo dos </w:t>
      </w:r>
      <w:proofErr w:type="spellStart"/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calls</w:t>
      </w:r>
      <w:proofErr w:type="spellEnd"/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 xml:space="preserve"> con precio de ejercicio de $17.5. Cuesta $4 + $0.5 – (2 * $2) = $0.5 crear el spread.</w:t>
      </w:r>
    </w:p>
    <w:p w14:paraId="5DF72233" w14:textId="77777777" w:rsidR="006F6582" w:rsidRPr="006E3972" w:rsidRDefault="006F6582" w:rsidP="006F6582">
      <w:pPr>
        <w:ind w:left="360"/>
        <w:jc w:val="both"/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</w:pPr>
      <w:r w:rsidRPr="006E3972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Si el precio de ejercicio en 3 meses es mayor que $20 o menor que $15, la recompensa total es 0 y el inversor tiene una pérdida neta de $0.5. Si el precio de la acción esta entre $16 y $20, una ganancia es hecha. La máxima ganancia ocurre cuando el precio del stock en 3 meses es $17.5.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276"/>
        <w:gridCol w:w="1418"/>
        <w:gridCol w:w="2126"/>
        <w:gridCol w:w="1178"/>
      </w:tblGrid>
      <w:tr w:rsidR="00302846" w14:paraId="396AFB23" w14:textId="77777777">
        <w:tc>
          <w:tcPr>
            <w:tcW w:w="2470" w:type="dxa"/>
          </w:tcPr>
          <w:p w14:paraId="27A3DB5C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Rango del precio de la acción</w:t>
            </w:r>
          </w:p>
        </w:tc>
        <w:tc>
          <w:tcPr>
            <w:tcW w:w="1276" w:type="dxa"/>
          </w:tcPr>
          <w:p w14:paraId="54233269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Pago del primer </w:t>
            </w:r>
            <w:proofErr w:type="spellStart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long</w:t>
            </w:r>
            <w:proofErr w:type="spellEnd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call</w:t>
            </w:r>
            <w:proofErr w:type="spellEnd"/>
          </w:p>
        </w:tc>
        <w:tc>
          <w:tcPr>
            <w:tcW w:w="1418" w:type="dxa"/>
          </w:tcPr>
          <w:p w14:paraId="6551C5C0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Pago del segundo </w:t>
            </w:r>
            <w:proofErr w:type="spellStart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long</w:t>
            </w:r>
            <w:proofErr w:type="spellEnd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call</w:t>
            </w:r>
            <w:proofErr w:type="spellEnd"/>
          </w:p>
        </w:tc>
        <w:tc>
          <w:tcPr>
            <w:tcW w:w="2126" w:type="dxa"/>
          </w:tcPr>
          <w:p w14:paraId="0D1C4E44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Pago </w:t>
            </w:r>
            <w:proofErr w:type="gramStart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de los short</w:t>
            </w:r>
            <w:proofErr w:type="gramEnd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 xml:space="preserve"> </w:t>
            </w:r>
            <w:proofErr w:type="spellStart"/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calls</w:t>
            </w:r>
            <w:proofErr w:type="spellEnd"/>
          </w:p>
        </w:tc>
        <w:tc>
          <w:tcPr>
            <w:tcW w:w="1178" w:type="dxa"/>
          </w:tcPr>
          <w:p w14:paraId="11F32F51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Pago total</w:t>
            </w:r>
          </w:p>
        </w:tc>
      </w:tr>
      <w:tr w:rsidR="00302846" w14:paraId="2F84071D" w14:textId="77777777">
        <w:tc>
          <w:tcPr>
            <w:tcW w:w="2470" w:type="dxa"/>
          </w:tcPr>
          <w:p w14:paraId="583136D8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≤$15</m:t>
                </m:r>
              </m:oMath>
            </m:oMathPara>
          </w:p>
        </w:tc>
        <w:tc>
          <w:tcPr>
            <w:tcW w:w="1276" w:type="dxa"/>
          </w:tcPr>
          <w:p w14:paraId="7311E118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1418" w:type="dxa"/>
          </w:tcPr>
          <w:p w14:paraId="0FF553C0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2126" w:type="dxa"/>
          </w:tcPr>
          <w:p w14:paraId="519AB44E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1178" w:type="dxa"/>
          </w:tcPr>
          <w:p w14:paraId="37040015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</w:tr>
      <w:tr w:rsidR="00302846" w14:paraId="6477C4CF" w14:textId="77777777">
        <w:tc>
          <w:tcPr>
            <w:tcW w:w="2470" w:type="dxa"/>
          </w:tcPr>
          <w:p w14:paraId="7711A312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$15&lt;</m:t>
                    </m:r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≤$17.5</m:t>
                </m:r>
              </m:oMath>
            </m:oMathPara>
          </w:p>
        </w:tc>
        <w:tc>
          <w:tcPr>
            <w:tcW w:w="1276" w:type="dxa"/>
          </w:tcPr>
          <w:p w14:paraId="7AA9EAF0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-15</m:t>
                </m:r>
              </m:oMath>
            </m:oMathPara>
          </w:p>
        </w:tc>
        <w:tc>
          <w:tcPr>
            <w:tcW w:w="1418" w:type="dxa"/>
          </w:tcPr>
          <w:p w14:paraId="63A6EDB3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2126" w:type="dxa"/>
          </w:tcPr>
          <w:p w14:paraId="15F9D741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1178" w:type="dxa"/>
          </w:tcPr>
          <w:p w14:paraId="2CC38951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-15</m:t>
                </m:r>
              </m:oMath>
            </m:oMathPara>
          </w:p>
        </w:tc>
      </w:tr>
      <w:tr w:rsidR="00302846" w14:paraId="3F71C624" w14:textId="77777777">
        <w:tc>
          <w:tcPr>
            <w:tcW w:w="2470" w:type="dxa"/>
          </w:tcPr>
          <w:p w14:paraId="61C637FA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$17.5&lt;</m:t>
                    </m:r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≤$20</m:t>
                </m:r>
              </m:oMath>
            </m:oMathPara>
          </w:p>
        </w:tc>
        <w:tc>
          <w:tcPr>
            <w:tcW w:w="1276" w:type="dxa"/>
          </w:tcPr>
          <w:p w14:paraId="0C5E588D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-15</m:t>
                </m:r>
              </m:oMath>
            </m:oMathPara>
          </w:p>
        </w:tc>
        <w:tc>
          <w:tcPr>
            <w:tcW w:w="1418" w:type="dxa"/>
          </w:tcPr>
          <w:p w14:paraId="1A77CDD3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  <w:tc>
          <w:tcPr>
            <w:tcW w:w="2126" w:type="dxa"/>
          </w:tcPr>
          <w:p w14:paraId="011FDEC3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-2(</m:t>
                    </m:r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-17.5)</m:t>
                </m:r>
              </m:oMath>
            </m:oMathPara>
          </w:p>
        </w:tc>
        <w:tc>
          <w:tcPr>
            <w:tcW w:w="1178" w:type="dxa"/>
          </w:tcPr>
          <w:p w14:paraId="3EB1A0C7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20-</m:t>
                    </m:r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</w:tr>
      <w:tr w:rsidR="00302846" w14:paraId="481787E5" w14:textId="77777777">
        <w:tc>
          <w:tcPr>
            <w:tcW w:w="2470" w:type="dxa"/>
          </w:tcPr>
          <w:p w14:paraId="0ACB1BD6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≥$20</m:t>
                </m:r>
              </m:oMath>
            </m:oMathPara>
          </w:p>
        </w:tc>
        <w:tc>
          <w:tcPr>
            <w:tcW w:w="1276" w:type="dxa"/>
          </w:tcPr>
          <w:p w14:paraId="2CF7A288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-15</m:t>
                </m:r>
              </m:oMath>
            </m:oMathPara>
          </w:p>
        </w:tc>
        <w:tc>
          <w:tcPr>
            <w:tcW w:w="1418" w:type="dxa"/>
          </w:tcPr>
          <w:p w14:paraId="33230151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-20</m:t>
                </m:r>
              </m:oMath>
            </m:oMathPara>
          </w:p>
        </w:tc>
        <w:tc>
          <w:tcPr>
            <w:tcW w:w="2126" w:type="dxa"/>
          </w:tcPr>
          <w:p w14:paraId="60F645F5" w14:textId="77777777" w:rsidR="00302846" w:rsidRPr="006E3972" w:rsidRDefault="0058413B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-2(</m:t>
                    </m:r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D3B45"/>
                        <w:kern w:val="0"/>
                        <w:sz w:val="24"/>
                        <w:szCs w:val="24"/>
                        <w:lang w:eastAsia="es-MX"/>
                        <w14:ligatures w14:val="none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D3B45"/>
                    <w:kern w:val="0"/>
                    <w:sz w:val="24"/>
                    <w:szCs w:val="24"/>
                    <w:lang w:eastAsia="es-MX"/>
                    <w14:ligatures w14:val="none"/>
                  </w:rPr>
                  <m:t>-17.5)</m:t>
                </m:r>
              </m:oMath>
            </m:oMathPara>
          </w:p>
        </w:tc>
        <w:tc>
          <w:tcPr>
            <w:tcW w:w="1178" w:type="dxa"/>
          </w:tcPr>
          <w:p w14:paraId="62E6B76C" w14:textId="77777777" w:rsidR="00302846" w:rsidRPr="006E3972" w:rsidRDefault="00302846">
            <w:pPr>
              <w:jc w:val="both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</w:pPr>
            <w:r w:rsidRPr="006E3972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eastAsia="es-MX"/>
                <w14:ligatures w14:val="none"/>
              </w:rPr>
              <w:t>0</w:t>
            </w:r>
          </w:p>
        </w:tc>
      </w:tr>
    </w:tbl>
    <w:p w14:paraId="00845364" w14:textId="77777777" w:rsidR="00FE457E" w:rsidRDefault="00FE457E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</w:p>
    <w:p w14:paraId="18C4B2F7" w14:textId="77777777" w:rsidR="00FE457E" w:rsidRPr="00823BA8" w:rsidRDefault="00FE457E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</w:p>
    <w:p w14:paraId="4617FAAE" w14:textId="77777777" w:rsidR="00107FE8" w:rsidRPr="00823BA8" w:rsidRDefault="451BB309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• </w:t>
      </w:r>
      <w:r w:rsidRPr="00823BA8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11.5.</w:t>
      </w:r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¿Qué estrategia de trading crea un reverse calendar spread (spread calendario inverso)?</w:t>
      </w:r>
    </w:p>
    <w:p w14:paraId="6EEA256D" w14:textId="04922F36" w:rsidR="0D7601C3" w:rsidRDefault="0D7601C3" w:rsidP="56965E4E">
      <w:pPr>
        <w:spacing w:after="0" w:line="240" w:lineRule="auto"/>
        <w:jc w:val="both"/>
        <w:rPr>
          <w:rFonts w:ascii="Lato" w:eastAsia="Times New Roman" w:hAnsi="Lato" w:cs="Times New Roman"/>
          <w:color w:val="2D3B45"/>
          <w:lang w:eastAsia="es-MX"/>
        </w:rPr>
      </w:pPr>
      <w:r w:rsidRPr="56965E4E">
        <w:rPr>
          <w:rFonts w:ascii="Lato" w:eastAsia="Times New Roman" w:hAnsi="Lato" w:cs="Times New Roman"/>
          <w:color w:val="2D3B45"/>
          <w:lang w:eastAsia="es-MX"/>
        </w:rPr>
        <w:t>El inversor compra una opción con vencimiento a corto plazo y vende una opción con vencimiento a largo plazo. Se obtiene una pequeña ganancia si el precio de la acción al vencimiento de la opción con vencimiento a corto plazo es muy superior o inferior al precio de ejercicio de la opción con vencimiento a corto plazo. Sin embargo, se produce una pérdida si se acerca al precio de ejercicio.</w:t>
      </w:r>
    </w:p>
    <w:p w14:paraId="69C780C8" w14:textId="7A920063" w:rsidR="56965E4E" w:rsidRDefault="56965E4E" w:rsidP="56965E4E">
      <w:pPr>
        <w:spacing w:after="0" w:line="240" w:lineRule="auto"/>
        <w:jc w:val="both"/>
        <w:rPr>
          <w:rFonts w:ascii="Lato" w:eastAsia="Times New Roman" w:hAnsi="Lato" w:cs="Times New Roman"/>
          <w:color w:val="2D3B45"/>
          <w:lang w:eastAsia="es-MX"/>
        </w:rPr>
      </w:pPr>
    </w:p>
    <w:p w14:paraId="20F8AC8B" w14:textId="77777777" w:rsidR="00107FE8" w:rsidRPr="00823BA8" w:rsidRDefault="451BB309" w:rsidP="00823BA8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</w:pPr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• </w:t>
      </w:r>
      <w:r w:rsidRPr="00823BA8">
        <w:rPr>
          <w:rFonts w:ascii="Lato" w:eastAsia="Times New Roman" w:hAnsi="Lato" w:cs="Times New Roman"/>
          <w:color w:val="2D3B45"/>
          <w:kern w:val="0"/>
          <w:lang w:eastAsia="es-MX"/>
          <w14:ligatures w14:val="none"/>
        </w:rPr>
        <w:t>11.6.</w:t>
      </w:r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¿Cuál es la diferencia entre un </w:t>
      </w:r>
      <w:proofErr w:type="spellStart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strangle</w:t>
      </w:r>
      <w:proofErr w:type="spellEnd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 xml:space="preserve"> y un </w:t>
      </w:r>
      <w:proofErr w:type="spellStart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straddle</w:t>
      </w:r>
      <w:proofErr w:type="spellEnd"/>
      <w:r w:rsidRPr="00823BA8">
        <w:rPr>
          <w:rFonts w:ascii="Lato" w:eastAsia="Times New Roman" w:hAnsi="Lato" w:cs="Times New Roman"/>
          <w:b/>
          <w:bCs/>
          <w:color w:val="2D3B45"/>
          <w:kern w:val="0"/>
          <w:lang w:eastAsia="es-MX"/>
          <w14:ligatures w14:val="none"/>
        </w:rPr>
        <w:t>?</w:t>
      </w:r>
    </w:p>
    <w:p w14:paraId="4175D392" w14:textId="0299E2FC" w:rsidR="56965E4E" w:rsidRDefault="56965E4E" w:rsidP="56965E4E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2D3B45"/>
          <w:lang w:eastAsia="es-MX"/>
        </w:rPr>
      </w:pPr>
    </w:p>
    <w:p w14:paraId="39E54B5B" w14:textId="473450AF" w:rsidR="705F00CE" w:rsidRDefault="705F00CE" w:rsidP="56965E4E">
      <w:pPr>
        <w:spacing w:after="0" w:line="240" w:lineRule="auto"/>
        <w:jc w:val="both"/>
      </w:pPr>
      <w:r w:rsidRPr="56965E4E">
        <w:rPr>
          <w:rFonts w:ascii="Lato" w:eastAsia="Times New Roman" w:hAnsi="Lato" w:cs="Times New Roman"/>
          <w:color w:val="2D3B45"/>
          <w:lang w:eastAsia="es-MX"/>
        </w:rPr>
        <w:t>Un "</w:t>
      </w:r>
      <w:proofErr w:type="spellStart"/>
      <w:r w:rsidRPr="56965E4E">
        <w:rPr>
          <w:rFonts w:ascii="Lato" w:eastAsia="Times New Roman" w:hAnsi="Lato" w:cs="Times New Roman"/>
          <w:color w:val="2D3B45"/>
          <w:lang w:eastAsia="es-MX"/>
        </w:rPr>
        <w:t>strangle</w:t>
      </w:r>
      <w:proofErr w:type="spellEnd"/>
      <w:r w:rsidRPr="56965E4E">
        <w:rPr>
          <w:rFonts w:ascii="Lato" w:eastAsia="Times New Roman" w:hAnsi="Lato" w:cs="Times New Roman"/>
          <w:color w:val="2D3B45"/>
          <w:lang w:eastAsia="es-MX"/>
        </w:rPr>
        <w:t>" es una estrategia similar a un "</w:t>
      </w:r>
      <w:proofErr w:type="spellStart"/>
      <w:r w:rsidRPr="56965E4E">
        <w:rPr>
          <w:rFonts w:ascii="Lato" w:eastAsia="Times New Roman" w:hAnsi="Lato" w:cs="Times New Roman"/>
          <w:color w:val="2D3B45"/>
          <w:lang w:eastAsia="es-MX"/>
        </w:rPr>
        <w:t>straddle</w:t>
      </w:r>
      <w:proofErr w:type="spellEnd"/>
      <w:r w:rsidRPr="56965E4E">
        <w:rPr>
          <w:rFonts w:ascii="Lato" w:eastAsia="Times New Roman" w:hAnsi="Lato" w:cs="Times New Roman"/>
          <w:color w:val="2D3B45"/>
          <w:lang w:eastAsia="es-MX"/>
        </w:rPr>
        <w:t>". El inversor apuesta a que habrá un movimiento de precio pronunciado, pero no está seguro de si será un aumento o una disminución.</w:t>
      </w:r>
    </w:p>
    <w:p w14:paraId="1F72381F" w14:textId="50CED9A7" w:rsidR="56965E4E" w:rsidRDefault="56965E4E" w:rsidP="56965E4E">
      <w:pPr>
        <w:spacing w:after="0" w:line="240" w:lineRule="auto"/>
        <w:jc w:val="both"/>
        <w:rPr>
          <w:rFonts w:ascii="Lato" w:eastAsia="Times New Roman" w:hAnsi="Lato" w:cs="Times New Roman"/>
          <w:color w:val="2D3B45"/>
          <w:lang w:eastAsia="es-MX"/>
        </w:rPr>
      </w:pPr>
    </w:p>
    <w:p w14:paraId="6BBBAD23" w14:textId="3B58EB57" w:rsidR="6FAA9749" w:rsidRDefault="6FAA9749" w:rsidP="56965E4E">
      <w:pPr>
        <w:spacing w:after="0" w:line="240" w:lineRule="auto"/>
        <w:jc w:val="both"/>
      </w:pPr>
      <w:r w:rsidRPr="56965E4E">
        <w:rPr>
          <w:rFonts w:ascii="Lato" w:eastAsia="Times New Roman" w:hAnsi="Lato" w:cs="Times New Roman"/>
          <w:color w:val="2D3B45"/>
          <w:lang w:eastAsia="es-MX"/>
        </w:rPr>
        <w:t xml:space="preserve">El precio de la acción debe fluctuar más en un </w:t>
      </w:r>
      <w:proofErr w:type="spellStart"/>
      <w:r w:rsidRPr="56965E4E">
        <w:rPr>
          <w:rFonts w:ascii="Lato" w:eastAsia="Times New Roman" w:hAnsi="Lato" w:cs="Times New Roman"/>
          <w:color w:val="2D3B45"/>
          <w:lang w:eastAsia="es-MX"/>
        </w:rPr>
        <w:t>strangle</w:t>
      </w:r>
      <w:proofErr w:type="spellEnd"/>
      <w:r w:rsidRPr="56965E4E">
        <w:rPr>
          <w:rFonts w:ascii="Lato" w:eastAsia="Times New Roman" w:hAnsi="Lato" w:cs="Times New Roman"/>
          <w:color w:val="2D3B45"/>
          <w:lang w:eastAsia="es-MX"/>
        </w:rPr>
        <w:t xml:space="preserve"> que en un </w:t>
      </w:r>
      <w:proofErr w:type="spellStart"/>
      <w:r w:rsidRPr="56965E4E">
        <w:rPr>
          <w:rFonts w:ascii="Lato" w:eastAsia="Times New Roman" w:hAnsi="Lato" w:cs="Times New Roman"/>
          <w:color w:val="2D3B45"/>
          <w:lang w:eastAsia="es-MX"/>
        </w:rPr>
        <w:t>straddle</w:t>
      </w:r>
      <w:proofErr w:type="spellEnd"/>
      <w:r w:rsidRPr="56965E4E">
        <w:rPr>
          <w:rFonts w:ascii="Lato" w:eastAsia="Times New Roman" w:hAnsi="Lato" w:cs="Times New Roman"/>
          <w:color w:val="2D3B45"/>
          <w:lang w:eastAsia="es-MX"/>
        </w:rPr>
        <w:t xml:space="preserve"> para que el inversor obtenga ganancias. Sin embargo, el riesgo de caída si el precio de la acción alcanza un valor central es menor con un </w:t>
      </w:r>
      <w:proofErr w:type="spellStart"/>
      <w:r w:rsidRPr="56965E4E">
        <w:rPr>
          <w:rFonts w:ascii="Lato" w:eastAsia="Times New Roman" w:hAnsi="Lato" w:cs="Times New Roman"/>
          <w:color w:val="2D3B45"/>
          <w:lang w:eastAsia="es-MX"/>
        </w:rPr>
        <w:t>strangle</w:t>
      </w:r>
      <w:proofErr w:type="spellEnd"/>
      <w:r w:rsidRPr="56965E4E">
        <w:rPr>
          <w:rFonts w:ascii="Lato" w:eastAsia="Times New Roman" w:hAnsi="Lato" w:cs="Times New Roman"/>
          <w:color w:val="2D3B45"/>
          <w:lang w:eastAsia="es-MX"/>
        </w:rPr>
        <w:t>.</w:t>
      </w:r>
    </w:p>
    <w:p w14:paraId="69883A5D" w14:textId="77777777" w:rsidR="00885BF5" w:rsidRPr="00107FE8" w:rsidRDefault="00885BF5" w:rsidP="00823BA8">
      <w:pPr>
        <w:jc w:val="both"/>
      </w:pPr>
    </w:p>
    <w:sectPr w:rsidR="00885BF5" w:rsidRPr="00107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2802"/>
    <w:multiLevelType w:val="hybridMultilevel"/>
    <w:tmpl w:val="70D035E4"/>
    <w:lvl w:ilvl="0" w:tplc="D42EA6F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70AEB"/>
    <w:multiLevelType w:val="hybridMultilevel"/>
    <w:tmpl w:val="9948E6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2513"/>
    <w:multiLevelType w:val="hybridMultilevel"/>
    <w:tmpl w:val="E776340A"/>
    <w:lvl w:ilvl="0" w:tplc="BFF22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07386"/>
    <w:multiLevelType w:val="multilevel"/>
    <w:tmpl w:val="70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812765">
    <w:abstractNumId w:val="3"/>
  </w:num>
  <w:num w:numId="2" w16cid:durableId="1712462451">
    <w:abstractNumId w:val="0"/>
  </w:num>
  <w:num w:numId="3" w16cid:durableId="1417243963">
    <w:abstractNumId w:val="1"/>
  </w:num>
  <w:num w:numId="4" w16cid:durableId="1027026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5"/>
    <w:rsid w:val="00056B86"/>
    <w:rsid w:val="00062963"/>
    <w:rsid w:val="0006316C"/>
    <w:rsid w:val="00096950"/>
    <w:rsid w:val="000A604D"/>
    <w:rsid w:val="00107FE8"/>
    <w:rsid w:val="0014632D"/>
    <w:rsid w:val="00202C0E"/>
    <w:rsid w:val="00244835"/>
    <w:rsid w:val="00280793"/>
    <w:rsid w:val="002D6A8C"/>
    <w:rsid w:val="002F4ADE"/>
    <w:rsid w:val="00302846"/>
    <w:rsid w:val="003A41BD"/>
    <w:rsid w:val="003D4804"/>
    <w:rsid w:val="005147B5"/>
    <w:rsid w:val="00526895"/>
    <w:rsid w:val="0058413B"/>
    <w:rsid w:val="005B02AA"/>
    <w:rsid w:val="006E3972"/>
    <w:rsid w:val="006F6582"/>
    <w:rsid w:val="0073656D"/>
    <w:rsid w:val="00776CB4"/>
    <w:rsid w:val="00823BA8"/>
    <w:rsid w:val="00833E54"/>
    <w:rsid w:val="00883C48"/>
    <w:rsid w:val="00885BF5"/>
    <w:rsid w:val="00900B5D"/>
    <w:rsid w:val="00923860"/>
    <w:rsid w:val="009748BE"/>
    <w:rsid w:val="00A67673"/>
    <w:rsid w:val="00AA4F62"/>
    <w:rsid w:val="00AA71C7"/>
    <w:rsid w:val="00B964D1"/>
    <w:rsid w:val="00C66662"/>
    <w:rsid w:val="00CC10A9"/>
    <w:rsid w:val="00D2612C"/>
    <w:rsid w:val="00D30EE1"/>
    <w:rsid w:val="00D63C82"/>
    <w:rsid w:val="00D924B1"/>
    <w:rsid w:val="00DC6402"/>
    <w:rsid w:val="00E21C96"/>
    <w:rsid w:val="00E234B8"/>
    <w:rsid w:val="00E40420"/>
    <w:rsid w:val="00E73D2E"/>
    <w:rsid w:val="00EE233E"/>
    <w:rsid w:val="00EE6B91"/>
    <w:rsid w:val="00FD2C27"/>
    <w:rsid w:val="00FE457E"/>
    <w:rsid w:val="0D7601C3"/>
    <w:rsid w:val="451BB309"/>
    <w:rsid w:val="56965E4E"/>
    <w:rsid w:val="6FAA9749"/>
    <w:rsid w:val="705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4B7B"/>
  <w15:chartTrackingRefBased/>
  <w15:docId w15:val="{12F74B15-2712-42C7-903A-819B8ED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BF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885BF5"/>
    <w:rPr>
      <w:b/>
      <w:bCs/>
    </w:rPr>
  </w:style>
  <w:style w:type="character" w:customStyle="1" w:styleId="textlayer--absolute">
    <w:name w:val="textlayer--absolute"/>
    <w:basedOn w:val="Fuentedeprrafopredeter"/>
    <w:rsid w:val="00885BF5"/>
  </w:style>
  <w:style w:type="paragraph" w:customStyle="1" w:styleId="textlayer">
    <w:name w:val="textlayer"/>
    <w:basedOn w:val="Normal"/>
    <w:rsid w:val="0088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885BF5"/>
  </w:style>
  <w:style w:type="paragraph" w:customStyle="1" w:styleId="p1">
    <w:name w:val="p1"/>
    <w:basedOn w:val="Normal"/>
    <w:rsid w:val="0010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2">
    <w:name w:val="p2"/>
    <w:basedOn w:val="Normal"/>
    <w:rsid w:val="00107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tab-span">
    <w:name w:val="apple-tab-span"/>
    <w:basedOn w:val="Fuentedeprrafopredeter"/>
    <w:rsid w:val="00107FE8"/>
  </w:style>
  <w:style w:type="character" w:customStyle="1" w:styleId="s1">
    <w:name w:val="s1"/>
    <w:basedOn w:val="Fuentedeprrafopredeter"/>
    <w:rsid w:val="00107FE8"/>
  </w:style>
  <w:style w:type="table" w:styleId="Tablaconcuadrcula">
    <w:name w:val="Table Grid"/>
    <w:basedOn w:val="Tablanormal"/>
    <w:uiPriority w:val="39"/>
    <w:rsid w:val="00B964D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ULLOA, MAURICIO</dc:creator>
  <cp:keywords/>
  <dc:description/>
  <cp:lastModifiedBy>JIMENEZ DEL MURO, LUIS EDUARDO</cp:lastModifiedBy>
  <cp:revision>2</cp:revision>
  <cp:lastPrinted>2025-04-06T06:58:00Z</cp:lastPrinted>
  <dcterms:created xsi:type="dcterms:W3CDTF">2025-04-06T19:11:00Z</dcterms:created>
  <dcterms:modified xsi:type="dcterms:W3CDTF">2025-04-06T19:11:00Z</dcterms:modified>
</cp:coreProperties>
</file>