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576A5" w14:textId="53C494DF" w:rsidR="00EB7847" w:rsidRDefault="008901CA">
      <w:pPr>
        <w:rPr>
          <w:b/>
        </w:rPr>
      </w:pPr>
      <w:r w:rsidRPr="005016D7">
        <w:rPr>
          <w:b/>
        </w:rPr>
        <w:t>Title</w:t>
      </w:r>
    </w:p>
    <w:p w14:paraId="453C8E94" w14:textId="48EF4A3A" w:rsidR="009F033B" w:rsidRDefault="009F033B"/>
    <w:p w14:paraId="58600637" w14:textId="652A9B12" w:rsidR="00654676" w:rsidRDefault="00654676" w:rsidP="00654676">
      <w:r>
        <w:t xml:space="preserve">Relevant, but not Responsible? Reconceptualising </w:t>
      </w:r>
      <w:r w:rsidRPr="008C3780">
        <w:rPr>
          <w:color w:val="000000"/>
        </w:rPr>
        <w:t xml:space="preserve">Urban Policymakers </w:t>
      </w:r>
      <w:r>
        <w:rPr>
          <w:color w:val="000000"/>
        </w:rPr>
        <w:t>and</w:t>
      </w:r>
      <w:r w:rsidRPr="008C3780">
        <w:rPr>
          <w:color w:val="000000"/>
        </w:rPr>
        <w:t xml:space="preserve"> the Governance of Urban Climate Action</w:t>
      </w:r>
    </w:p>
    <w:p w14:paraId="6CD59272" w14:textId="77777777" w:rsidR="00654676" w:rsidRPr="005016D7" w:rsidRDefault="00654676"/>
    <w:p w14:paraId="6C8AFCAF" w14:textId="1DFE41A1" w:rsidR="00EB7847" w:rsidRDefault="00EB7847">
      <w:pPr>
        <w:rPr>
          <w:b/>
        </w:rPr>
      </w:pPr>
      <w:r>
        <w:rPr>
          <w:b/>
        </w:rPr>
        <w:t>Target journal</w:t>
      </w:r>
    </w:p>
    <w:p w14:paraId="2CA3EDC8" w14:textId="7F1FCCBD" w:rsidR="00573391" w:rsidRDefault="00573391">
      <w:r>
        <w:t>GEC? (</w:t>
      </w:r>
      <w:proofErr w:type="spellStart"/>
      <w:r>
        <w:t>Im</w:t>
      </w:r>
      <w:proofErr w:type="spellEnd"/>
      <w:r>
        <w:t xml:space="preserve"> aware this is </w:t>
      </w:r>
      <w:r w:rsidRPr="008714DF">
        <w:rPr>
          <w:i/>
        </w:rPr>
        <w:t>wildly</w:t>
      </w:r>
      <w:r>
        <w:t xml:space="preserve"> </w:t>
      </w:r>
      <w:proofErr w:type="gramStart"/>
      <w:r>
        <w:t>optimistic..</w:t>
      </w:r>
      <w:proofErr w:type="gramEnd"/>
      <w:r>
        <w:t>)</w:t>
      </w:r>
    </w:p>
    <w:p w14:paraId="3D4E6080" w14:textId="3F58D121" w:rsidR="007B26A5" w:rsidRDefault="007B26A5"/>
    <w:p w14:paraId="4D5BB322" w14:textId="77777777" w:rsidR="007B26A5" w:rsidRPr="005016D7" w:rsidRDefault="007B26A5"/>
    <w:p w14:paraId="47B59901" w14:textId="34148123" w:rsidR="008901CA" w:rsidRDefault="008901CA">
      <w:pPr>
        <w:rPr>
          <w:b/>
        </w:rPr>
      </w:pPr>
      <w:r w:rsidRPr="005016D7">
        <w:rPr>
          <w:b/>
        </w:rPr>
        <w:t>Abstract</w:t>
      </w:r>
    </w:p>
    <w:p w14:paraId="7C366B50" w14:textId="77777777" w:rsidR="00A02BDA" w:rsidRPr="00A02BDA" w:rsidRDefault="00A02BDA"/>
    <w:p w14:paraId="10723644" w14:textId="386FDA98" w:rsidR="00F008A4" w:rsidRDefault="00A72E15">
      <w:r>
        <w:t>Achieving the aspirations of the Paris Agreement and the targets of the Sustainable Development Goals will depend significantly on the actions taken in urban areas</w:t>
      </w:r>
      <w:r w:rsidR="004D1CA8">
        <w:t>,</w:t>
      </w:r>
      <w:r>
        <w:t xml:space="preserve"> where more than</w:t>
      </w:r>
      <w:r w:rsidR="00D14623">
        <w:t xml:space="preserve"> two-thirds</w:t>
      </w:r>
      <w:r w:rsidRPr="00D571F6">
        <w:t xml:space="preserve"> of </w:t>
      </w:r>
      <w:r w:rsidR="00D14623">
        <w:t>the global</w:t>
      </w:r>
      <w:r w:rsidRPr="00D571F6">
        <w:t xml:space="preserve"> population </w:t>
      </w:r>
      <w:r w:rsidR="00D14623">
        <w:t>will live in 2050</w:t>
      </w:r>
      <w:r w:rsidRPr="00D571F6">
        <w:t>.</w:t>
      </w:r>
      <w:r>
        <w:t xml:space="preserve"> Drawing on </w:t>
      </w:r>
      <w:r w:rsidR="006F1AEA">
        <w:t>evidence</w:t>
      </w:r>
      <w:r>
        <w:t xml:space="preserve"> from four continents, this article </w:t>
      </w:r>
      <w:r w:rsidR="00493EC0">
        <w:t xml:space="preserve">presents </w:t>
      </w:r>
      <w:r w:rsidR="006607BC">
        <w:t xml:space="preserve">a framework that situates urban policymakers at the centre of </w:t>
      </w:r>
      <w:r w:rsidR="00DE4706">
        <w:t xml:space="preserve">a </w:t>
      </w:r>
      <w:r w:rsidR="006607BC">
        <w:t xml:space="preserve">polycentric landscape of urban climate governance. Far from </w:t>
      </w:r>
      <w:r w:rsidR="00DE4706">
        <w:t>the caricature of</w:t>
      </w:r>
      <w:r w:rsidR="006607BC">
        <w:t xml:space="preserve"> merely provid</w:t>
      </w:r>
      <w:r w:rsidR="00DE4706">
        <w:t>ing</w:t>
      </w:r>
      <w:r w:rsidR="006607BC">
        <w:t xml:space="preserve"> basic services</w:t>
      </w:r>
      <w:r w:rsidR="004D1BC6">
        <w:t xml:space="preserve"> and implementing higher government directives</w:t>
      </w:r>
      <w:r w:rsidR="006607BC">
        <w:t xml:space="preserve">, urban </w:t>
      </w:r>
      <w:r w:rsidR="0092633D">
        <w:t>policymakers</w:t>
      </w:r>
      <w:r w:rsidR="006607BC">
        <w:t xml:space="preserve"> are seen </w:t>
      </w:r>
      <w:r w:rsidR="00DE4706">
        <w:t>as</w:t>
      </w:r>
      <w:r w:rsidR="006607BC">
        <w:t xml:space="preserve"> critical mobiliz</w:t>
      </w:r>
      <w:r w:rsidR="00DE4706">
        <w:t>ers</w:t>
      </w:r>
      <w:r w:rsidR="006607BC">
        <w:t xml:space="preserve"> and enabl</w:t>
      </w:r>
      <w:r w:rsidR="00DE4706">
        <w:t xml:space="preserve">ers with </w:t>
      </w:r>
      <w:r w:rsidR="00F9024F">
        <w:t xml:space="preserve">a </w:t>
      </w:r>
      <w:r w:rsidR="00DE4706">
        <w:t xml:space="preserve">unique role </w:t>
      </w:r>
      <w:r w:rsidR="00CA478D">
        <w:t>helping to establish the necessary conditions for</w:t>
      </w:r>
      <w:r w:rsidR="009A6B96">
        <w:t xml:space="preserve"> </w:t>
      </w:r>
      <w:r w:rsidR="00200C0E">
        <w:t xml:space="preserve">urban </w:t>
      </w:r>
      <w:r w:rsidR="006D0413">
        <w:t xml:space="preserve">climate </w:t>
      </w:r>
      <w:r w:rsidR="004D1BC6">
        <w:t>mitigation</w:t>
      </w:r>
      <w:r w:rsidR="00096CC7">
        <w:t>,</w:t>
      </w:r>
      <w:r w:rsidR="0092633D">
        <w:t xml:space="preserve"> </w:t>
      </w:r>
      <w:r w:rsidR="00F03656">
        <w:t>but a</w:t>
      </w:r>
      <w:r w:rsidR="001C6BF4">
        <w:t xml:space="preserve"> </w:t>
      </w:r>
      <w:r w:rsidR="00F03656">
        <w:t>limited role leading action</w:t>
      </w:r>
      <w:r w:rsidR="005A702D">
        <w:t>.</w:t>
      </w:r>
      <w:r w:rsidR="00F03656">
        <w:t xml:space="preserve"> Understood in this way, a gap exists between urban governments</w:t>
      </w:r>
      <w:r w:rsidR="001C6BF4">
        <w:t>’</w:t>
      </w:r>
      <w:r w:rsidR="004B349F">
        <w:t xml:space="preserve"> expansive</w:t>
      </w:r>
      <w:r w:rsidR="00F03656">
        <w:t xml:space="preserve"> ‘relevance’ to the diverse process</w:t>
      </w:r>
      <w:r w:rsidR="001C6BF4">
        <w:t>es that contribute to urban areas</w:t>
      </w:r>
      <w:r w:rsidR="00461937">
        <w:t>’</w:t>
      </w:r>
      <w:r w:rsidR="001C6BF4">
        <w:t xml:space="preserve"> carbon footprints</w:t>
      </w:r>
      <w:r w:rsidR="00F03656">
        <w:t xml:space="preserve"> </w:t>
      </w:r>
      <w:r w:rsidR="00096CC7">
        <w:t>and the</w:t>
      </w:r>
      <w:r w:rsidR="00747327">
        <w:t xml:space="preserve"> more limited</w:t>
      </w:r>
      <w:r w:rsidR="001C6BF4">
        <w:t xml:space="preserve"> </w:t>
      </w:r>
      <w:r w:rsidR="00E23D21">
        <w:t>‘</w:t>
      </w:r>
      <w:r w:rsidR="001C6BF4">
        <w:t>responsibility</w:t>
      </w:r>
      <w:r w:rsidR="00E23D21">
        <w:t>’</w:t>
      </w:r>
      <w:r w:rsidR="001C6BF4">
        <w:t xml:space="preserve"> they </w:t>
      </w:r>
      <w:r w:rsidR="00747327">
        <w:t xml:space="preserve">might reasonably be </w:t>
      </w:r>
      <w:r w:rsidR="00AB69B7">
        <w:t>attributed</w:t>
      </w:r>
      <w:r w:rsidR="001C6BF4">
        <w:t xml:space="preserve"> for addressing th</w:t>
      </w:r>
      <w:r w:rsidR="00096CC7">
        <w:t>e</w:t>
      </w:r>
      <w:r w:rsidR="001C6BF4">
        <w:t>se emissions</w:t>
      </w:r>
      <w:r w:rsidR="00461937">
        <w:t>.</w:t>
      </w:r>
      <w:r w:rsidR="00F03656">
        <w:t xml:space="preserve"> </w:t>
      </w:r>
      <w:r w:rsidR="00461937">
        <w:t>This</w:t>
      </w:r>
      <w:r w:rsidR="00F03656">
        <w:t xml:space="preserve"> perspective raises important questions around how urban governments can achieve the ambitious</w:t>
      </w:r>
      <w:r w:rsidR="00096CC7">
        <w:t xml:space="preserve"> GHG reduction</w:t>
      </w:r>
      <w:r w:rsidR="00F03656">
        <w:t xml:space="preserve"> targets the</w:t>
      </w:r>
      <w:r w:rsidR="004F0770">
        <w:t>y have increasingly been</w:t>
      </w:r>
      <w:r w:rsidR="00F03656">
        <w:t xml:space="preserve"> setting</w:t>
      </w:r>
      <w:r w:rsidR="001C6BF4">
        <w:t>.</w:t>
      </w:r>
    </w:p>
    <w:p w14:paraId="624CA351" w14:textId="77777777" w:rsidR="005A702D" w:rsidRDefault="005A702D"/>
    <w:p w14:paraId="4F3495D8" w14:textId="4D88BD37" w:rsidR="00EB7847" w:rsidRPr="00105FA7" w:rsidRDefault="00105FA7">
      <w:pPr>
        <w:rPr>
          <w:b/>
        </w:rPr>
      </w:pPr>
      <w:r w:rsidRPr="00105FA7">
        <w:rPr>
          <w:b/>
        </w:rPr>
        <w:t>Keywords</w:t>
      </w:r>
    </w:p>
    <w:p w14:paraId="783EAADB" w14:textId="28039921" w:rsidR="008901CA" w:rsidRDefault="00F65F54">
      <w:r>
        <w:t>U</w:t>
      </w:r>
      <w:r w:rsidR="00105FA7">
        <w:t>rban</w:t>
      </w:r>
      <w:r>
        <w:t xml:space="preserve"> climate change mitigation</w:t>
      </w:r>
      <w:r w:rsidR="00105FA7">
        <w:t>, cities</w:t>
      </w:r>
      <w:r w:rsidR="00266802">
        <w:t xml:space="preserve">, climate change, </w:t>
      </w:r>
      <w:r w:rsidR="002D1463">
        <w:t>climate change mitigation</w:t>
      </w:r>
      <w:r w:rsidR="005B7A38">
        <w:t>, non-financial barriers</w:t>
      </w:r>
      <w:r w:rsidR="006F1AEA">
        <w:t>, climate governance</w:t>
      </w:r>
    </w:p>
    <w:p w14:paraId="11CFC35F" w14:textId="77777777" w:rsidR="00105FA7" w:rsidRPr="005016D7" w:rsidRDefault="00105FA7"/>
    <w:p w14:paraId="49961CA7" w14:textId="57C2ACBA" w:rsidR="008901CA" w:rsidRPr="005016D7" w:rsidRDefault="005016D7">
      <w:pPr>
        <w:rPr>
          <w:b/>
        </w:rPr>
      </w:pPr>
      <w:r w:rsidRPr="005016D7">
        <w:rPr>
          <w:b/>
        </w:rPr>
        <w:t>Authors</w:t>
      </w:r>
    </w:p>
    <w:p w14:paraId="1ED61F04" w14:textId="3C63B0F0" w:rsidR="008901CA" w:rsidRPr="005016D7" w:rsidRDefault="00081919">
      <w:proofErr w:type="spellStart"/>
      <w:r>
        <w:t>Sudmant</w:t>
      </w:r>
      <w:proofErr w:type="spellEnd"/>
      <w:r>
        <w:t xml:space="preserve">, A; </w:t>
      </w:r>
      <w:proofErr w:type="spellStart"/>
      <w:r w:rsidR="00DF4478">
        <w:t>Gouldson</w:t>
      </w:r>
      <w:proofErr w:type="spellEnd"/>
      <w:r w:rsidR="00DF4478">
        <w:t xml:space="preserve">, A; </w:t>
      </w:r>
    </w:p>
    <w:p w14:paraId="1770A8F5" w14:textId="77777777" w:rsidR="008901CA" w:rsidRPr="005016D7" w:rsidRDefault="008901CA"/>
    <w:p w14:paraId="77BB8F3E" w14:textId="77777777" w:rsidR="008901CA" w:rsidRPr="005016D7" w:rsidRDefault="008901CA"/>
    <w:p w14:paraId="71734717" w14:textId="0478D920" w:rsidR="008901CA" w:rsidRPr="002A1FCE" w:rsidRDefault="008901CA" w:rsidP="002A1FCE">
      <w:pPr>
        <w:pStyle w:val="ListParagraph"/>
        <w:numPr>
          <w:ilvl w:val="0"/>
          <w:numId w:val="1"/>
        </w:numPr>
        <w:rPr>
          <w:rFonts w:ascii="Times New Roman" w:hAnsi="Times New Roman" w:cs="Times New Roman"/>
          <w:b/>
        </w:rPr>
      </w:pPr>
      <w:r w:rsidRPr="002A1FCE">
        <w:rPr>
          <w:rFonts w:ascii="Times New Roman" w:hAnsi="Times New Roman" w:cs="Times New Roman"/>
          <w:b/>
        </w:rPr>
        <w:t>Introduction</w:t>
      </w:r>
    </w:p>
    <w:p w14:paraId="6E7B2A13" w14:textId="77777777" w:rsidR="008901CA" w:rsidRPr="005016D7" w:rsidRDefault="008901CA"/>
    <w:p w14:paraId="0249DF89" w14:textId="417265B5" w:rsidR="007360E4" w:rsidRDefault="00231990" w:rsidP="00DE768F">
      <w:r>
        <w:t>Rapid</w:t>
      </w:r>
      <w:r w:rsidR="001D675F">
        <w:t xml:space="preserve"> </w:t>
      </w:r>
      <w:r w:rsidR="007360E4">
        <w:t xml:space="preserve">urban expansion </w:t>
      </w:r>
      <w:r w:rsidR="001D675F">
        <w:t>presents a</w:t>
      </w:r>
      <w:r>
        <w:t xml:space="preserve"> critical challenge </w:t>
      </w:r>
      <w:r w:rsidR="00292BF3">
        <w:t>in</w:t>
      </w:r>
      <w:r>
        <w:t xml:space="preserve"> the fight against climate change</w:t>
      </w:r>
      <w:r w:rsidR="001352BC">
        <w:t xml:space="preserve">: </w:t>
      </w:r>
      <w:r>
        <w:t xml:space="preserve">building the infrastructure alone for an urban population of 6 billion in 2050 would generate emissions </w:t>
      </w:r>
      <w:r w:rsidR="009E701B">
        <w:t xml:space="preserve">equal to </w:t>
      </w:r>
      <w:r w:rsidR="007360E4">
        <w:t>four times th</w:t>
      </w:r>
      <w:r>
        <w:t xml:space="preserve">e amount released from building the existing stock of </w:t>
      </w:r>
      <w:r w:rsidR="001352BC">
        <w:t xml:space="preserve">developed world </w:t>
      </w:r>
      <w:r>
        <w:t>urban infrastructure</w:t>
      </w:r>
      <w:r w:rsidR="00505695">
        <w:t>,</w:t>
      </w:r>
      <w:r>
        <w:t xml:space="preserve"> </w:t>
      </w:r>
      <w:r w:rsidR="005A67A3">
        <w:t xml:space="preserve">or </w:t>
      </w:r>
      <w:r w:rsidR="00292BF3">
        <w:t xml:space="preserve">more than </w:t>
      </w:r>
      <w:r>
        <w:t xml:space="preserve">one-quarter of the global </w:t>
      </w:r>
      <w:r w:rsidR="00292BF3">
        <w:t>1.5</w:t>
      </w:r>
      <w:r w:rsidR="00461937">
        <w:t xml:space="preserve"> </w:t>
      </w:r>
      <w:r w:rsidR="00292BF3">
        <w:t xml:space="preserve">degree GHG </w:t>
      </w:r>
      <w:r>
        <w:t xml:space="preserve">budget </w:t>
      </w:r>
      <w:r w:rsidR="001352BC">
        <w:t xml:space="preserve">under the most optimistic scenario </w:t>
      </w:r>
      <w:r>
        <w:t xml:space="preserve">(Peters 2018; </w:t>
      </w:r>
      <w:r w:rsidR="001352BC">
        <w:t>ref</w:t>
      </w:r>
      <w:r>
        <w:t>).</w:t>
      </w:r>
    </w:p>
    <w:p w14:paraId="02005E63" w14:textId="58C8C9B0" w:rsidR="001D675F" w:rsidRDefault="001D675F" w:rsidP="00DE768F"/>
    <w:p w14:paraId="57EA15CD" w14:textId="53F07ADB" w:rsidR="006A7B44" w:rsidRDefault="00292BF3" w:rsidP="00154C0C">
      <w:r>
        <w:t>Existing alongside t</w:t>
      </w:r>
      <w:r w:rsidR="001352BC">
        <w:t>his challenge</w:t>
      </w:r>
      <w:r>
        <w:t>, however, is an opportunity for transformative social, economic and environmental change to be realised through the way urban areas are developed (</w:t>
      </w:r>
      <w:r w:rsidRPr="00292BF3">
        <w:rPr>
          <w:lang w:val="en-US"/>
        </w:rPr>
        <w:t>Wigginton</w:t>
      </w:r>
      <w:r>
        <w:rPr>
          <w:lang w:val="en-US"/>
        </w:rPr>
        <w:t xml:space="preserve"> et al 2016; </w:t>
      </w:r>
      <w:r w:rsidR="00154C0C" w:rsidRPr="00154C0C">
        <w:rPr>
          <w:lang w:val="en-US"/>
        </w:rPr>
        <w:t>Bai Shi, &amp; Liu</w:t>
      </w:r>
      <w:r w:rsidR="00154C0C">
        <w:rPr>
          <w:lang w:val="en-US"/>
        </w:rPr>
        <w:t xml:space="preserve"> 2014; </w:t>
      </w:r>
      <w:proofErr w:type="spellStart"/>
      <w:r w:rsidR="00154C0C" w:rsidRPr="00154C0C">
        <w:rPr>
          <w:lang w:val="en-US"/>
        </w:rPr>
        <w:t>McPhearson</w:t>
      </w:r>
      <w:proofErr w:type="spellEnd"/>
      <w:r w:rsidR="00154C0C" w:rsidRPr="00154C0C">
        <w:rPr>
          <w:lang w:val="en-US"/>
        </w:rPr>
        <w:t xml:space="preserve"> et al</w:t>
      </w:r>
      <w:r w:rsidR="00154C0C">
        <w:rPr>
          <w:lang w:val="en-US"/>
        </w:rPr>
        <w:t xml:space="preserve"> 2016</w:t>
      </w:r>
      <w:r>
        <w:t xml:space="preserve">). Specific to </w:t>
      </w:r>
      <w:r w:rsidR="00154C0C">
        <w:t xml:space="preserve">the challenge of developing low carbon climate resilient </w:t>
      </w:r>
      <w:r w:rsidR="006A7B44">
        <w:t>cities</w:t>
      </w:r>
      <w:r>
        <w:t>, a growing body of research</w:t>
      </w:r>
      <w:r w:rsidR="006A7B44">
        <w:t xml:space="preserve"> reveals th</w:t>
      </w:r>
      <w:r w:rsidR="00505695">
        <w:t>e</w:t>
      </w:r>
      <w:r w:rsidR="00154C0C">
        <w:t xml:space="preserve"> </w:t>
      </w:r>
      <w:r w:rsidR="006A7B44">
        <w:t xml:space="preserve">complementarity between actions to address climate change and </w:t>
      </w:r>
      <w:r w:rsidR="0071252A">
        <w:t xml:space="preserve">a </w:t>
      </w:r>
      <w:r w:rsidR="00335A81">
        <w:t xml:space="preserve">wide </w:t>
      </w:r>
      <w:r w:rsidR="006A7B44">
        <w:t xml:space="preserve">range of urban </w:t>
      </w:r>
      <w:r w:rsidR="004D056C">
        <w:t>issues</w:t>
      </w:r>
      <w:r w:rsidR="006A7B44">
        <w:t>.</w:t>
      </w:r>
    </w:p>
    <w:p w14:paraId="6DF5CE0B" w14:textId="77777777" w:rsidR="006A7B44" w:rsidRDefault="006A7B44" w:rsidP="00154C0C"/>
    <w:p w14:paraId="0F8006D5" w14:textId="3781839F" w:rsidR="00154C0C" w:rsidRDefault="00154C0C" w:rsidP="00154C0C">
      <w:r>
        <w:t>Multi-modal transport networks</w:t>
      </w:r>
      <w:r w:rsidRPr="00DE768F">
        <w:t xml:space="preserve"> </w:t>
      </w:r>
      <w:r>
        <w:t>are not only</w:t>
      </w:r>
      <w:r w:rsidRPr="00DE768F">
        <w:t xml:space="preserve"> less energy and emission-intensive, </w:t>
      </w:r>
      <w:r>
        <w:t>but can improve safety, promote economically efficient urban development,</w:t>
      </w:r>
      <w:r w:rsidRPr="00DE768F">
        <w:t xml:space="preserve"> </w:t>
      </w:r>
      <w:r>
        <w:t xml:space="preserve">increase social </w:t>
      </w:r>
      <w:r>
        <w:lastRenderedPageBreak/>
        <w:t>inclusivity, reduce congestion and contribute to clearer</w:t>
      </w:r>
      <w:r w:rsidRPr="00DE768F">
        <w:t xml:space="preserve"> </w:t>
      </w:r>
      <w:r>
        <w:t xml:space="preserve">air </w:t>
      </w:r>
      <w:r w:rsidRPr="00DE768F">
        <w:t>(</w:t>
      </w:r>
      <w:proofErr w:type="spellStart"/>
      <w:r w:rsidRPr="00DE768F">
        <w:t>Litman</w:t>
      </w:r>
      <w:proofErr w:type="spellEnd"/>
      <w:r w:rsidRPr="00DE768F">
        <w:t xml:space="preserve"> 20</w:t>
      </w:r>
      <w:r>
        <w:t>09</w:t>
      </w:r>
      <w:r w:rsidRPr="00DE768F">
        <w:t>; Goodwin, 20</w:t>
      </w:r>
      <w:r>
        <w:t>03</w:t>
      </w:r>
      <w:r w:rsidRPr="00DE768F">
        <w:t xml:space="preserve">; </w:t>
      </w:r>
      <w:r w:rsidRPr="00B65333">
        <w:t>Rode &amp; Burdett</w:t>
      </w:r>
      <w:r>
        <w:t xml:space="preserve"> 2011).</w:t>
      </w:r>
      <w:r w:rsidRPr="00B65333">
        <w:t xml:space="preserve"> </w:t>
      </w:r>
      <w:r>
        <w:t>Low carbon buildings have a smaller GHG footprint during their construction and lifespan, but can also reduce fuel poverty and fuel bills, improve public health, and can increase employment during their construction (</w:t>
      </w:r>
      <w:proofErr w:type="spellStart"/>
      <w:r w:rsidRPr="00B65333">
        <w:t>Ürge-Vorsatz</w:t>
      </w:r>
      <w:proofErr w:type="spellEnd"/>
      <w:r>
        <w:t xml:space="preserve"> et al 2014). And improved waste management reduces methane emissions, but can also help to address sources of air, water, and soil pollution, improve the lives of the most vulnerable urban populations, and turn a major source of expenditure for local governments into a source of revenue (</w:t>
      </w:r>
      <w:proofErr w:type="spellStart"/>
      <w:r>
        <w:t>Parapagoulou</w:t>
      </w:r>
      <w:proofErr w:type="spellEnd"/>
      <w:r>
        <w:t xml:space="preserve"> et al 2015; </w:t>
      </w:r>
      <w:proofErr w:type="spellStart"/>
      <w:r>
        <w:t>Colenbrander</w:t>
      </w:r>
      <w:proofErr w:type="spellEnd"/>
      <w:r>
        <w:t xml:space="preserve"> et al 2017). Recent research, drawing together evidence from more than 700 pieces of academic literature, finds that the value of co-benefits from urban climate action is frequently substantially larger than the cost of these investments or the value of the energy savings they generate, suggesting that the social and environmental case for urban climate action (even without considering the value of reduced GHG emissions) is often significantly larger than the </w:t>
      </w:r>
      <w:r w:rsidR="00461937">
        <w:t>financial</w:t>
      </w:r>
      <w:r>
        <w:t xml:space="preserve"> case for action (</w:t>
      </w:r>
      <w:proofErr w:type="spellStart"/>
      <w:r>
        <w:t>Gouldson</w:t>
      </w:r>
      <w:proofErr w:type="spellEnd"/>
      <w:r>
        <w:t xml:space="preserve"> et al 2018).</w:t>
      </w:r>
    </w:p>
    <w:p w14:paraId="3D92C716" w14:textId="77777777" w:rsidR="00154C0C" w:rsidRDefault="00154C0C" w:rsidP="00154C0C"/>
    <w:p w14:paraId="42EC6930" w14:textId="50304638" w:rsidR="00154C0C" w:rsidRDefault="00154C0C" w:rsidP="00154C0C">
      <w:r>
        <w:t xml:space="preserve">Coupled with growing evidence for private economic returns from low carbon investment in cities (Sudmant et al 2016; </w:t>
      </w:r>
      <w:proofErr w:type="spellStart"/>
      <w:r>
        <w:t>Gouldson</w:t>
      </w:r>
      <w:proofErr w:type="spellEnd"/>
      <w:r>
        <w:t xml:space="preserve"> et al 2015), and growing awareness</w:t>
      </w:r>
      <w:r w:rsidR="000B62C5">
        <w:t xml:space="preserve"> </w:t>
      </w:r>
      <w:r w:rsidR="00461937">
        <w:t>that</w:t>
      </w:r>
      <w:r>
        <w:t xml:space="preserve"> climate change</w:t>
      </w:r>
      <w:r w:rsidR="000B62C5">
        <w:t xml:space="preserve"> will</w:t>
      </w:r>
      <w:r>
        <w:t xml:space="preserve"> caus</w:t>
      </w:r>
      <w:r w:rsidR="000B62C5">
        <w:t>e</w:t>
      </w:r>
      <w:r>
        <w:t xml:space="preserve"> substantial damage to urban areas and the global economy </w:t>
      </w:r>
      <w:r w:rsidR="00461937">
        <w:t xml:space="preserve">in coming decades </w:t>
      </w:r>
      <w:r>
        <w:t>(</w:t>
      </w:r>
      <w:proofErr w:type="spellStart"/>
      <w:r w:rsidR="00971C09" w:rsidRPr="00971C09">
        <w:t>Hoegh</w:t>
      </w:r>
      <w:proofErr w:type="spellEnd"/>
      <w:r w:rsidR="00971C09" w:rsidRPr="00971C09">
        <w:t>-Guldberg</w:t>
      </w:r>
      <w:r w:rsidR="00971C09">
        <w:t xml:space="preserve"> et al 2018) </w:t>
      </w:r>
      <w:r>
        <w:t xml:space="preserve">the case for low carbon action has never been stronger. Levels of </w:t>
      </w:r>
      <w:r w:rsidR="00461937">
        <w:t>action</w:t>
      </w:r>
      <w:r>
        <w:t>, however, continue to be far below what is required to prevent dangerous climate change (*). Indeed, even where financial and technical capacities exist, opportunities for low carbon action continue to go unrealised in both developed and developing contexts (</w:t>
      </w:r>
      <w:proofErr w:type="spellStart"/>
      <w:r>
        <w:t>Sudmant</w:t>
      </w:r>
      <w:proofErr w:type="spellEnd"/>
      <w:r>
        <w:t xml:space="preserve"> 2017; </w:t>
      </w:r>
      <w:proofErr w:type="spellStart"/>
      <w:r>
        <w:t>Colenbrander</w:t>
      </w:r>
      <w:proofErr w:type="spellEnd"/>
      <w:r>
        <w:t xml:space="preserve"> 2016; Burch 2010)</w:t>
      </w:r>
    </w:p>
    <w:p w14:paraId="0818E316" w14:textId="77777777" w:rsidR="00154C0C" w:rsidRDefault="00154C0C" w:rsidP="00154C0C"/>
    <w:p w14:paraId="5F6C89B9" w14:textId="7D7C831E" w:rsidR="00154C0C" w:rsidRDefault="00154C0C" w:rsidP="00154C0C">
      <w:r>
        <w:t>Drawing on research from four developing country cities</w:t>
      </w:r>
      <w:r w:rsidR="00505695">
        <w:t>,</w:t>
      </w:r>
      <w:r>
        <w:t xml:space="preserve"> this article makes the case that embracing an enabling perspective that draws on the many and varied roles </w:t>
      </w:r>
      <w:r w:rsidR="00505695">
        <w:t xml:space="preserve">of </w:t>
      </w:r>
      <w:r>
        <w:t xml:space="preserve">urban governments </w:t>
      </w:r>
      <w:r w:rsidR="00505695">
        <w:t>and the action</w:t>
      </w:r>
      <w:r w:rsidR="001352BC">
        <w:t>s</w:t>
      </w:r>
      <w:r w:rsidR="00505695">
        <w:t xml:space="preserve"> they can take </w:t>
      </w:r>
      <w:r w:rsidR="004D1851">
        <w:t xml:space="preserve">to </w:t>
      </w:r>
      <w:r w:rsidR="004D056C">
        <w:t>establish the enabling conditions for low carbon actions and</w:t>
      </w:r>
      <w:r w:rsidR="00505695">
        <w:t xml:space="preserve"> address non-financial barriers to action, </w:t>
      </w:r>
      <w:r>
        <w:t xml:space="preserve">may </w:t>
      </w:r>
      <w:r w:rsidR="004D056C">
        <w:t>empower urban policymakers to hav</w:t>
      </w:r>
      <w:r w:rsidR="00125C37">
        <w:t>e</w:t>
      </w:r>
      <w:r w:rsidR="004D056C">
        <w:t xml:space="preserve"> the largest impact</w:t>
      </w:r>
      <w:r>
        <w:t>. While urban governments have historically been seen as having only a limited set of responsibilities and powers, primarily focused on urban services such as garbage collection, utilities and emergency services (</w:t>
      </w:r>
      <w:proofErr w:type="spellStart"/>
      <w:r w:rsidRPr="007E797C">
        <w:rPr>
          <w:color w:val="000000"/>
        </w:rPr>
        <w:t>Burstrom</w:t>
      </w:r>
      <w:proofErr w:type="spellEnd"/>
      <w:r w:rsidRPr="007E797C">
        <w:rPr>
          <w:color w:val="000000"/>
        </w:rPr>
        <w:t xml:space="preserve"> and </w:t>
      </w:r>
      <w:proofErr w:type="spellStart"/>
      <w:r w:rsidRPr="007E797C">
        <w:rPr>
          <w:color w:val="000000"/>
        </w:rPr>
        <w:t>Korhonen</w:t>
      </w:r>
      <w:proofErr w:type="spellEnd"/>
      <w:r w:rsidRPr="007E797C">
        <w:rPr>
          <w:color w:val="000000"/>
        </w:rPr>
        <w:t xml:space="preserve">, 2001; </w:t>
      </w:r>
      <w:proofErr w:type="spellStart"/>
      <w:r w:rsidRPr="007E797C">
        <w:rPr>
          <w:color w:val="000000"/>
        </w:rPr>
        <w:t>Betsill</w:t>
      </w:r>
      <w:proofErr w:type="spellEnd"/>
      <w:r w:rsidRPr="007E797C">
        <w:rPr>
          <w:color w:val="000000"/>
        </w:rPr>
        <w:t xml:space="preserve"> 2001)</w:t>
      </w:r>
      <w:r>
        <w:t xml:space="preserve">, their stature and importance in global efforts to prevent dangerous climate change have increased substantially in recent years. </w:t>
      </w:r>
    </w:p>
    <w:p w14:paraId="61EC71F8" w14:textId="77777777" w:rsidR="00154C0C" w:rsidRDefault="00154C0C" w:rsidP="00154C0C"/>
    <w:p w14:paraId="46DD2949" w14:textId="73E22E99" w:rsidR="00154C0C" w:rsidRDefault="00154C0C" w:rsidP="00154C0C">
      <w:r>
        <w:t>Through their position between local actors and national and international governments, urban governments are coming to be seen as brokers for agreements and conduits for dialogue and knowledge sharing (</w:t>
      </w:r>
      <w:proofErr w:type="spellStart"/>
      <w:r w:rsidRPr="009E1226">
        <w:t>Fünfgeld</w:t>
      </w:r>
      <w:proofErr w:type="spellEnd"/>
      <w:r>
        <w:t xml:space="preserve"> </w:t>
      </w:r>
      <w:r w:rsidRPr="009E1226">
        <w:t>2015</w:t>
      </w:r>
      <w:r>
        <w:t>). In their influence over key actions in urban areas, including infrastructure and urban design, urban policymakers are playing a critical role affecting current and shaping future energy and emission trajectories (</w:t>
      </w:r>
      <w:proofErr w:type="spellStart"/>
      <w:r>
        <w:t>Gouldson</w:t>
      </w:r>
      <w:proofErr w:type="spellEnd"/>
      <w:r>
        <w:t xml:space="preserve"> et al 2014; Floater et al 2014; </w:t>
      </w:r>
      <w:proofErr w:type="spellStart"/>
      <w:r>
        <w:t>Gouldson</w:t>
      </w:r>
      <w:proofErr w:type="spellEnd"/>
      <w:r>
        <w:t xml:space="preserve"> et al 2015b). And in the vacuum created as some national governments turn away from climate change, urban areas have </w:t>
      </w:r>
      <w:r w:rsidR="004D056C">
        <w:t>become a focal point for climate</w:t>
      </w:r>
      <w:r>
        <w:t xml:space="preserve"> action in a number of countries</w:t>
      </w:r>
      <w:r w:rsidR="00365C32">
        <w:t xml:space="preserve"> ()</w:t>
      </w:r>
      <w:r>
        <w:t>. In 2014 urban areas were recognised among four pillars of action at the UNFCCC, and in recent years more than 9000 cities, representing more than 10% of the global population, have declared emissions reduction targets (Day et al 2018).</w:t>
      </w:r>
    </w:p>
    <w:p w14:paraId="56B7556C" w14:textId="1B862404" w:rsidR="005609B7" w:rsidRDefault="005609B7" w:rsidP="00154C0C"/>
    <w:p w14:paraId="04205D09" w14:textId="12C3ADFA" w:rsidR="00125C37" w:rsidRDefault="00125C37" w:rsidP="00154C0C">
      <w:r>
        <w:t xml:space="preserve">At the same time, this article seeks to raise a note of caution </w:t>
      </w:r>
      <w:r w:rsidR="00654676">
        <w:t>around</w:t>
      </w:r>
      <w:r>
        <w:t xml:space="preserve"> the expectations that are being raised </w:t>
      </w:r>
      <w:r w:rsidR="004D1851">
        <w:t>as</w:t>
      </w:r>
      <w:r>
        <w:t xml:space="preserve"> urban governments </w:t>
      </w:r>
      <w:r w:rsidR="004D1851">
        <w:t>set increasingly ambitious targets for reducing emissions</w:t>
      </w:r>
      <w:r w:rsidR="00654676">
        <w:t>.</w:t>
      </w:r>
      <w:r w:rsidR="004D1851">
        <w:t xml:space="preserve"> As climate action orient</w:t>
      </w:r>
      <w:r w:rsidR="00747327">
        <w:t>s</w:t>
      </w:r>
      <w:r w:rsidR="004D1851">
        <w:t xml:space="preserve"> from </w:t>
      </w:r>
      <w:r w:rsidR="00747327">
        <w:t>nations</w:t>
      </w:r>
      <w:r w:rsidR="004D1851">
        <w:t xml:space="preserve"> to </w:t>
      </w:r>
      <w:r w:rsidR="00747327">
        <w:t xml:space="preserve">local actors, and from producers to ‘consumers’ of emissions, </w:t>
      </w:r>
      <w:r w:rsidR="00461937">
        <w:t>it</w:t>
      </w:r>
      <w:r w:rsidR="00747327">
        <w:t xml:space="preserve"> is increas</w:t>
      </w:r>
      <w:r w:rsidR="00461937">
        <w:t>ing</w:t>
      </w:r>
      <w:r w:rsidR="00747327">
        <w:t xml:space="preserve"> importan</w:t>
      </w:r>
      <w:r w:rsidR="004F0770">
        <w:t>t</w:t>
      </w:r>
      <w:r w:rsidR="00747327">
        <w:t xml:space="preserve"> to differentiate between actors that have relevance to </w:t>
      </w:r>
      <w:r w:rsidR="00747327">
        <w:lastRenderedPageBreak/>
        <w:t>addressing a specific source of emissions</w:t>
      </w:r>
      <w:r w:rsidR="00AB69B7">
        <w:t xml:space="preserve"> – defined as having some agency to affect the generation of some emissions-</w:t>
      </w:r>
      <w:r w:rsidR="00747327">
        <w:t>, and actors who carry responsibility for addressing a specific source of emissions</w:t>
      </w:r>
      <w:r w:rsidR="00AB69B7">
        <w:t xml:space="preserve"> – defined as carry</w:t>
      </w:r>
      <w:r w:rsidR="00461937">
        <w:t>ing</w:t>
      </w:r>
      <w:r w:rsidR="00AB69B7">
        <w:t xml:space="preserve"> </w:t>
      </w:r>
      <w:r w:rsidR="00D14623">
        <w:t xml:space="preserve">some </w:t>
      </w:r>
      <w:r w:rsidR="00AB69B7">
        <w:t>moral responsibility for emissions</w:t>
      </w:r>
      <w:r w:rsidR="00747327">
        <w:t>. In the case of urban governments</w:t>
      </w:r>
      <w:r w:rsidR="009C7366">
        <w:t>,</w:t>
      </w:r>
      <w:r w:rsidR="00747327">
        <w:t xml:space="preserve"> it is argued that policymakers have expansive relevance </w:t>
      </w:r>
      <w:r w:rsidR="009C7366">
        <w:t>to urban emission through</w:t>
      </w:r>
      <w:r w:rsidR="00747327">
        <w:t xml:space="preserve"> the many and varied ways they can engage </w:t>
      </w:r>
      <w:r w:rsidR="000D1736">
        <w:t xml:space="preserve">with a </w:t>
      </w:r>
      <w:r w:rsidR="00334780">
        <w:t>pol</w:t>
      </w:r>
      <w:r w:rsidR="000D1736">
        <w:t>y</w:t>
      </w:r>
      <w:r w:rsidR="00334780">
        <w:t xml:space="preserve">centric </w:t>
      </w:r>
      <w:r w:rsidR="000D1736">
        <w:t xml:space="preserve">urban </w:t>
      </w:r>
      <w:r w:rsidR="00334780">
        <w:t>climate governance</w:t>
      </w:r>
      <w:r w:rsidR="009C7366">
        <w:t xml:space="preserve"> landscape</w:t>
      </w:r>
      <w:r w:rsidR="00334780">
        <w:t xml:space="preserve">. At the same time, </w:t>
      </w:r>
      <w:r w:rsidR="009C7366">
        <w:t xml:space="preserve">urban governments responsibility to address emissions, </w:t>
      </w:r>
      <w:r w:rsidR="005B5E54">
        <w:t xml:space="preserve">due to the fact that other actors are situated closer to the points of production of those emissions and to the consumption of the goods and services produced, </w:t>
      </w:r>
      <w:r w:rsidR="00FD0245">
        <w:t>may</w:t>
      </w:r>
      <w:r w:rsidR="009C7366">
        <w:t xml:space="preserve"> be significantly smaller. The implications for urban governments’ increasing ambitious climate actions targets are explored in the discussion section. </w:t>
      </w:r>
    </w:p>
    <w:p w14:paraId="0C14DB6E" w14:textId="77777777" w:rsidR="00125C37" w:rsidRDefault="00125C37" w:rsidP="00154C0C"/>
    <w:p w14:paraId="1BA30A24" w14:textId="2236649A" w:rsidR="00292BF3" w:rsidRDefault="00154C0C" w:rsidP="00DE768F">
      <w:r>
        <w:t>In the following</w:t>
      </w:r>
      <w:r w:rsidR="00D37D5F">
        <w:t xml:space="preserve">, the evolving role of urban governments in the governance of urban climate action in urban areas of the Global South is explored. </w:t>
      </w:r>
      <w:r>
        <w:t xml:space="preserve">Section 2 outlines the methodology used by each of the four studies, section 3 provides an overview of each </w:t>
      </w:r>
      <w:r w:rsidR="00747327">
        <w:t xml:space="preserve">case </w:t>
      </w:r>
      <w:proofErr w:type="spellStart"/>
      <w:r w:rsidR="00747327">
        <w:t>studty</w:t>
      </w:r>
      <w:proofErr w:type="spellEnd"/>
      <w:r>
        <w:t>, Section 4 discusses how an enabling approach could lead to higher levels in investment in low carbon options, and Section 5 provides conclusions.</w:t>
      </w:r>
    </w:p>
    <w:p w14:paraId="427E6B60" w14:textId="77777777" w:rsidR="005016D7" w:rsidRPr="005016D7" w:rsidRDefault="005016D7"/>
    <w:p w14:paraId="06EA2515" w14:textId="60E5DF6B" w:rsidR="005016D7" w:rsidRPr="002A1FCE" w:rsidRDefault="002A1FCE" w:rsidP="002A1FCE">
      <w:pPr>
        <w:pStyle w:val="ListParagraph"/>
        <w:numPr>
          <w:ilvl w:val="0"/>
          <w:numId w:val="1"/>
        </w:numPr>
        <w:rPr>
          <w:rFonts w:ascii="Times New Roman" w:hAnsi="Times New Roman" w:cs="Times New Roman"/>
          <w:b/>
        </w:rPr>
      </w:pPr>
      <w:r w:rsidRPr="002A1FCE">
        <w:rPr>
          <w:rFonts w:ascii="Times New Roman" w:hAnsi="Times New Roman" w:cs="Times New Roman"/>
          <w:b/>
        </w:rPr>
        <w:t>Methodology</w:t>
      </w:r>
    </w:p>
    <w:p w14:paraId="6589366F" w14:textId="77777777" w:rsidR="002A1FCE" w:rsidRDefault="002A1FCE">
      <w:pPr>
        <w:rPr>
          <w:b/>
        </w:rPr>
      </w:pPr>
    </w:p>
    <w:p w14:paraId="3FE62A91" w14:textId="15BE427D" w:rsidR="002A1FCE" w:rsidRDefault="00ED4C45">
      <w:r>
        <w:t xml:space="preserve">This study draws on </w:t>
      </w:r>
      <w:r w:rsidR="001A0C64">
        <w:t xml:space="preserve">results from </w:t>
      </w:r>
      <w:r w:rsidR="00F75985">
        <w:t>three</w:t>
      </w:r>
      <w:r w:rsidR="001A0C64">
        <w:t xml:space="preserve"> previously published </w:t>
      </w:r>
      <w:r w:rsidR="008279AD">
        <w:t xml:space="preserve">city level </w:t>
      </w:r>
      <w:r w:rsidR="001A0C64">
        <w:t>case studies (</w:t>
      </w:r>
      <w:proofErr w:type="spellStart"/>
      <w:r w:rsidR="00F75985">
        <w:t>Colenbrander</w:t>
      </w:r>
      <w:proofErr w:type="spellEnd"/>
      <w:r w:rsidR="00F75985">
        <w:t xml:space="preserve"> 2018; </w:t>
      </w:r>
      <w:proofErr w:type="spellStart"/>
      <w:r w:rsidR="00E57F58">
        <w:t>Sudmant</w:t>
      </w:r>
      <w:proofErr w:type="spellEnd"/>
      <w:r w:rsidR="00E57F58">
        <w:t xml:space="preserve"> et al 2017; </w:t>
      </w:r>
      <w:proofErr w:type="spellStart"/>
      <w:r w:rsidR="001A0C64">
        <w:t>Colenbrander</w:t>
      </w:r>
      <w:proofErr w:type="spellEnd"/>
      <w:r w:rsidR="001A0C64">
        <w:t xml:space="preserve"> et al 2017</w:t>
      </w:r>
      <w:r w:rsidR="00F75985">
        <w:t xml:space="preserve">; </w:t>
      </w:r>
      <w:proofErr w:type="spellStart"/>
      <w:r w:rsidR="00F75985">
        <w:t>Colenbrander</w:t>
      </w:r>
      <w:proofErr w:type="spellEnd"/>
      <w:r w:rsidR="00F75985">
        <w:t xml:space="preserve"> 2016) and one city-level report developed using the same methodology whose results are in part found in Qi et al (2017*). </w:t>
      </w:r>
      <w:r w:rsidR="00964CE0">
        <w:t xml:space="preserve">These studies </w:t>
      </w:r>
      <w:r w:rsidR="007A3E7A">
        <w:t>assess the city-wide economic case for low carbon measures to affect Scope 1 and 2 emissio</w:t>
      </w:r>
      <w:r w:rsidR="00DD2529">
        <w:t>ns</w:t>
      </w:r>
      <w:r w:rsidR="007A3E7A">
        <w:t>. In other words, case studies consider territorial emissions but not emission embedded in goods and services and the consequences of their trade</w:t>
      </w:r>
      <w:r w:rsidR="00E57F58">
        <w:t>.</w:t>
      </w:r>
    </w:p>
    <w:p w14:paraId="40B902DD" w14:textId="77777777" w:rsidR="001A0C64" w:rsidRDefault="001A0C64"/>
    <w:p w14:paraId="6F1F9C18" w14:textId="199488CE" w:rsidR="002A4495" w:rsidRPr="001D7897" w:rsidRDefault="001A0C64">
      <w:r>
        <w:t xml:space="preserve">First, baseline data were collected </w:t>
      </w:r>
      <w:r w:rsidR="00507785">
        <w:t xml:space="preserve">for each sector level key unit of analysis (see Figure 1), and for urban economy. Key data for the urban economy </w:t>
      </w:r>
      <w:proofErr w:type="gramStart"/>
      <w:r w:rsidR="00507785">
        <w:t>include</w:t>
      </w:r>
      <w:proofErr w:type="gramEnd"/>
      <w:r w:rsidR="00507785">
        <w:t xml:space="preserve"> population, GD</w:t>
      </w:r>
      <w:r w:rsidR="00010DE3">
        <w:t>P</w:t>
      </w:r>
      <w:r w:rsidR="00507785">
        <w:t>, and local climate indicators such as heating degree days (HDD) and cooling degree days (CDD). Data on the wider region include the emissions intens</w:t>
      </w:r>
      <w:r w:rsidR="000A398E">
        <w:t>ity of the electricity grid. These data are collected for the recent past (up to 10 years) and projected into the future based on previous trends and with consideration for planned investments and changes in government policies.</w:t>
      </w:r>
    </w:p>
    <w:p w14:paraId="2AB43A5C" w14:textId="03F3A763" w:rsidR="002A4495" w:rsidRDefault="002A4495">
      <w:pPr>
        <w:rPr>
          <w:b/>
        </w:rPr>
      </w:pPr>
    </w:p>
    <w:p w14:paraId="5F2F95CA" w14:textId="77777777" w:rsidR="002A4495" w:rsidRDefault="002A4495">
      <w:pPr>
        <w:rPr>
          <w:b/>
        </w:rPr>
      </w:pPr>
    </w:p>
    <w:p w14:paraId="51951B6C" w14:textId="77777777" w:rsidR="000A398E" w:rsidRDefault="00507785" w:rsidP="000A398E">
      <w:pPr>
        <w:keepNext/>
      </w:pPr>
      <w:r>
        <w:rPr>
          <w:b/>
          <w:noProof/>
        </w:rPr>
        <w:lastRenderedPageBreak/>
        <w:drawing>
          <wp:inline distT="0" distB="0" distL="0" distR="0" wp14:anchorId="380ADAC6" wp14:editId="3EF02718">
            <wp:extent cx="5727700" cy="4784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8-17 at 09.11.33.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784090"/>
                    </a:xfrm>
                    <a:prstGeom prst="rect">
                      <a:avLst/>
                    </a:prstGeom>
                  </pic:spPr>
                </pic:pic>
              </a:graphicData>
            </a:graphic>
          </wp:inline>
        </w:drawing>
      </w:r>
    </w:p>
    <w:p w14:paraId="272633C6" w14:textId="20162BAC" w:rsidR="002A1FCE" w:rsidRDefault="000A398E" w:rsidP="000A398E">
      <w:pPr>
        <w:pStyle w:val="Caption"/>
      </w:pPr>
      <w:r>
        <w:t xml:space="preserve">Figure </w:t>
      </w:r>
      <w:r w:rsidR="006C331B">
        <w:rPr>
          <w:noProof/>
        </w:rPr>
        <w:fldChar w:fldCharType="begin"/>
      </w:r>
      <w:r w:rsidR="006C331B">
        <w:rPr>
          <w:noProof/>
        </w:rPr>
        <w:instrText xml:space="preserve"> SEQ Figure \* ARABIC </w:instrText>
      </w:r>
      <w:r w:rsidR="006C331B">
        <w:rPr>
          <w:noProof/>
        </w:rPr>
        <w:fldChar w:fldCharType="separate"/>
      </w:r>
      <w:r w:rsidR="00BE4299">
        <w:rPr>
          <w:noProof/>
        </w:rPr>
        <w:t>1</w:t>
      </w:r>
      <w:r w:rsidR="006C331B">
        <w:rPr>
          <w:noProof/>
        </w:rPr>
        <w:fldChar w:fldCharType="end"/>
      </w:r>
      <w:r>
        <w:t>: Key baseline data</w:t>
      </w:r>
    </w:p>
    <w:p w14:paraId="68D5F47E" w14:textId="77777777" w:rsidR="000A398E" w:rsidRDefault="000A398E" w:rsidP="000A398E"/>
    <w:p w14:paraId="73117C9B" w14:textId="61CAB389" w:rsidR="000A398E" w:rsidRDefault="000A398E" w:rsidP="000A398E">
      <w:r>
        <w:t xml:space="preserve">Second, </w:t>
      </w:r>
      <w:r w:rsidR="00983FBD">
        <w:t>through literature reviews, interviews and stakeholder dialogues, long-lists of measures are drawn-up for each sector, and for measures that affect multiple sectors (Table 1).</w:t>
      </w:r>
      <w:r w:rsidR="00E73E98">
        <w:t xml:space="preserve"> Data for each of these measures, including capital costs, energy savings, lifetime, and running cost, are gathered, and a preliminary economic case for the implementation of a single example of a measure is developed. For example, the investment case for a single electric vehicle in the place of a conventional vehicle, is estimated.</w:t>
      </w:r>
      <w:r w:rsidR="000862CA">
        <w:t xml:space="preserve"> These results are brought to stakeholders, including experts in the</w:t>
      </w:r>
      <w:r w:rsidR="001D7897">
        <w:t xml:space="preserve"> field, in order to evaluate key assumptions.</w:t>
      </w:r>
    </w:p>
    <w:p w14:paraId="7C879210" w14:textId="77777777" w:rsidR="000A398E" w:rsidRDefault="000A398E" w:rsidP="000A398E"/>
    <w:p w14:paraId="77FB7688" w14:textId="77777777" w:rsidR="000A398E" w:rsidRDefault="000A398E" w:rsidP="000A398E"/>
    <w:tbl>
      <w:tblPr>
        <w:tblStyle w:val="TableGrid"/>
        <w:tblW w:w="0" w:type="auto"/>
        <w:tblLook w:val="04A0" w:firstRow="1" w:lastRow="0" w:firstColumn="1" w:lastColumn="0" w:noHBand="0" w:noVBand="1"/>
      </w:tblPr>
      <w:tblGrid>
        <w:gridCol w:w="1802"/>
        <w:gridCol w:w="1802"/>
        <w:gridCol w:w="1802"/>
        <w:gridCol w:w="1802"/>
        <w:gridCol w:w="1802"/>
      </w:tblGrid>
      <w:tr w:rsidR="000A398E" w:rsidRPr="000A398E" w14:paraId="16BF080C" w14:textId="77777777" w:rsidTr="007E4AA7">
        <w:tc>
          <w:tcPr>
            <w:tcW w:w="9010" w:type="dxa"/>
            <w:gridSpan w:val="5"/>
          </w:tcPr>
          <w:p w14:paraId="320761AD" w14:textId="49CA346B" w:rsidR="000A398E" w:rsidRPr="000A398E" w:rsidRDefault="000A398E" w:rsidP="000A398E">
            <w:pPr>
              <w:jc w:val="center"/>
              <w:rPr>
                <w:b/>
                <w:sz w:val="20"/>
                <w:szCs w:val="20"/>
              </w:rPr>
            </w:pPr>
            <w:r w:rsidRPr="000A398E">
              <w:rPr>
                <w:b/>
                <w:sz w:val="20"/>
                <w:szCs w:val="20"/>
              </w:rPr>
              <w:t>Cross-sectoral</w:t>
            </w:r>
          </w:p>
          <w:p w14:paraId="65F12488" w14:textId="554F50EE" w:rsidR="000A398E" w:rsidRPr="000A398E" w:rsidRDefault="000A398E" w:rsidP="000A398E">
            <w:pPr>
              <w:rPr>
                <w:sz w:val="20"/>
                <w:szCs w:val="20"/>
              </w:rPr>
            </w:pPr>
            <w:r w:rsidRPr="000A398E">
              <w:rPr>
                <w:i/>
                <w:iCs/>
                <w:sz w:val="20"/>
                <w:szCs w:val="20"/>
              </w:rPr>
              <w:t>-changes to the electricity grid</w:t>
            </w:r>
            <w:r w:rsidR="00983FBD">
              <w:rPr>
                <w:i/>
                <w:iCs/>
                <w:sz w:val="20"/>
                <w:szCs w:val="20"/>
              </w:rPr>
              <w:t xml:space="preserve"> (renewable generation, lower carbon generation, investments to prevent electricity losses)</w:t>
            </w:r>
          </w:p>
          <w:p w14:paraId="6F1362CD" w14:textId="71DBAE68" w:rsidR="000A398E" w:rsidRPr="000A398E" w:rsidRDefault="000A398E" w:rsidP="000A398E">
            <w:pPr>
              <w:rPr>
                <w:sz w:val="20"/>
                <w:szCs w:val="20"/>
              </w:rPr>
            </w:pPr>
            <w:r w:rsidRPr="000A398E">
              <w:rPr>
                <w:i/>
                <w:iCs/>
                <w:sz w:val="20"/>
                <w:szCs w:val="20"/>
              </w:rPr>
              <w:t>-changes to the transport network outside of the urban area</w:t>
            </w:r>
          </w:p>
          <w:p w14:paraId="55C233CE" w14:textId="219E4308" w:rsidR="000A398E" w:rsidRPr="000A398E" w:rsidRDefault="000A398E" w:rsidP="000A398E">
            <w:pPr>
              <w:rPr>
                <w:sz w:val="20"/>
                <w:szCs w:val="20"/>
              </w:rPr>
            </w:pPr>
            <w:r w:rsidRPr="000A398E">
              <w:rPr>
                <w:i/>
                <w:iCs/>
                <w:sz w:val="20"/>
                <w:szCs w:val="20"/>
              </w:rPr>
              <w:t>-economic factors: energy prices, population change, dem</w:t>
            </w:r>
            <w:r>
              <w:rPr>
                <w:i/>
                <w:iCs/>
                <w:sz w:val="20"/>
                <w:szCs w:val="20"/>
              </w:rPr>
              <w:t xml:space="preserve">ographic change, interest </w:t>
            </w:r>
            <w:r w:rsidRPr="000A398E">
              <w:rPr>
                <w:i/>
                <w:iCs/>
                <w:sz w:val="20"/>
                <w:szCs w:val="20"/>
              </w:rPr>
              <w:t>rates</w:t>
            </w:r>
          </w:p>
          <w:p w14:paraId="5907AE85" w14:textId="1C2581CC" w:rsidR="000A398E" w:rsidRPr="000A398E" w:rsidRDefault="000A398E" w:rsidP="000A398E">
            <w:pPr>
              <w:rPr>
                <w:sz w:val="20"/>
                <w:szCs w:val="20"/>
              </w:rPr>
            </w:pPr>
          </w:p>
        </w:tc>
      </w:tr>
      <w:tr w:rsidR="000A398E" w:rsidRPr="000A398E" w14:paraId="74756E8A" w14:textId="77777777" w:rsidTr="000A398E">
        <w:tc>
          <w:tcPr>
            <w:tcW w:w="1802" w:type="dxa"/>
          </w:tcPr>
          <w:p w14:paraId="0CDE3BB3" w14:textId="4B96E4FA" w:rsidR="000A398E" w:rsidRPr="000A398E" w:rsidRDefault="000A398E" w:rsidP="000A398E">
            <w:pPr>
              <w:jc w:val="center"/>
              <w:rPr>
                <w:b/>
                <w:sz w:val="20"/>
                <w:szCs w:val="20"/>
              </w:rPr>
            </w:pPr>
            <w:r w:rsidRPr="000A398E">
              <w:rPr>
                <w:b/>
                <w:sz w:val="20"/>
                <w:szCs w:val="20"/>
              </w:rPr>
              <w:t>Domestic</w:t>
            </w:r>
          </w:p>
          <w:p w14:paraId="44A5010B" w14:textId="77777777" w:rsidR="000A398E" w:rsidRPr="000A398E" w:rsidRDefault="000A398E" w:rsidP="000A398E">
            <w:pPr>
              <w:rPr>
                <w:sz w:val="20"/>
                <w:szCs w:val="20"/>
              </w:rPr>
            </w:pPr>
          </w:p>
          <w:p w14:paraId="4C45DCE1" w14:textId="77777777" w:rsidR="000A398E" w:rsidRPr="000A398E" w:rsidRDefault="000A398E" w:rsidP="000A398E">
            <w:pPr>
              <w:rPr>
                <w:sz w:val="20"/>
                <w:szCs w:val="20"/>
              </w:rPr>
            </w:pPr>
            <w:r w:rsidRPr="000A398E">
              <w:rPr>
                <w:sz w:val="20"/>
                <w:szCs w:val="20"/>
              </w:rPr>
              <w:t>-Insulation</w:t>
            </w:r>
            <w:r w:rsidRPr="000A398E">
              <w:rPr>
                <w:i/>
                <w:iCs/>
                <w:sz w:val="20"/>
                <w:szCs w:val="20"/>
              </w:rPr>
              <w:t xml:space="preserve"> (cavity, loft and floor)</w:t>
            </w:r>
            <w:r w:rsidRPr="000A398E">
              <w:rPr>
                <w:sz w:val="20"/>
                <w:szCs w:val="20"/>
              </w:rPr>
              <w:t xml:space="preserve"> </w:t>
            </w:r>
          </w:p>
          <w:p w14:paraId="2F378512" w14:textId="77777777" w:rsidR="000A398E" w:rsidRPr="000A398E" w:rsidRDefault="000A398E" w:rsidP="000A398E">
            <w:pPr>
              <w:rPr>
                <w:sz w:val="20"/>
                <w:szCs w:val="20"/>
              </w:rPr>
            </w:pPr>
            <w:r w:rsidRPr="000A398E">
              <w:rPr>
                <w:sz w:val="20"/>
                <w:szCs w:val="20"/>
              </w:rPr>
              <w:t>-Heating</w:t>
            </w:r>
            <w:r w:rsidRPr="000A398E">
              <w:rPr>
                <w:i/>
                <w:iCs/>
                <w:sz w:val="20"/>
                <w:szCs w:val="20"/>
              </w:rPr>
              <w:t xml:space="preserve"> (boilers, heat pumps, controls, geothermal)</w:t>
            </w:r>
            <w:r w:rsidRPr="000A398E">
              <w:rPr>
                <w:sz w:val="20"/>
                <w:szCs w:val="20"/>
              </w:rPr>
              <w:t xml:space="preserve"> </w:t>
            </w:r>
          </w:p>
          <w:p w14:paraId="7FF8DB80" w14:textId="77777777" w:rsidR="000A398E" w:rsidRPr="000A398E" w:rsidRDefault="000A398E" w:rsidP="000A398E">
            <w:pPr>
              <w:rPr>
                <w:sz w:val="20"/>
                <w:szCs w:val="20"/>
              </w:rPr>
            </w:pPr>
            <w:r w:rsidRPr="000A398E">
              <w:rPr>
                <w:sz w:val="20"/>
                <w:szCs w:val="20"/>
              </w:rPr>
              <w:lastRenderedPageBreak/>
              <w:t xml:space="preserve">-Demand reduction </w:t>
            </w:r>
            <w:r w:rsidRPr="000A398E">
              <w:rPr>
                <w:i/>
                <w:iCs/>
                <w:sz w:val="20"/>
                <w:szCs w:val="20"/>
              </w:rPr>
              <w:t>(minor heating, lighting and appliances shifts)</w:t>
            </w:r>
            <w:r w:rsidRPr="000A398E">
              <w:rPr>
                <w:sz w:val="20"/>
                <w:szCs w:val="20"/>
              </w:rPr>
              <w:t xml:space="preserve"> </w:t>
            </w:r>
          </w:p>
          <w:p w14:paraId="0909C726" w14:textId="77777777" w:rsidR="000A398E" w:rsidRPr="000A398E" w:rsidRDefault="000A398E" w:rsidP="000A398E">
            <w:pPr>
              <w:rPr>
                <w:sz w:val="20"/>
                <w:szCs w:val="20"/>
              </w:rPr>
            </w:pPr>
            <w:r w:rsidRPr="000A398E">
              <w:rPr>
                <w:sz w:val="20"/>
                <w:szCs w:val="20"/>
              </w:rPr>
              <w:t xml:space="preserve">-Appliances </w:t>
            </w:r>
            <w:r w:rsidRPr="000A398E">
              <w:rPr>
                <w:i/>
                <w:iCs/>
                <w:sz w:val="20"/>
                <w:szCs w:val="20"/>
              </w:rPr>
              <w:t>(refrigeration, cookers, TVs, washing machines)</w:t>
            </w:r>
            <w:r w:rsidRPr="000A398E">
              <w:rPr>
                <w:sz w:val="20"/>
                <w:szCs w:val="20"/>
              </w:rPr>
              <w:t xml:space="preserve"> </w:t>
            </w:r>
          </w:p>
          <w:p w14:paraId="5729A3D7" w14:textId="77777777" w:rsidR="000A398E" w:rsidRPr="000A398E" w:rsidRDefault="000A398E" w:rsidP="000A398E">
            <w:pPr>
              <w:rPr>
                <w:sz w:val="20"/>
                <w:szCs w:val="20"/>
              </w:rPr>
            </w:pPr>
            <w:r w:rsidRPr="000A398E">
              <w:rPr>
                <w:sz w:val="20"/>
                <w:szCs w:val="20"/>
              </w:rPr>
              <w:t xml:space="preserve">-Lighting </w:t>
            </w:r>
            <w:r w:rsidRPr="000A398E">
              <w:rPr>
                <w:i/>
                <w:iCs/>
                <w:sz w:val="20"/>
                <w:szCs w:val="20"/>
              </w:rPr>
              <w:t>(low energy)</w:t>
            </w:r>
            <w:r w:rsidRPr="000A398E">
              <w:rPr>
                <w:sz w:val="20"/>
                <w:szCs w:val="20"/>
              </w:rPr>
              <w:t xml:space="preserve"> </w:t>
            </w:r>
          </w:p>
          <w:p w14:paraId="737F614B" w14:textId="77777777" w:rsidR="000A398E" w:rsidRPr="000A398E" w:rsidRDefault="000A398E" w:rsidP="000A398E">
            <w:pPr>
              <w:rPr>
                <w:sz w:val="20"/>
                <w:szCs w:val="20"/>
              </w:rPr>
            </w:pPr>
            <w:r w:rsidRPr="000A398E">
              <w:rPr>
                <w:sz w:val="20"/>
                <w:szCs w:val="20"/>
              </w:rPr>
              <w:t xml:space="preserve">-Small scale renewables (solar and wind) </w:t>
            </w:r>
          </w:p>
          <w:p w14:paraId="39A48522" w14:textId="0EAA4A56" w:rsidR="000A398E" w:rsidRPr="000A398E" w:rsidRDefault="000A398E" w:rsidP="000A398E">
            <w:pPr>
              <w:rPr>
                <w:sz w:val="20"/>
                <w:szCs w:val="20"/>
              </w:rPr>
            </w:pPr>
          </w:p>
        </w:tc>
        <w:tc>
          <w:tcPr>
            <w:tcW w:w="1802" w:type="dxa"/>
          </w:tcPr>
          <w:p w14:paraId="4BBC97D9" w14:textId="68E1E07A" w:rsidR="000A398E" w:rsidRPr="000A398E" w:rsidRDefault="000A398E" w:rsidP="000A398E">
            <w:pPr>
              <w:jc w:val="center"/>
              <w:rPr>
                <w:b/>
                <w:sz w:val="20"/>
                <w:szCs w:val="20"/>
              </w:rPr>
            </w:pPr>
            <w:r w:rsidRPr="000A398E">
              <w:rPr>
                <w:b/>
                <w:sz w:val="20"/>
                <w:szCs w:val="20"/>
              </w:rPr>
              <w:lastRenderedPageBreak/>
              <w:t>Commercial</w:t>
            </w:r>
          </w:p>
          <w:p w14:paraId="1D1A461D" w14:textId="77777777" w:rsidR="000A398E" w:rsidRPr="000A398E" w:rsidRDefault="000A398E" w:rsidP="000A398E">
            <w:pPr>
              <w:rPr>
                <w:sz w:val="20"/>
                <w:szCs w:val="20"/>
              </w:rPr>
            </w:pPr>
          </w:p>
          <w:p w14:paraId="44B86DB6" w14:textId="77777777" w:rsidR="000A398E" w:rsidRPr="000A398E" w:rsidRDefault="000A398E" w:rsidP="000A398E">
            <w:pPr>
              <w:rPr>
                <w:sz w:val="20"/>
                <w:szCs w:val="20"/>
              </w:rPr>
            </w:pPr>
            <w:r w:rsidRPr="000A398E">
              <w:rPr>
                <w:sz w:val="20"/>
                <w:szCs w:val="20"/>
                <w:lang w:val="en-US"/>
              </w:rPr>
              <w:t>-</w:t>
            </w:r>
            <w:r w:rsidRPr="000A398E">
              <w:rPr>
                <w:sz w:val="20"/>
                <w:szCs w:val="20"/>
              </w:rPr>
              <w:t xml:space="preserve">Cooling in retail buildings </w:t>
            </w:r>
          </w:p>
          <w:p w14:paraId="7255C1B8" w14:textId="77777777" w:rsidR="000A398E" w:rsidRPr="000A398E" w:rsidRDefault="000A398E" w:rsidP="000A398E">
            <w:pPr>
              <w:rPr>
                <w:sz w:val="20"/>
                <w:szCs w:val="20"/>
              </w:rPr>
            </w:pPr>
            <w:r w:rsidRPr="000A398E">
              <w:rPr>
                <w:sz w:val="20"/>
                <w:szCs w:val="20"/>
              </w:rPr>
              <w:t xml:space="preserve">-Insulation </w:t>
            </w:r>
            <w:r w:rsidRPr="000A398E">
              <w:rPr>
                <w:i/>
                <w:iCs/>
                <w:sz w:val="20"/>
                <w:szCs w:val="20"/>
              </w:rPr>
              <w:t>(fabric improvements, cavity, loft and floor)</w:t>
            </w:r>
            <w:r w:rsidRPr="000A398E">
              <w:rPr>
                <w:sz w:val="20"/>
                <w:szCs w:val="20"/>
              </w:rPr>
              <w:t xml:space="preserve"> </w:t>
            </w:r>
          </w:p>
          <w:p w14:paraId="5EF5B18B" w14:textId="77777777" w:rsidR="000A398E" w:rsidRPr="000A398E" w:rsidRDefault="000A398E" w:rsidP="000A398E">
            <w:pPr>
              <w:rPr>
                <w:sz w:val="20"/>
                <w:szCs w:val="20"/>
              </w:rPr>
            </w:pPr>
            <w:r w:rsidRPr="000A398E">
              <w:rPr>
                <w:sz w:val="20"/>
                <w:szCs w:val="20"/>
              </w:rPr>
              <w:lastRenderedPageBreak/>
              <w:t xml:space="preserve">-Heating </w:t>
            </w:r>
            <w:r w:rsidRPr="000A398E">
              <w:rPr>
                <w:i/>
                <w:iCs/>
                <w:sz w:val="20"/>
                <w:szCs w:val="20"/>
              </w:rPr>
              <w:t>(boilers, heat pumps, controls</w:t>
            </w:r>
            <w:r w:rsidRPr="000A398E">
              <w:rPr>
                <w:sz w:val="20"/>
                <w:szCs w:val="20"/>
              </w:rPr>
              <w:t xml:space="preserve"> </w:t>
            </w:r>
          </w:p>
          <w:p w14:paraId="12A90B86" w14:textId="77777777" w:rsidR="000A398E" w:rsidRPr="000A398E" w:rsidRDefault="000A398E" w:rsidP="000A398E">
            <w:pPr>
              <w:rPr>
                <w:sz w:val="20"/>
                <w:szCs w:val="20"/>
              </w:rPr>
            </w:pPr>
            <w:r w:rsidRPr="000A398E">
              <w:rPr>
                <w:sz w:val="20"/>
                <w:szCs w:val="20"/>
              </w:rPr>
              <w:t xml:space="preserve">-Lighting </w:t>
            </w:r>
            <w:r w:rsidRPr="000A398E">
              <w:rPr>
                <w:i/>
                <w:iCs/>
                <w:sz w:val="20"/>
                <w:szCs w:val="20"/>
              </w:rPr>
              <w:t>(upgrades and controls)</w:t>
            </w:r>
            <w:r w:rsidRPr="000A398E">
              <w:rPr>
                <w:sz w:val="20"/>
                <w:szCs w:val="20"/>
              </w:rPr>
              <w:t xml:space="preserve"> </w:t>
            </w:r>
          </w:p>
          <w:p w14:paraId="7A2BC7FA" w14:textId="77777777" w:rsidR="000A398E" w:rsidRPr="000A398E" w:rsidRDefault="000A398E" w:rsidP="000A398E">
            <w:pPr>
              <w:rPr>
                <w:sz w:val="20"/>
                <w:szCs w:val="20"/>
              </w:rPr>
            </w:pPr>
            <w:r w:rsidRPr="000A398E">
              <w:rPr>
                <w:sz w:val="20"/>
                <w:szCs w:val="20"/>
              </w:rPr>
              <w:t xml:space="preserve">-Small scale renewables (solar and wind) </w:t>
            </w:r>
          </w:p>
          <w:p w14:paraId="77943BD8" w14:textId="3B0862A1" w:rsidR="000A398E" w:rsidRPr="000A398E" w:rsidRDefault="000A398E" w:rsidP="000A398E">
            <w:pPr>
              <w:rPr>
                <w:sz w:val="20"/>
                <w:szCs w:val="20"/>
              </w:rPr>
            </w:pPr>
          </w:p>
        </w:tc>
        <w:tc>
          <w:tcPr>
            <w:tcW w:w="1802" w:type="dxa"/>
          </w:tcPr>
          <w:p w14:paraId="5783647F" w14:textId="303FCA28" w:rsidR="000A398E" w:rsidRPr="000A398E" w:rsidRDefault="000A398E" w:rsidP="000A398E">
            <w:pPr>
              <w:jc w:val="center"/>
              <w:rPr>
                <w:b/>
                <w:sz w:val="20"/>
                <w:szCs w:val="20"/>
              </w:rPr>
            </w:pPr>
            <w:r w:rsidRPr="000A398E">
              <w:rPr>
                <w:b/>
                <w:sz w:val="20"/>
                <w:szCs w:val="20"/>
              </w:rPr>
              <w:lastRenderedPageBreak/>
              <w:t>Waste</w:t>
            </w:r>
          </w:p>
          <w:p w14:paraId="66B343FC" w14:textId="77777777" w:rsidR="000A398E" w:rsidRPr="000A398E" w:rsidRDefault="000A398E" w:rsidP="000A398E">
            <w:pPr>
              <w:rPr>
                <w:sz w:val="20"/>
                <w:szCs w:val="20"/>
              </w:rPr>
            </w:pPr>
          </w:p>
          <w:p w14:paraId="40CDC396" w14:textId="77777777" w:rsidR="000A398E" w:rsidRPr="000A398E" w:rsidRDefault="000A398E" w:rsidP="000A398E">
            <w:pPr>
              <w:rPr>
                <w:sz w:val="20"/>
                <w:szCs w:val="20"/>
              </w:rPr>
            </w:pPr>
            <w:r w:rsidRPr="000A398E">
              <w:rPr>
                <w:sz w:val="20"/>
                <w:szCs w:val="20"/>
                <w:lang w:val="en-US"/>
              </w:rPr>
              <w:t>-</w:t>
            </w:r>
            <w:r w:rsidRPr="000A398E">
              <w:rPr>
                <w:sz w:val="20"/>
                <w:szCs w:val="20"/>
              </w:rPr>
              <w:t xml:space="preserve">Recycling program </w:t>
            </w:r>
          </w:p>
          <w:p w14:paraId="30D521E4" w14:textId="77777777" w:rsidR="000A398E" w:rsidRPr="000A398E" w:rsidRDefault="000A398E" w:rsidP="000A398E">
            <w:pPr>
              <w:rPr>
                <w:sz w:val="20"/>
                <w:szCs w:val="20"/>
              </w:rPr>
            </w:pPr>
            <w:r w:rsidRPr="000A398E">
              <w:rPr>
                <w:sz w:val="20"/>
                <w:szCs w:val="20"/>
              </w:rPr>
              <w:t xml:space="preserve">-Energy from waste </w:t>
            </w:r>
          </w:p>
          <w:p w14:paraId="7B81FDD8" w14:textId="77777777" w:rsidR="000A398E" w:rsidRPr="000A398E" w:rsidRDefault="000A398E" w:rsidP="000A398E">
            <w:pPr>
              <w:rPr>
                <w:sz w:val="20"/>
                <w:szCs w:val="20"/>
              </w:rPr>
            </w:pPr>
            <w:r w:rsidRPr="000A398E">
              <w:rPr>
                <w:sz w:val="20"/>
                <w:szCs w:val="20"/>
              </w:rPr>
              <w:lastRenderedPageBreak/>
              <w:t xml:space="preserve">-Landfill gas (capture, utilisation) </w:t>
            </w:r>
          </w:p>
          <w:p w14:paraId="44F43563" w14:textId="77777777" w:rsidR="000A398E" w:rsidRPr="000A398E" w:rsidRDefault="000A398E" w:rsidP="000A398E">
            <w:pPr>
              <w:rPr>
                <w:sz w:val="20"/>
                <w:szCs w:val="20"/>
              </w:rPr>
            </w:pPr>
            <w:r w:rsidRPr="000A398E">
              <w:rPr>
                <w:sz w:val="20"/>
                <w:szCs w:val="20"/>
              </w:rPr>
              <w:t xml:space="preserve">-Composting (home, commercial) </w:t>
            </w:r>
          </w:p>
          <w:p w14:paraId="67B102C9" w14:textId="725D5CA0" w:rsidR="000A398E" w:rsidRPr="000A398E" w:rsidRDefault="000A398E" w:rsidP="000A398E">
            <w:pPr>
              <w:rPr>
                <w:sz w:val="20"/>
                <w:szCs w:val="20"/>
              </w:rPr>
            </w:pPr>
            <w:r w:rsidRPr="000A398E">
              <w:rPr>
                <w:sz w:val="20"/>
                <w:szCs w:val="20"/>
              </w:rPr>
              <w:t xml:space="preserve">-Food waste recycling  </w:t>
            </w:r>
          </w:p>
          <w:p w14:paraId="0CC8CD26" w14:textId="327297FE" w:rsidR="000A398E" w:rsidRPr="000A398E" w:rsidRDefault="000A398E" w:rsidP="000A398E">
            <w:pPr>
              <w:rPr>
                <w:sz w:val="20"/>
                <w:szCs w:val="20"/>
              </w:rPr>
            </w:pPr>
          </w:p>
        </w:tc>
        <w:tc>
          <w:tcPr>
            <w:tcW w:w="1802" w:type="dxa"/>
          </w:tcPr>
          <w:p w14:paraId="02B7565F" w14:textId="2DEDC815" w:rsidR="000A398E" w:rsidRPr="000A398E" w:rsidRDefault="000A398E" w:rsidP="000A398E">
            <w:pPr>
              <w:jc w:val="center"/>
              <w:rPr>
                <w:b/>
                <w:sz w:val="20"/>
                <w:szCs w:val="20"/>
              </w:rPr>
            </w:pPr>
            <w:r w:rsidRPr="000A398E">
              <w:rPr>
                <w:b/>
                <w:sz w:val="20"/>
                <w:szCs w:val="20"/>
              </w:rPr>
              <w:lastRenderedPageBreak/>
              <w:t>Industry</w:t>
            </w:r>
          </w:p>
          <w:p w14:paraId="4E7931E2" w14:textId="77777777" w:rsidR="000A398E" w:rsidRPr="000A398E" w:rsidRDefault="000A398E" w:rsidP="000A398E">
            <w:pPr>
              <w:rPr>
                <w:sz w:val="20"/>
                <w:szCs w:val="20"/>
              </w:rPr>
            </w:pPr>
          </w:p>
          <w:p w14:paraId="08A79775" w14:textId="77777777" w:rsidR="000A398E" w:rsidRPr="000A398E" w:rsidRDefault="000A398E" w:rsidP="000A398E">
            <w:pPr>
              <w:rPr>
                <w:sz w:val="20"/>
                <w:szCs w:val="20"/>
              </w:rPr>
            </w:pPr>
            <w:r w:rsidRPr="000A398E">
              <w:rPr>
                <w:sz w:val="20"/>
                <w:szCs w:val="20"/>
                <w:lang w:val="en-US"/>
              </w:rPr>
              <w:t>-</w:t>
            </w:r>
            <w:r w:rsidRPr="000A398E">
              <w:rPr>
                <w:sz w:val="20"/>
                <w:szCs w:val="20"/>
              </w:rPr>
              <w:t xml:space="preserve">Boilers and Steam Piping </w:t>
            </w:r>
          </w:p>
          <w:p w14:paraId="206A23DF" w14:textId="77777777" w:rsidR="000A398E" w:rsidRPr="000A398E" w:rsidRDefault="000A398E" w:rsidP="000A398E">
            <w:pPr>
              <w:rPr>
                <w:sz w:val="20"/>
                <w:szCs w:val="20"/>
              </w:rPr>
            </w:pPr>
            <w:r w:rsidRPr="000A398E">
              <w:rPr>
                <w:sz w:val="20"/>
                <w:szCs w:val="20"/>
              </w:rPr>
              <w:t xml:space="preserve">-Pumps </w:t>
            </w:r>
          </w:p>
          <w:p w14:paraId="22EED69D" w14:textId="77777777" w:rsidR="000A398E" w:rsidRPr="000A398E" w:rsidRDefault="000A398E" w:rsidP="000A398E">
            <w:pPr>
              <w:rPr>
                <w:sz w:val="20"/>
                <w:szCs w:val="20"/>
              </w:rPr>
            </w:pPr>
            <w:r w:rsidRPr="000A398E">
              <w:rPr>
                <w:sz w:val="20"/>
                <w:szCs w:val="20"/>
              </w:rPr>
              <w:t xml:space="preserve">-Compressed Air Systems </w:t>
            </w:r>
          </w:p>
          <w:p w14:paraId="3FAC0C24" w14:textId="77777777" w:rsidR="000A398E" w:rsidRPr="000A398E" w:rsidRDefault="000A398E" w:rsidP="000A398E">
            <w:pPr>
              <w:rPr>
                <w:sz w:val="20"/>
                <w:szCs w:val="20"/>
              </w:rPr>
            </w:pPr>
            <w:r w:rsidRPr="000A398E">
              <w:rPr>
                <w:sz w:val="20"/>
                <w:szCs w:val="20"/>
              </w:rPr>
              <w:t xml:space="preserve">-Furnaces </w:t>
            </w:r>
          </w:p>
          <w:p w14:paraId="465AA961" w14:textId="77777777" w:rsidR="000A398E" w:rsidRPr="000A398E" w:rsidRDefault="000A398E" w:rsidP="000A398E">
            <w:pPr>
              <w:rPr>
                <w:sz w:val="20"/>
                <w:szCs w:val="20"/>
              </w:rPr>
            </w:pPr>
            <w:r w:rsidRPr="000A398E">
              <w:rPr>
                <w:sz w:val="20"/>
                <w:szCs w:val="20"/>
              </w:rPr>
              <w:lastRenderedPageBreak/>
              <w:t xml:space="preserve">-Fans </w:t>
            </w:r>
          </w:p>
          <w:p w14:paraId="1F20C216" w14:textId="77777777" w:rsidR="000A398E" w:rsidRPr="000A398E" w:rsidRDefault="000A398E" w:rsidP="000A398E">
            <w:pPr>
              <w:rPr>
                <w:sz w:val="20"/>
                <w:szCs w:val="20"/>
              </w:rPr>
            </w:pPr>
            <w:r w:rsidRPr="000A398E">
              <w:rPr>
                <w:sz w:val="20"/>
                <w:szCs w:val="20"/>
              </w:rPr>
              <w:t xml:space="preserve">-Refrigeration </w:t>
            </w:r>
          </w:p>
          <w:p w14:paraId="46C28349" w14:textId="77777777" w:rsidR="000A398E" w:rsidRPr="000A398E" w:rsidRDefault="000A398E" w:rsidP="000A398E">
            <w:pPr>
              <w:rPr>
                <w:sz w:val="20"/>
                <w:szCs w:val="20"/>
              </w:rPr>
            </w:pPr>
            <w:r w:rsidRPr="000A398E">
              <w:rPr>
                <w:sz w:val="20"/>
                <w:szCs w:val="20"/>
              </w:rPr>
              <w:t xml:space="preserve">-Small scale renewables (solar and wind) </w:t>
            </w:r>
          </w:p>
          <w:p w14:paraId="0E72F211" w14:textId="713DA783" w:rsidR="000A398E" w:rsidRPr="000A398E" w:rsidRDefault="000A398E" w:rsidP="000A398E">
            <w:pPr>
              <w:rPr>
                <w:sz w:val="20"/>
                <w:szCs w:val="20"/>
              </w:rPr>
            </w:pPr>
          </w:p>
        </w:tc>
        <w:tc>
          <w:tcPr>
            <w:tcW w:w="1802" w:type="dxa"/>
          </w:tcPr>
          <w:p w14:paraId="3F180069" w14:textId="0B69E00F" w:rsidR="000A398E" w:rsidRPr="005D3AD5" w:rsidRDefault="000A398E" w:rsidP="000A398E">
            <w:pPr>
              <w:jc w:val="center"/>
              <w:rPr>
                <w:b/>
                <w:sz w:val="20"/>
                <w:szCs w:val="20"/>
              </w:rPr>
            </w:pPr>
            <w:r w:rsidRPr="005D3AD5">
              <w:rPr>
                <w:b/>
                <w:sz w:val="20"/>
                <w:szCs w:val="20"/>
              </w:rPr>
              <w:lastRenderedPageBreak/>
              <w:t>Transport</w:t>
            </w:r>
          </w:p>
          <w:p w14:paraId="16D4868D" w14:textId="77777777" w:rsidR="000A398E" w:rsidRPr="000A398E" w:rsidRDefault="000A398E" w:rsidP="000A398E">
            <w:pPr>
              <w:rPr>
                <w:sz w:val="20"/>
                <w:szCs w:val="20"/>
              </w:rPr>
            </w:pPr>
          </w:p>
          <w:p w14:paraId="05A44F8E" w14:textId="77777777" w:rsidR="000A398E" w:rsidRPr="000A398E" w:rsidRDefault="000A398E" w:rsidP="000A398E">
            <w:pPr>
              <w:rPr>
                <w:sz w:val="20"/>
                <w:szCs w:val="20"/>
              </w:rPr>
            </w:pPr>
            <w:r w:rsidRPr="000A398E">
              <w:rPr>
                <w:sz w:val="20"/>
                <w:szCs w:val="20"/>
                <w:lang w:val="en-US"/>
              </w:rPr>
              <w:t>-</w:t>
            </w:r>
            <w:r w:rsidRPr="000A398E">
              <w:rPr>
                <w:sz w:val="20"/>
                <w:szCs w:val="20"/>
              </w:rPr>
              <w:t xml:space="preserve">Electric vehicles (private, commercial and buses) </w:t>
            </w:r>
          </w:p>
          <w:p w14:paraId="0B8CB5C8" w14:textId="77777777" w:rsidR="000A398E" w:rsidRPr="000A398E" w:rsidRDefault="000A398E" w:rsidP="000A398E">
            <w:pPr>
              <w:rPr>
                <w:sz w:val="20"/>
                <w:szCs w:val="20"/>
              </w:rPr>
            </w:pPr>
            <w:r w:rsidRPr="000A398E">
              <w:rPr>
                <w:sz w:val="20"/>
                <w:szCs w:val="20"/>
              </w:rPr>
              <w:t xml:space="preserve">-Hybrid vehicles (private, </w:t>
            </w:r>
            <w:r w:rsidRPr="000A398E">
              <w:rPr>
                <w:sz w:val="20"/>
                <w:szCs w:val="20"/>
              </w:rPr>
              <w:lastRenderedPageBreak/>
              <w:t xml:space="preserve">commercial and buses) </w:t>
            </w:r>
          </w:p>
          <w:p w14:paraId="3026802A" w14:textId="77777777" w:rsidR="000A398E" w:rsidRPr="000A398E" w:rsidRDefault="000A398E" w:rsidP="000A398E">
            <w:pPr>
              <w:rPr>
                <w:sz w:val="20"/>
                <w:szCs w:val="20"/>
              </w:rPr>
            </w:pPr>
            <w:r w:rsidRPr="000A398E">
              <w:rPr>
                <w:sz w:val="20"/>
                <w:szCs w:val="20"/>
              </w:rPr>
              <w:t xml:space="preserve">-Bus network expansion </w:t>
            </w:r>
          </w:p>
          <w:p w14:paraId="500FA22D" w14:textId="77777777" w:rsidR="000A398E" w:rsidRPr="000A398E" w:rsidRDefault="000A398E" w:rsidP="000A398E">
            <w:pPr>
              <w:rPr>
                <w:sz w:val="20"/>
                <w:szCs w:val="20"/>
              </w:rPr>
            </w:pPr>
            <w:r w:rsidRPr="000A398E">
              <w:rPr>
                <w:sz w:val="20"/>
                <w:szCs w:val="20"/>
              </w:rPr>
              <w:t xml:space="preserve">-Street car network </w:t>
            </w:r>
          </w:p>
          <w:p w14:paraId="02CD66CD" w14:textId="77777777" w:rsidR="000A398E" w:rsidRPr="000A398E" w:rsidRDefault="000A398E" w:rsidP="000A398E">
            <w:pPr>
              <w:rPr>
                <w:sz w:val="20"/>
                <w:szCs w:val="20"/>
              </w:rPr>
            </w:pPr>
            <w:r w:rsidRPr="000A398E">
              <w:rPr>
                <w:sz w:val="20"/>
                <w:szCs w:val="20"/>
              </w:rPr>
              <w:t xml:space="preserve">-Street metering </w:t>
            </w:r>
          </w:p>
          <w:p w14:paraId="1CED80C5" w14:textId="77777777" w:rsidR="000A398E" w:rsidRPr="000A398E" w:rsidRDefault="000A398E" w:rsidP="000A398E">
            <w:pPr>
              <w:rPr>
                <w:sz w:val="20"/>
                <w:szCs w:val="20"/>
              </w:rPr>
            </w:pPr>
            <w:r w:rsidRPr="000A398E">
              <w:rPr>
                <w:sz w:val="20"/>
                <w:szCs w:val="20"/>
              </w:rPr>
              <w:t xml:space="preserve">-Congestion tax </w:t>
            </w:r>
          </w:p>
          <w:p w14:paraId="6ABD1FAF" w14:textId="5E71C52E" w:rsidR="000A398E" w:rsidRPr="000A398E" w:rsidRDefault="000A398E" w:rsidP="00755D75">
            <w:pPr>
              <w:keepNext/>
              <w:rPr>
                <w:sz w:val="20"/>
                <w:szCs w:val="20"/>
              </w:rPr>
            </w:pPr>
            <w:r w:rsidRPr="000A398E">
              <w:rPr>
                <w:sz w:val="20"/>
                <w:szCs w:val="20"/>
              </w:rPr>
              <w:t>-Cycling infrastructure</w:t>
            </w:r>
          </w:p>
        </w:tc>
      </w:tr>
    </w:tbl>
    <w:p w14:paraId="04FF3007" w14:textId="4AA684CF" w:rsidR="000A398E" w:rsidRDefault="00755D75" w:rsidP="00755D75">
      <w:pPr>
        <w:pStyle w:val="Caption"/>
      </w:pPr>
      <w:r>
        <w:lastRenderedPageBreak/>
        <w:t xml:space="preserve">Figure </w:t>
      </w:r>
      <w:r w:rsidR="006C331B">
        <w:rPr>
          <w:noProof/>
        </w:rPr>
        <w:fldChar w:fldCharType="begin"/>
      </w:r>
      <w:r w:rsidR="006C331B">
        <w:rPr>
          <w:noProof/>
        </w:rPr>
        <w:instrText xml:space="preserve"> SEQ Figure \* ARABIC </w:instrText>
      </w:r>
      <w:r w:rsidR="006C331B">
        <w:rPr>
          <w:noProof/>
        </w:rPr>
        <w:fldChar w:fldCharType="separate"/>
      </w:r>
      <w:r w:rsidR="00BE4299">
        <w:rPr>
          <w:noProof/>
        </w:rPr>
        <w:t>2</w:t>
      </w:r>
      <w:r w:rsidR="006C331B">
        <w:rPr>
          <w:noProof/>
        </w:rPr>
        <w:fldChar w:fldCharType="end"/>
      </w:r>
      <w:r>
        <w:t xml:space="preserve">: Measures considered in </w:t>
      </w:r>
      <w:proofErr w:type="gramStart"/>
      <w:r>
        <w:t>the</w:t>
      </w:r>
      <w:r w:rsidR="00FA439B">
        <w:t xml:space="preserve"> each</w:t>
      </w:r>
      <w:proofErr w:type="gramEnd"/>
      <w:r w:rsidR="00FA439B">
        <w:t xml:space="preserve"> sector. Note, this is not exhaustive, nor are all of these measures considered in every case study.</w:t>
      </w:r>
    </w:p>
    <w:p w14:paraId="4CE23051" w14:textId="3544EB00" w:rsidR="000A398E" w:rsidRDefault="000862CA" w:rsidP="000A398E">
      <w:r>
        <w:t>Finally, measures are drawn together to produce investment scenarios that include the deployment potential for a measure, a deployment rate over time, and expected changes in wider economic variables over the lifetime of measures, including energy prices, interest rates, population and the carbon intensity of different energy sources.</w:t>
      </w:r>
      <w:r w:rsidR="00F540C3">
        <w:t xml:space="preserve"> An example of the full methodological process is presented in Figure 3.</w:t>
      </w:r>
    </w:p>
    <w:p w14:paraId="187C5718" w14:textId="3872572F" w:rsidR="000862CA" w:rsidRDefault="000862CA" w:rsidP="000A398E"/>
    <w:p w14:paraId="6051C1A3" w14:textId="77777777" w:rsidR="000862CA" w:rsidRDefault="000862CA" w:rsidP="000A398E"/>
    <w:p w14:paraId="01BD0021" w14:textId="77777777" w:rsidR="000862CA" w:rsidRDefault="000862CA" w:rsidP="000862CA">
      <w:pPr>
        <w:keepNext/>
      </w:pPr>
      <w:r>
        <w:rPr>
          <w:noProof/>
        </w:rPr>
        <w:drawing>
          <wp:inline distT="0" distB="0" distL="0" distR="0" wp14:anchorId="68010227" wp14:editId="48C782DE">
            <wp:extent cx="5727700" cy="3315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8-17 at 09.50.45.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315970"/>
                    </a:xfrm>
                    <a:prstGeom prst="rect">
                      <a:avLst/>
                    </a:prstGeom>
                  </pic:spPr>
                </pic:pic>
              </a:graphicData>
            </a:graphic>
          </wp:inline>
        </w:drawing>
      </w:r>
    </w:p>
    <w:p w14:paraId="3B7E6614" w14:textId="605FF19D" w:rsidR="000862CA" w:rsidRDefault="000862CA" w:rsidP="000862CA">
      <w:pPr>
        <w:pStyle w:val="Caption"/>
      </w:pPr>
      <w:r>
        <w:t xml:space="preserve">Figure </w:t>
      </w:r>
      <w:r w:rsidR="006C331B">
        <w:rPr>
          <w:noProof/>
        </w:rPr>
        <w:fldChar w:fldCharType="begin"/>
      </w:r>
      <w:r w:rsidR="006C331B">
        <w:rPr>
          <w:noProof/>
        </w:rPr>
        <w:instrText xml:space="preserve"> SEQ Figure \* ARABIC </w:instrText>
      </w:r>
      <w:r w:rsidR="006C331B">
        <w:rPr>
          <w:noProof/>
        </w:rPr>
        <w:fldChar w:fldCharType="separate"/>
      </w:r>
      <w:r w:rsidR="00BE4299">
        <w:rPr>
          <w:noProof/>
        </w:rPr>
        <w:t>3</w:t>
      </w:r>
      <w:r w:rsidR="006C331B">
        <w:rPr>
          <w:noProof/>
        </w:rPr>
        <w:fldChar w:fldCharType="end"/>
      </w:r>
      <w:r>
        <w:t>: Example methodological process for developing an emissions scenario</w:t>
      </w:r>
      <w:r w:rsidR="001D7897">
        <w:t xml:space="preserve"> for the transport sector</w:t>
      </w:r>
      <w:r w:rsidR="00984B92">
        <w:t>, drawn a study that employed the same methodological approach</w:t>
      </w:r>
      <w:r>
        <w:t xml:space="preserve"> </w:t>
      </w:r>
      <w:r w:rsidR="00984B92">
        <w:t xml:space="preserve">(Millward-Hopkins et al </w:t>
      </w:r>
      <w:r>
        <w:t>2017)</w:t>
      </w:r>
    </w:p>
    <w:p w14:paraId="61B7959E" w14:textId="32277949" w:rsidR="00F540C3" w:rsidRDefault="00F540C3" w:rsidP="000A398E">
      <w:r>
        <w:t xml:space="preserve">Further details on the methodology employed in these and other urban bottom-up low carbon investment studies can be found in </w:t>
      </w:r>
      <w:proofErr w:type="spellStart"/>
      <w:r>
        <w:t>Gouldson</w:t>
      </w:r>
      <w:proofErr w:type="spellEnd"/>
      <w:r>
        <w:t xml:space="preserve"> et al (2015).</w:t>
      </w:r>
    </w:p>
    <w:p w14:paraId="1DA49BE8" w14:textId="77777777" w:rsidR="000A398E" w:rsidRPr="000A398E" w:rsidRDefault="000A398E" w:rsidP="000A398E"/>
    <w:p w14:paraId="7F9CF6E3" w14:textId="224CC334" w:rsidR="002A1FCE" w:rsidRDefault="002A1FCE" w:rsidP="002A1FCE">
      <w:pPr>
        <w:pStyle w:val="ListParagraph"/>
        <w:numPr>
          <w:ilvl w:val="0"/>
          <w:numId w:val="1"/>
        </w:numPr>
        <w:rPr>
          <w:rFonts w:ascii="Times New Roman" w:hAnsi="Times New Roman" w:cs="Times New Roman"/>
          <w:b/>
        </w:rPr>
      </w:pPr>
      <w:r w:rsidRPr="002A1FCE">
        <w:rPr>
          <w:rFonts w:ascii="Times New Roman" w:hAnsi="Times New Roman" w:cs="Times New Roman"/>
          <w:b/>
        </w:rPr>
        <w:t>Case studies</w:t>
      </w:r>
    </w:p>
    <w:p w14:paraId="5FEB899F" w14:textId="77777777" w:rsidR="002A1FCE" w:rsidRDefault="002A1FCE" w:rsidP="002A1FCE">
      <w:pPr>
        <w:ind w:left="360"/>
        <w:rPr>
          <w:b/>
        </w:rPr>
      </w:pPr>
    </w:p>
    <w:p w14:paraId="6E9B4C17" w14:textId="4849B644" w:rsidR="00A006E3" w:rsidRDefault="00A006E3" w:rsidP="00DD2529">
      <w:r>
        <w:t xml:space="preserve">In the following, </w:t>
      </w:r>
      <w:r w:rsidR="00340F17">
        <w:t xml:space="preserve">contextual information is provided on the urban area considered in each case study, high level results from the economic analysis are summarised, and key areas of potential action raised by the case study are </w:t>
      </w:r>
      <w:r w:rsidR="0013089B">
        <w:t>revealed.</w:t>
      </w:r>
    </w:p>
    <w:p w14:paraId="7AE9C4DD" w14:textId="77777777" w:rsidR="00A9660B" w:rsidRPr="00F61843" w:rsidRDefault="00A9660B" w:rsidP="00340F17"/>
    <w:p w14:paraId="693EBF74" w14:textId="03509CCC" w:rsidR="00061009" w:rsidRPr="001E0FAB" w:rsidRDefault="002A1FCE" w:rsidP="00061009">
      <w:pPr>
        <w:pStyle w:val="ListParagraph"/>
        <w:numPr>
          <w:ilvl w:val="1"/>
          <w:numId w:val="1"/>
        </w:numPr>
        <w:rPr>
          <w:rFonts w:ascii="Times New Roman" w:hAnsi="Times New Roman" w:cs="Times New Roman"/>
          <w:b/>
        </w:rPr>
      </w:pPr>
      <w:r w:rsidRPr="002A1FCE">
        <w:rPr>
          <w:rFonts w:ascii="Times New Roman" w:hAnsi="Times New Roman" w:cs="Times New Roman"/>
          <w:b/>
        </w:rPr>
        <w:t>Kigali, Rwanda</w:t>
      </w:r>
    </w:p>
    <w:p w14:paraId="0D144608" w14:textId="4B746DEC" w:rsidR="001E0FAB" w:rsidRDefault="001E0FAB" w:rsidP="001E0FAB">
      <w:pPr>
        <w:pStyle w:val="NormalWeb"/>
      </w:pPr>
      <w:r>
        <w:t xml:space="preserve">Kigali </w:t>
      </w:r>
      <w:r w:rsidR="0013089B">
        <w:t xml:space="preserve">is the capital of Rwanda, a country in East Africa with a population of 12.2 million people and the highest density of any </w:t>
      </w:r>
      <w:r w:rsidR="004A7D4B">
        <w:t>non-island</w:t>
      </w:r>
      <w:r w:rsidR="0013089B">
        <w:t xml:space="preserve"> African nation. Kigali is home to approximately 10% of the population and is growing rapidly with the population more than doubling over a ten</w:t>
      </w:r>
      <w:r w:rsidR="00096CC7">
        <w:t>-</w:t>
      </w:r>
      <w:r w:rsidR="0013089B">
        <w:t>year period.</w:t>
      </w:r>
      <w:r>
        <w:t xml:space="preserve"> </w:t>
      </w:r>
      <w:r w:rsidR="00DD2529">
        <w:t>While the nation as a who</w:t>
      </w:r>
      <w:r>
        <w:t xml:space="preserve">le remains among the world’s 20 poorest, economic growth has averaged more than 8% per annum since 2000 and the nation has performed highly </w:t>
      </w:r>
      <w:r w:rsidRPr="00A006E3">
        <w:t xml:space="preserve">on </w:t>
      </w:r>
      <w:r>
        <w:t>levels of</w:t>
      </w:r>
      <w:r w:rsidRPr="00A006E3">
        <w:t xml:space="preserve"> corruption, rule of law, competence of public service</w:t>
      </w:r>
      <w:r w:rsidR="004A7D4B">
        <w:t xml:space="preserve">s </w:t>
      </w:r>
      <w:r w:rsidRPr="00A006E3">
        <w:t>and ease of doing business (</w:t>
      </w:r>
      <w:r w:rsidR="00EB4E60" w:rsidRPr="00A006E3">
        <w:t>World Bank 2018</w:t>
      </w:r>
      <w:r w:rsidR="00010DE3">
        <w:t>a</w:t>
      </w:r>
      <w:r w:rsidR="00EB4E60">
        <w:t>;</w:t>
      </w:r>
      <w:r w:rsidR="00EB4E60" w:rsidRPr="00A006E3">
        <w:t xml:space="preserve"> </w:t>
      </w:r>
      <w:proofErr w:type="spellStart"/>
      <w:r w:rsidRPr="00A006E3">
        <w:t>Ansoms</w:t>
      </w:r>
      <w:proofErr w:type="spellEnd"/>
      <w:r w:rsidRPr="00A006E3">
        <w:t xml:space="preserve"> and </w:t>
      </w:r>
      <w:proofErr w:type="spellStart"/>
      <w:r w:rsidRPr="00A006E3">
        <w:t>Rostagno</w:t>
      </w:r>
      <w:proofErr w:type="spellEnd"/>
      <w:r w:rsidRPr="00A006E3">
        <w:t>, 2012).</w:t>
      </w:r>
      <w:r>
        <w:t xml:space="preserve"> </w:t>
      </w:r>
    </w:p>
    <w:p w14:paraId="22689A56" w14:textId="0D6A6335" w:rsidR="001E0FAB" w:rsidRDefault="001E0FAB" w:rsidP="001E0FAB">
      <w:pPr>
        <w:pStyle w:val="NormalWeb"/>
        <w:rPr>
          <w:rFonts w:ascii="TimesNewRomanPSMT" w:hAnsi="TimesNewRomanPSMT"/>
        </w:rPr>
      </w:pPr>
      <w:proofErr w:type="spellStart"/>
      <w:r>
        <w:rPr>
          <w:rFonts w:ascii="TimesNewRomanPSMT" w:hAnsi="TimesNewRomanPSMT"/>
        </w:rPr>
        <w:t>Colenbrander</w:t>
      </w:r>
      <w:proofErr w:type="spellEnd"/>
      <w:r>
        <w:rPr>
          <w:rFonts w:ascii="TimesNewRomanPSMT" w:hAnsi="TimesNewRomanPSMT"/>
        </w:rPr>
        <w:t xml:space="preserve"> (201</w:t>
      </w:r>
      <w:r w:rsidR="00010DE3">
        <w:rPr>
          <w:rFonts w:ascii="TimesNewRomanPSMT" w:hAnsi="TimesNewRomanPSMT"/>
        </w:rPr>
        <w:t>8b</w:t>
      </w:r>
      <w:r>
        <w:rPr>
          <w:rFonts w:ascii="TimesNewRomanPSMT" w:hAnsi="TimesNewRomanPSMT"/>
        </w:rPr>
        <w:t xml:space="preserve">) finds that rapid urban growth and rising affluence have led to exponential increases in energy use and emissions, with emissions from transport rising 8.9% per year and emissions from the building sector rising 8.1% year and expenditure on energy increasing tenfold since 2000. </w:t>
      </w:r>
      <w:r w:rsidR="00EB4E60">
        <w:rPr>
          <w:rFonts w:ascii="TimesNewRomanPSMT" w:hAnsi="TimesNewRomanPSMT"/>
        </w:rPr>
        <w:t>Looking forward over the next 15 years t</w:t>
      </w:r>
      <w:r w:rsidR="00EB4E60" w:rsidRPr="00EB4E60">
        <w:rPr>
          <w:rFonts w:ascii="TimesNewRomanPSMT" w:hAnsi="TimesNewRomanPSMT"/>
        </w:rPr>
        <w:t>he city’s total energy consumption is p</w:t>
      </w:r>
      <w:r w:rsidR="00EB4E60">
        <w:rPr>
          <w:rFonts w:ascii="TimesNewRomanPSMT" w:hAnsi="TimesNewRomanPSMT"/>
        </w:rPr>
        <w:t xml:space="preserve">rojected to increase by 187.0% while expenditure on energy rises </w:t>
      </w:r>
      <w:r w:rsidR="00EB4E60" w:rsidRPr="00EB4E60">
        <w:rPr>
          <w:rFonts w:ascii="TimesNewRomanPSMT" w:hAnsi="TimesNewRomanPSMT"/>
        </w:rPr>
        <w:t>249.7%</w:t>
      </w:r>
      <w:r w:rsidR="00EB4E60">
        <w:rPr>
          <w:rFonts w:ascii="TimesNewRomanPSMT" w:hAnsi="TimesNewRomanPSMT"/>
        </w:rPr>
        <w:t>. On a per capita basis both expenditure on energy and GHG emissions will remain low – less than one-tenth of the average of developed nations a decade into the future (</w:t>
      </w:r>
      <w:r w:rsidR="00EB4E60">
        <w:t>World Bank</w:t>
      </w:r>
      <w:r w:rsidR="00EB4E60" w:rsidRPr="00A006E3">
        <w:t xml:space="preserve"> 2018</w:t>
      </w:r>
      <w:r w:rsidR="004D20EA">
        <w:t>b</w:t>
      </w:r>
      <w:r w:rsidR="00EB4E60">
        <w:t>)</w:t>
      </w:r>
      <w:r w:rsidR="00EB4E60">
        <w:rPr>
          <w:rFonts w:ascii="TimesNewRomanPSMT" w:hAnsi="TimesNewRomanPSMT"/>
        </w:rPr>
        <w:t>. However, r</w:t>
      </w:r>
      <w:r>
        <w:rPr>
          <w:rFonts w:ascii="TimesNewRomanPSMT" w:hAnsi="TimesNewRomanPSMT"/>
        </w:rPr>
        <w:t xml:space="preserve">ising use of imported fossil fuels has created the opportunity for low carbon measures to save substantial </w:t>
      </w:r>
      <w:r w:rsidR="00EB4E60">
        <w:rPr>
          <w:rFonts w:ascii="TimesNewRomanPSMT" w:hAnsi="TimesNewRomanPSMT"/>
        </w:rPr>
        <w:t>amounts of money, and low carbon investments have the potential to generate significant wider benefits to the wider population.</w:t>
      </w:r>
    </w:p>
    <w:p w14:paraId="05C4D754" w14:textId="4C96D752" w:rsidR="0013089B" w:rsidRPr="00DF4478" w:rsidRDefault="0089198C" w:rsidP="00DF4478">
      <w:pPr>
        <w:pStyle w:val="NormalWeb"/>
        <w:rPr>
          <w:rFonts w:ascii="TimesNewRomanPSMT" w:hAnsi="TimesNewRomanPSMT"/>
        </w:rPr>
      </w:pPr>
      <w:r>
        <w:rPr>
          <w:rFonts w:ascii="TimesNewRomanPSMT" w:hAnsi="TimesNewRomanPSMT"/>
        </w:rPr>
        <w:t xml:space="preserve">Investments for which a financial case and a </w:t>
      </w:r>
      <w:r w:rsidR="00CE36D9">
        <w:rPr>
          <w:rFonts w:ascii="TimesNewRomanPSMT" w:hAnsi="TimesNewRomanPSMT"/>
        </w:rPr>
        <w:t>‘carbon case’ (a reduction in GHG emissions) are found in opportunities to invest in electric motorbikes, an expanded and rapid bus network, solar hot water heaters on homes and businesses, and in landfill gas capture and utilisation facilities, amongst other areas. Across the city, r</w:t>
      </w:r>
      <w:r w:rsidR="00EB4E60">
        <w:rPr>
          <w:rFonts w:ascii="TimesNewRomanPSMT" w:hAnsi="TimesNewRomanPSMT"/>
        </w:rPr>
        <w:t xml:space="preserve">esults of the study find that GHG </w:t>
      </w:r>
      <w:r w:rsidR="00EB4E60" w:rsidRPr="00EB4E60">
        <w:rPr>
          <w:rFonts w:ascii="TimesNewRomanPSMT" w:hAnsi="TimesNewRomanPSMT"/>
        </w:rPr>
        <w:t>emissions could be reduced by 39.0% relat</w:t>
      </w:r>
      <w:r w:rsidR="00EB4E60">
        <w:rPr>
          <w:rFonts w:ascii="TimesNewRomanPSMT" w:hAnsi="TimesNewRomanPSMT"/>
        </w:rPr>
        <w:t>ive to business-as-usual trends</w:t>
      </w:r>
      <w:r w:rsidR="00EB4E60" w:rsidRPr="00EB4E60">
        <w:rPr>
          <w:rFonts w:ascii="TimesNewRomanPSMT" w:hAnsi="TimesNewRomanPSMT"/>
        </w:rPr>
        <w:t xml:space="preserve"> through investments that would more than pay for themselves on commercial terms over their lifetime</w:t>
      </w:r>
      <w:r w:rsidR="00EB4E60">
        <w:rPr>
          <w:rFonts w:ascii="TimesNewRomanPSMT" w:hAnsi="TimesNewRomanPSMT"/>
        </w:rPr>
        <w:t>s. I</w:t>
      </w:r>
      <w:r w:rsidR="00EB4E60" w:rsidRPr="00EB4E60">
        <w:rPr>
          <w:rFonts w:ascii="TimesNewRomanPSMT" w:hAnsi="TimesNewRomanPSMT"/>
        </w:rPr>
        <w:t xml:space="preserve">nvestment of </w:t>
      </w:r>
      <w:r w:rsidR="00EB4E60">
        <w:rPr>
          <w:rFonts w:ascii="TimesNewRomanPSMT" w:hAnsi="TimesNewRomanPSMT"/>
        </w:rPr>
        <w:t>USD 920.7 million across these projects would generate</w:t>
      </w:r>
      <w:r w:rsidR="00EB4E60" w:rsidRPr="00EB4E60">
        <w:rPr>
          <w:rFonts w:ascii="TimesNewRomanPSMT" w:hAnsi="TimesNewRomanPSMT"/>
        </w:rPr>
        <w:t xml:space="preserve"> annual </w:t>
      </w:r>
      <w:r w:rsidR="00EB4E60">
        <w:rPr>
          <w:rFonts w:ascii="TimesNewRomanPSMT" w:hAnsi="TimesNewRomanPSMT"/>
        </w:rPr>
        <w:t xml:space="preserve">average </w:t>
      </w:r>
      <w:r w:rsidR="00EB4E60" w:rsidRPr="00EB4E60">
        <w:rPr>
          <w:rFonts w:ascii="TimesNewRomanPSMT" w:hAnsi="TimesNewRomanPSMT"/>
        </w:rPr>
        <w:t xml:space="preserve">savings USD </w:t>
      </w:r>
      <w:r w:rsidR="00EB4E60">
        <w:rPr>
          <w:rFonts w:ascii="TimesNewRomanPSMT" w:hAnsi="TimesNewRomanPSMT"/>
        </w:rPr>
        <w:t xml:space="preserve">173.2 million in fuel, paying back the investment, on averages, in 5.3 years. </w:t>
      </w:r>
      <w:r w:rsidR="00173E8E">
        <w:rPr>
          <w:rFonts w:ascii="TimesNewRomanPSMT" w:hAnsi="TimesNewRomanPSMT"/>
        </w:rPr>
        <w:t>O</w:t>
      </w:r>
      <w:r w:rsidR="00DD2529">
        <w:rPr>
          <w:rFonts w:ascii="TimesNewRomanPSMT" w:hAnsi="TimesNewRomanPSMT"/>
        </w:rPr>
        <w:t xml:space="preserve">ptions </w:t>
      </w:r>
      <w:r w:rsidR="00173E8E">
        <w:rPr>
          <w:rFonts w:ascii="TimesNewRomanPSMT" w:hAnsi="TimesNewRomanPSMT"/>
        </w:rPr>
        <w:t xml:space="preserve">for investments are found across the commercial, residential, transport and waste industries, with particularly </w:t>
      </w:r>
      <w:r w:rsidR="002D1437">
        <w:rPr>
          <w:rFonts w:ascii="TimesNewRomanPSMT" w:hAnsi="TimesNewRomanPSMT"/>
        </w:rPr>
        <w:t>impress</w:t>
      </w:r>
      <w:r w:rsidR="00DD2529">
        <w:rPr>
          <w:rFonts w:ascii="TimesNewRomanPSMT" w:hAnsi="TimesNewRomanPSMT"/>
        </w:rPr>
        <w:t>ive</w:t>
      </w:r>
      <w:r w:rsidR="002D1437">
        <w:rPr>
          <w:rFonts w:ascii="TimesNewRomanPSMT" w:hAnsi="TimesNewRomanPSMT"/>
        </w:rPr>
        <w:t xml:space="preserve"> opportunities in the waste and transport sectors.</w:t>
      </w:r>
    </w:p>
    <w:p w14:paraId="65ED2729" w14:textId="6E46CEE3" w:rsidR="002A1FCE" w:rsidRDefault="00E2337B" w:rsidP="002A1FCE">
      <w:pPr>
        <w:pStyle w:val="ListParagraph"/>
        <w:numPr>
          <w:ilvl w:val="1"/>
          <w:numId w:val="1"/>
        </w:numPr>
        <w:rPr>
          <w:rFonts w:ascii="Times New Roman" w:hAnsi="Times New Roman" w:cs="Times New Roman"/>
          <w:b/>
        </w:rPr>
      </w:pPr>
      <w:r>
        <w:rPr>
          <w:rFonts w:ascii="Times New Roman" w:hAnsi="Times New Roman" w:cs="Times New Roman"/>
          <w:b/>
        </w:rPr>
        <w:t>Recife, Brazil</w:t>
      </w:r>
    </w:p>
    <w:p w14:paraId="7398407F" w14:textId="067799DD" w:rsidR="00061009" w:rsidRDefault="00061009" w:rsidP="00061009"/>
    <w:p w14:paraId="3224B743" w14:textId="270E1C30" w:rsidR="002D1437" w:rsidRDefault="002D1437" w:rsidP="002D1437">
      <w:r>
        <w:t>Recife is among the t</w:t>
      </w:r>
      <w:r w:rsidR="00687B73">
        <w:t>en largest cities in Brazil with a</w:t>
      </w:r>
      <w:r>
        <w:t xml:space="preserve"> metropolitan</w:t>
      </w:r>
      <w:r w:rsidR="00687B73">
        <w:t xml:space="preserve"> area</w:t>
      </w:r>
      <w:r>
        <w:t xml:space="preserve"> population approaching 4 million people (</w:t>
      </w:r>
      <w:r w:rsidR="004D20EA">
        <w:t>UN DESA 201</w:t>
      </w:r>
      <w:r w:rsidR="003F633A">
        <w:t>8</w:t>
      </w:r>
      <w:r>
        <w:t xml:space="preserve">). An industrial hub of the North East of Brazil, Recife is a centre for </w:t>
      </w:r>
      <w:r w:rsidR="00687B73">
        <w:t xml:space="preserve">processing </w:t>
      </w:r>
      <w:r>
        <w:t>agricultural goods such as</w:t>
      </w:r>
      <w:r w:rsidRPr="00061009">
        <w:t xml:space="preserve"> sugar cane</w:t>
      </w:r>
      <w:r>
        <w:t xml:space="preserve"> and soy beans</w:t>
      </w:r>
      <w:r w:rsidRPr="00061009">
        <w:t xml:space="preserve">, </w:t>
      </w:r>
      <w:r>
        <w:t xml:space="preserve">a major port, and staging area and connection point for offshore oil platforms. </w:t>
      </w:r>
      <w:r w:rsidR="00687B73">
        <w:t xml:space="preserve">Due to its location and low elevation </w:t>
      </w:r>
      <w:r w:rsidRPr="00061009">
        <w:t xml:space="preserve">Recife is one of the most vulnerable cities in Brazil to the impacts </w:t>
      </w:r>
      <w:r>
        <w:t>of climate change. More than four-fifths</w:t>
      </w:r>
      <w:r w:rsidRPr="00061009">
        <w:t xml:space="preserve"> of the urban area is within 30m of the coastline and the average elevation of the city is less than 4m above sea level. Under a scenario where se</w:t>
      </w:r>
      <w:r>
        <w:t xml:space="preserve">a levels rise only 0.5m-1.0m, it is </w:t>
      </w:r>
      <w:r w:rsidRPr="00061009">
        <w:t xml:space="preserve">predicted that </w:t>
      </w:r>
      <w:r w:rsidR="00687B73">
        <w:t>near to one-quart</w:t>
      </w:r>
      <w:r w:rsidR="004D20EA">
        <w:t>er</w:t>
      </w:r>
      <w:r>
        <w:t xml:space="preserve"> of Recife would be under water</w:t>
      </w:r>
      <w:r w:rsidRPr="00061009">
        <w:t xml:space="preserve"> (Costa et al., 2010</w:t>
      </w:r>
      <w:r>
        <w:t>*</w:t>
      </w:r>
      <w:r w:rsidRPr="00061009">
        <w:t>).</w:t>
      </w:r>
    </w:p>
    <w:p w14:paraId="21B0C9B7" w14:textId="77777777" w:rsidR="002D1437" w:rsidRDefault="002D1437" w:rsidP="00061009"/>
    <w:p w14:paraId="3ADC1584" w14:textId="541E2030" w:rsidR="002D1437" w:rsidRDefault="004D20EA" w:rsidP="00061009">
      <w:proofErr w:type="spellStart"/>
      <w:r>
        <w:t>Colenbrander</w:t>
      </w:r>
      <w:proofErr w:type="spellEnd"/>
      <w:r>
        <w:t xml:space="preserve"> (2017) finds that t</w:t>
      </w:r>
      <w:r w:rsidR="00DD2529">
        <w:t>he t</w:t>
      </w:r>
      <w:r w:rsidR="002D1437" w:rsidRPr="00061009">
        <w:t xml:space="preserve">ransport sector is responsible for </w:t>
      </w:r>
      <w:r w:rsidR="002D1437">
        <w:t>alm</w:t>
      </w:r>
      <w:r w:rsidR="00DD2529">
        <w:t>ost two-thirds of GHG emissions in Recife</w:t>
      </w:r>
      <w:r w:rsidR="002D1437" w:rsidRPr="00061009">
        <w:t xml:space="preserve"> (65.6%), followed by waste </w:t>
      </w:r>
      <w:r w:rsidR="002D1437">
        <w:t xml:space="preserve">production </w:t>
      </w:r>
      <w:r w:rsidR="002D1437" w:rsidRPr="00061009">
        <w:t xml:space="preserve">(19.3%), household energy </w:t>
      </w:r>
      <w:r w:rsidR="002D1437">
        <w:t xml:space="preserve">use </w:t>
      </w:r>
      <w:r w:rsidR="002D1437" w:rsidRPr="00061009">
        <w:t xml:space="preserve">(6.4%), industrial energy </w:t>
      </w:r>
      <w:r w:rsidR="002D1437">
        <w:t>use (4.9%), commercial energy use</w:t>
      </w:r>
      <w:r w:rsidR="002D1437" w:rsidRPr="00061009">
        <w:t xml:space="preserve"> (3.8%) and government </w:t>
      </w:r>
      <w:r w:rsidR="002D1437">
        <w:t xml:space="preserve">energy use </w:t>
      </w:r>
      <w:r w:rsidR="002D1437" w:rsidRPr="00061009">
        <w:t>(0.4%)</w:t>
      </w:r>
      <w:r>
        <w:t xml:space="preserve">. </w:t>
      </w:r>
      <w:r w:rsidR="00687B73">
        <w:t xml:space="preserve">Over the period from 2015 to 2030 </w:t>
      </w:r>
      <w:r w:rsidR="00687B73" w:rsidRPr="00687B73">
        <w:t xml:space="preserve">total energy </w:t>
      </w:r>
      <w:r w:rsidR="00687B73">
        <w:t>use in Recife is anticipated to</w:t>
      </w:r>
      <w:r w:rsidR="00687B73" w:rsidRPr="00687B73">
        <w:t xml:space="preserve"> increase by 91%</w:t>
      </w:r>
      <w:r w:rsidR="00687B73">
        <w:t xml:space="preserve">, carbon emissions </w:t>
      </w:r>
      <w:r w:rsidR="00CC6EBA">
        <w:t>by</w:t>
      </w:r>
      <w:r w:rsidR="00687B73">
        <w:t xml:space="preserve"> </w:t>
      </w:r>
      <w:r w:rsidR="00687B73" w:rsidRPr="00687B73">
        <w:t>79</w:t>
      </w:r>
      <w:proofErr w:type="gramStart"/>
      <w:r w:rsidR="00687B73" w:rsidRPr="00687B73">
        <w:t xml:space="preserve">% </w:t>
      </w:r>
      <w:r w:rsidR="00CC6EBA">
        <w:t xml:space="preserve"> and</w:t>
      </w:r>
      <w:proofErr w:type="gramEnd"/>
      <w:r w:rsidR="00CC6EBA">
        <w:t xml:space="preserve"> energy expenditure by 174%. </w:t>
      </w:r>
      <w:r w:rsidR="00CC6EBA">
        <w:lastRenderedPageBreak/>
        <w:t>While energy use and e</w:t>
      </w:r>
      <w:r w:rsidR="00CC39C9">
        <w:t>missions</w:t>
      </w:r>
      <w:r w:rsidR="00CC6EBA">
        <w:t xml:space="preserve"> will both remain significantly below the OECD average, </w:t>
      </w:r>
      <w:r w:rsidR="00CC39C9">
        <w:t>rapid growth will lead to the proportion of GDP spent on energy rising from 8.7% to 12.1% by 2030, leaving a reduced proportion that can be spent by the infrastructure authority, businesses, and households.</w:t>
      </w:r>
    </w:p>
    <w:p w14:paraId="38421353" w14:textId="77777777" w:rsidR="00CC39C9" w:rsidRDefault="00CC39C9" w:rsidP="00061009"/>
    <w:p w14:paraId="65361E97" w14:textId="641A684B" w:rsidR="00687B73" w:rsidRPr="008D0FF2" w:rsidRDefault="00CC39C9" w:rsidP="00061009">
      <w:r>
        <w:t xml:space="preserve">A city-wide investment program in low carbon measures is found to hold potential for both reductions in emissions and </w:t>
      </w:r>
      <w:r w:rsidR="00B42C3C">
        <w:t>economic benefits for</w:t>
      </w:r>
      <w:r>
        <w:t xml:space="preserve"> the economy. </w:t>
      </w:r>
      <w:r w:rsidR="009E7561">
        <w:t>Among the measures showing opportunity for financial returns as well as GHG emissions savings, improving air conditioners efficiency, hybrid and alternative fuel buses and bus rapid transit networks, residential solar panels, and expanding a recycling network are among the options found to hold the most potential. Modelling reveals that i</w:t>
      </w:r>
      <w:r>
        <w:t xml:space="preserve">nvesting approximately 0.9% of GDP across the economy annually </w:t>
      </w:r>
      <w:r w:rsidR="009E7561">
        <w:t xml:space="preserve">in these and other measures </w:t>
      </w:r>
      <w:r>
        <w:t>could yield a 24.3% reduction in GHG emissions against the business-as-usual scenario, generate $585</w:t>
      </w:r>
      <w:r w:rsidR="00B42C3C">
        <w:t xml:space="preserve"> million in annual savings in energy expenditure, and provide a payback (across the investment scenario) of 5.7 years at commercial interest rates. </w:t>
      </w:r>
    </w:p>
    <w:p w14:paraId="5D183238" w14:textId="77777777" w:rsidR="00061009" w:rsidRPr="00061009" w:rsidRDefault="00061009" w:rsidP="00061009">
      <w:pPr>
        <w:rPr>
          <w:b/>
        </w:rPr>
      </w:pPr>
    </w:p>
    <w:p w14:paraId="1DC37406" w14:textId="3B1EA534" w:rsidR="00E2337B" w:rsidRDefault="00E2337B" w:rsidP="002A1FCE">
      <w:pPr>
        <w:pStyle w:val="ListParagraph"/>
        <w:numPr>
          <w:ilvl w:val="1"/>
          <w:numId w:val="1"/>
        </w:numPr>
        <w:rPr>
          <w:rFonts w:ascii="Times New Roman" w:hAnsi="Times New Roman" w:cs="Times New Roman"/>
          <w:b/>
        </w:rPr>
      </w:pPr>
      <w:r>
        <w:rPr>
          <w:rFonts w:ascii="Times New Roman" w:hAnsi="Times New Roman" w:cs="Times New Roman"/>
          <w:b/>
        </w:rPr>
        <w:t>Tianjin, China</w:t>
      </w:r>
    </w:p>
    <w:p w14:paraId="0EE29477" w14:textId="77777777" w:rsidR="00116C57" w:rsidRDefault="00116C57" w:rsidP="00116C57">
      <w:pPr>
        <w:rPr>
          <w:b/>
        </w:rPr>
      </w:pPr>
    </w:p>
    <w:p w14:paraId="5BF6A38E" w14:textId="631D97D6" w:rsidR="002A4495" w:rsidRDefault="00B42C3C" w:rsidP="002A4495">
      <w:pPr>
        <w:rPr>
          <w:rFonts w:cs="Arial"/>
          <w:bCs/>
          <w:szCs w:val="28"/>
        </w:rPr>
      </w:pPr>
      <w:r>
        <w:rPr>
          <w:rFonts w:cs="Arial"/>
          <w:bCs/>
          <w:szCs w:val="28"/>
        </w:rPr>
        <w:t xml:space="preserve">Located in North-Eastern China, Tianjin is </w:t>
      </w:r>
      <w:r w:rsidR="00671209">
        <w:rPr>
          <w:rFonts w:cs="Arial"/>
          <w:bCs/>
          <w:szCs w:val="28"/>
        </w:rPr>
        <w:t>one of the 20 largest cities in the world, and will be a part of potentially the world’s largest city when it is amalgamated with</w:t>
      </w:r>
      <w:r w:rsidR="00671209">
        <w:rPr>
          <w:rFonts w:ascii="Arial" w:hAnsi="Arial" w:cs="Arial"/>
          <w:color w:val="222222"/>
          <w:sz w:val="21"/>
          <w:szCs w:val="21"/>
          <w:shd w:val="clear" w:color="auto" w:fill="FFFFFF"/>
        </w:rPr>
        <w:t> </w:t>
      </w:r>
      <w:r w:rsidR="00671209" w:rsidRPr="00671209">
        <w:rPr>
          <w:rFonts w:cs="Arial"/>
          <w:bCs/>
          <w:szCs w:val="28"/>
        </w:rPr>
        <w:t>Beijing and Hebei to form the</w:t>
      </w:r>
      <w:r w:rsidR="00671209">
        <w:rPr>
          <w:rFonts w:cs="Arial"/>
          <w:bCs/>
          <w:szCs w:val="28"/>
        </w:rPr>
        <w:t xml:space="preserve"> </w:t>
      </w:r>
      <w:proofErr w:type="spellStart"/>
      <w:r w:rsidR="00671209" w:rsidRPr="00671209">
        <w:rPr>
          <w:rFonts w:cs="Arial"/>
          <w:bCs/>
          <w:szCs w:val="28"/>
        </w:rPr>
        <w:t>Jingjinji</w:t>
      </w:r>
      <w:proofErr w:type="spellEnd"/>
      <w:r w:rsidR="00671209" w:rsidRPr="00671209">
        <w:rPr>
          <w:rFonts w:cs="Arial"/>
          <w:bCs/>
          <w:szCs w:val="28"/>
        </w:rPr>
        <w:t xml:space="preserve"> Metropolitan Region</w:t>
      </w:r>
      <w:r w:rsidR="004D20EA">
        <w:rPr>
          <w:rFonts w:cs="Arial"/>
          <w:bCs/>
          <w:szCs w:val="28"/>
        </w:rPr>
        <w:t xml:space="preserve"> (UN DESA 201</w:t>
      </w:r>
      <w:r w:rsidR="003F633A">
        <w:rPr>
          <w:rFonts w:cs="Arial"/>
          <w:bCs/>
          <w:szCs w:val="28"/>
        </w:rPr>
        <w:t>8</w:t>
      </w:r>
      <w:r w:rsidR="004D20EA">
        <w:rPr>
          <w:rFonts w:cs="Arial"/>
          <w:bCs/>
          <w:szCs w:val="28"/>
        </w:rPr>
        <w:t>)</w:t>
      </w:r>
      <w:r w:rsidR="00671209">
        <w:rPr>
          <w:rFonts w:cs="Arial"/>
          <w:bCs/>
          <w:szCs w:val="28"/>
        </w:rPr>
        <w:t>.</w:t>
      </w:r>
      <w:r w:rsidR="00671209">
        <w:t xml:space="preserve"> </w:t>
      </w:r>
      <w:r w:rsidR="00671209">
        <w:rPr>
          <w:rFonts w:cs="Arial"/>
          <w:bCs/>
          <w:szCs w:val="28"/>
        </w:rPr>
        <w:t xml:space="preserve">A </w:t>
      </w:r>
      <w:r w:rsidR="002A4495">
        <w:rPr>
          <w:rFonts w:cs="Arial"/>
          <w:bCs/>
          <w:szCs w:val="28"/>
        </w:rPr>
        <w:t xml:space="preserve">hub for industry and port for goods produced in Beijing and inland cities, </w:t>
      </w:r>
      <w:proofErr w:type="spellStart"/>
      <w:r w:rsidR="002A4495">
        <w:rPr>
          <w:rFonts w:cs="Arial"/>
          <w:bCs/>
          <w:szCs w:val="28"/>
        </w:rPr>
        <w:t>Tainjin</w:t>
      </w:r>
      <w:proofErr w:type="spellEnd"/>
      <w:r w:rsidR="002A4495">
        <w:rPr>
          <w:rFonts w:cs="Arial"/>
          <w:bCs/>
          <w:szCs w:val="28"/>
        </w:rPr>
        <w:t xml:space="preserve"> is also one of four municipalities directly controlled by the central government. </w:t>
      </w:r>
    </w:p>
    <w:p w14:paraId="4CEE3E3C" w14:textId="77777777" w:rsidR="00D23AFD" w:rsidRDefault="00D23AFD" w:rsidP="002A4495">
      <w:pPr>
        <w:rPr>
          <w:rFonts w:cs="Arial"/>
          <w:bCs/>
          <w:szCs w:val="28"/>
        </w:rPr>
      </w:pPr>
    </w:p>
    <w:p w14:paraId="799CCC6D" w14:textId="6D7E5F95" w:rsidR="00D23AFD" w:rsidRDefault="00D23AFD" w:rsidP="002A4495">
      <w:pPr>
        <w:rPr>
          <w:rFonts w:cs="Arial"/>
          <w:szCs w:val="28"/>
        </w:rPr>
      </w:pPr>
      <w:r>
        <w:rPr>
          <w:rFonts w:cs="Arial"/>
          <w:bCs/>
          <w:szCs w:val="28"/>
        </w:rPr>
        <w:t xml:space="preserve">Among Chinese cities Tianjin has been a leader on climate action. </w:t>
      </w:r>
      <w:r w:rsidRPr="00B51D37">
        <w:rPr>
          <w:rFonts w:cs="Arial"/>
          <w:szCs w:val="28"/>
        </w:rPr>
        <w:t xml:space="preserve">Tianjin was one of the original members of the </w:t>
      </w:r>
      <w:r w:rsidRPr="00B51D37">
        <w:rPr>
          <w:rFonts w:cs="Arial"/>
          <w:bCs/>
          <w:szCs w:val="28"/>
        </w:rPr>
        <w:t>Program for Low-Carbon Pilot Cities and Provinces in 2010,</w:t>
      </w:r>
      <w:r w:rsidRPr="00B51D37">
        <w:rPr>
          <w:rFonts w:cs="Arial"/>
          <w:szCs w:val="28"/>
        </w:rPr>
        <w:t xml:space="preserve"> and the </w:t>
      </w:r>
      <w:r w:rsidRPr="00B51D37">
        <w:rPr>
          <w:rFonts w:cs="Arial"/>
          <w:bCs/>
          <w:szCs w:val="28"/>
        </w:rPr>
        <w:t>Program for Carbon Trading in P</w:t>
      </w:r>
      <w:r>
        <w:rPr>
          <w:rFonts w:cs="Arial"/>
          <w:bCs/>
          <w:szCs w:val="28"/>
        </w:rPr>
        <w:t xml:space="preserve">ilot Cities and Provinces 2011. In addition, Tianjin </w:t>
      </w:r>
      <w:r w:rsidRPr="00096E47">
        <w:rPr>
          <w:rFonts w:cs="Arial"/>
          <w:szCs w:val="28"/>
        </w:rPr>
        <w:t>adopted one of China’s first mandatory re</w:t>
      </w:r>
      <w:r>
        <w:rPr>
          <w:rFonts w:cs="Arial"/>
          <w:szCs w:val="28"/>
        </w:rPr>
        <w:t xml:space="preserve">sidential energy codes in 1997 and applied a more </w:t>
      </w:r>
      <w:r w:rsidRPr="00096E47">
        <w:rPr>
          <w:rFonts w:cs="Arial"/>
          <w:szCs w:val="28"/>
        </w:rPr>
        <w:t>stringent revised code in 2004</w:t>
      </w:r>
      <w:r>
        <w:rPr>
          <w:rFonts w:cs="Arial"/>
          <w:szCs w:val="28"/>
        </w:rPr>
        <w:t xml:space="preserve"> </w:t>
      </w:r>
      <w:r w:rsidRPr="00096E47">
        <w:rPr>
          <w:rFonts w:cs="Arial"/>
          <w:szCs w:val="28"/>
        </w:rPr>
        <w:t>(</w:t>
      </w:r>
      <w:r w:rsidR="008450E0">
        <w:rPr>
          <w:rFonts w:cs="Arial"/>
          <w:szCs w:val="28"/>
        </w:rPr>
        <w:t xml:space="preserve">TMJCC </w:t>
      </w:r>
      <w:r w:rsidR="0075325A">
        <w:rPr>
          <w:rFonts w:cs="Arial"/>
          <w:szCs w:val="28"/>
        </w:rPr>
        <w:t>2004).</w:t>
      </w:r>
      <w:r w:rsidR="00010DE3">
        <w:rPr>
          <w:rFonts w:cs="Arial"/>
          <w:szCs w:val="28"/>
        </w:rPr>
        <w:t xml:space="preserve"> </w:t>
      </w:r>
      <w:r w:rsidR="00671209">
        <w:rPr>
          <w:rFonts w:cs="Arial"/>
          <w:szCs w:val="28"/>
        </w:rPr>
        <w:t>Since the early 1990s</w:t>
      </w:r>
      <w:r w:rsidR="002A4495">
        <w:rPr>
          <w:rFonts w:cs="Arial"/>
          <w:szCs w:val="28"/>
        </w:rPr>
        <w:t xml:space="preserve"> </w:t>
      </w:r>
      <w:r w:rsidR="00671209">
        <w:rPr>
          <w:rFonts w:cs="Arial"/>
          <w:szCs w:val="28"/>
        </w:rPr>
        <w:t xml:space="preserve">Tianjin has seen accelerating </w:t>
      </w:r>
      <w:r w:rsidR="002A4495">
        <w:rPr>
          <w:rFonts w:cs="Arial"/>
          <w:szCs w:val="28"/>
        </w:rPr>
        <w:t>population an</w:t>
      </w:r>
      <w:r w:rsidR="00671209">
        <w:rPr>
          <w:rFonts w:cs="Arial"/>
          <w:szCs w:val="28"/>
        </w:rPr>
        <w:t>d economic growth. Between</w:t>
      </w:r>
      <w:r w:rsidR="002A4495">
        <w:rPr>
          <w:rFonts w:cs="Arial"/>
          <w:szCs w:val="28"/>
        </w:rPr>
        <w:t xml:space="preserve"> 2000 </w:t>
      </w:r>
      <w:r w:rsidR="00671209">
        <w:rPr>
          <w:rFonts w:cs="Arial"/>
          <w:szCs w:val="28"/>
        </w:rPr>
        <w:t xml:space="preserve">and 2015 the population </w:t>
      </w:r>
      <w:r w:rsidR="002A4495">
        <w:rPr>
          <w:rFonts w:cs="Arial"/>
          <w:szCs w:val="28"/>
        </w:rPr>
        <w:t xml:space="preserve">grew from to 6.7 million </w:t>
      </w:r>
      <w:r w:rsidR="00671209">
        <w:rPr>
          <w:rFonts w:cs="Arial"/>
          <w:szCs w:val="28"/>
        </w:rPr>
        <w:t xml:space="preserve">to </w:t>
      </w:r>
      <w:r w:rsidR="002A4495">
        <w:rPr>
          <w:rFonts w:cs="Arial"/>
          <w:szCs w:val="28"/>
        </w:rPr>
        <w:t>15 million</w:t>
      </w:r>
      <w:r w:rsidR="00671209">
        <w:rPr>
          <w:rFonts w:cs="Arial"/>
          <w:szCs w:val="28"/>
        </w:rPr>
        <w:t xml:space="preserve"> inhabitants and b</w:t>
      </w:r>
      <w:r>
        <w:rPr>
          <w:rFonts w:cs="Arial"/>
          <w:szCs w:val="28"/>
        </w:rPr>
        <w:t>y 2030 the city’s population is</w:t>
      </w:r>
      <w:r w:rsidR="002A4495">
        <w:rPr>
          <w:rFonts w:cs="Arial"/>
          <w:szCs w:val="28"/>
        </w:rPr>
        <w:t xml:space="preserve"> projected to rise to nearly 20 million (UN DESA 201</w:t>
      </w:r>
      <w:r w:rsidR="0075325A">
        <w:rPr>
          <w:rFonts w:cs="Arial"/>
          <w:szCs w:val="28"/>
        </w:rPr>
        <w:t>8</w:t>
      </w:r>
      <w:r w:rsidR="002A4495">
        <w:rPr>
          <w:rFonts w:cs="Arial"/>
          <w:szCs w:val="28"/>
        </w:rPr>
        <w:t xml:space="preserve">). </w:t>
      </w:r>
    </w:p>
    <w:p w14:paraId="4085EA1A" w14:textId="77777777" w:rsidR="00D23AFD" w:rsidRDefault="00D23AFD" w:rsidP="002A4495">
      <w:pPr>
        <w:rPr>
          <w:rFonts w:cs="Arial"/>
          <w:szCs w:val="28"/>
        </w:rPr>
      </w:pPr>
    </w:p>
    <w:p w14:paraId="6EF04492" w14:textId="511D29A9" w:rsidR="002A4495" w:rsidRPr="001842EC" w:rsidRDefault="00D23AFD" w:rsidP="002A4495">
      <w:pPr>
        <w:rPr>
          <w:rFonts w:cs="Arial"/>
          <w:szCs w:val="28"/>
        </w:rPr>
      </w:pPr>
      <w:r>
        <w:rPr>
          <w:rFonts w:cs="Arial"/>
          <w:szCs w:val="28"/>
        </w:rPr>
        <w:t xml:space="preserve">A program of action across the industrial, transport, commercial, residential and waste sectors is found to show a significant economic case for action against GHG emissions. </w:t>
      </w:r>
      <w:proofErr w:type="spellStart"/>
      <w:r w:rsidR="001842EC">
        <w:rPr>
          <w:rFonts w:cs="Arial"/>
          <w:szCs w:val="28"/>
        </w:rPr>
        <w:t>Gouldson</w:t>
      </w:r>
      <w:proofErr w:type="spellEnd"/>
      <w:r w:rsidR="001842EC">
        <w:rPr>
          <w:rFonts w:cs="Arial"/>
          <w:szCs w:val="28"/>
        </w:rPr>
        <w:t xml:space="preserve"> (2017) finds investments that generate financial returns and emissions savings in </w:t>
      </w:r>
      <w:proofErr w:type="gramStart"/>
      <w:r w:rsidR="001842EC">
        <w:rPr>
          <w:rFonts w:cs="Arial"/>
          <w:szCs w:val="28"/>
        </w:rPr>
        <w:t>an</w:t>
      </w:r>
      <w:proofErr w:type="gramEnd"/>
      <w:r w:rsidR="001842EC">
        <w:rPr>
          <w:rFonts w:cs="Arial"/>
          <w:szCs w:val="28"/>
        </w:rPr>
        <w:t xml:space="preserve"> number of fuel switching and efficiency measures in different industrial sub-sectors, in raising the fuel efficiency of vehicles, congestions pricing in the central business district, and in applying green building standards to new buildings, among other areas. Across measures, i</w:t>
      </w:r>
      <w:r>
        <w:rPr>
          <w:rFonts w:cs="Arial"/>
          <w:szCs w:val="28"/>
        </w:rPr>
        <w:t>nvestment of $39 billion in total, or 1% of 2015 urban GDP annually for 10 years, could generate savings in energy use of $8 billion USD, pay back the original investment in 5 years and reduce GHG emissions 18%</w:t>
      </w:r>
      <w:r w:rsidR="00775FC3">
        <w:rPr>
          <w:rFonts w:cs="Arial"/>
          <w:szCs w:val="28"/>
        </w:rPr>
        <w:t xml:space="preserve">. </w:t>
      </w:r>
    </w:p>
    <w:p w14:paraId="17854DF8" w14:textId="77777777" w:rsidR="00B36C14" w:rsidRPr="00116C57" w:rsidRDefault="00B36C14" w:rsidP="00116C57"/>
    <w:p w14:paraId="2D7BC9F6" w14:textId="5D661EED" w:rsidR="00E2337B" w:rsidRPr="00365C32" w:rsidRDefault="00E2337B" w:rsidP="002A1FCE">
      <w:pPr>
        <w:pStyle w:val="ListParagraph"/>
        <w:numPr>
          <w:ilvl w:val="1"/>
          <w:numId w:val="1"/>
        </w:numPr>
        <w:rPr>
          <w:rFonts w:ascii="Times New Roman" w:hAnsi="Times New Roman" w:cs="Times New Roman"/>
          <w:b/>
        </w:rPr>
      </w:pPr>
      <w:r w:rsidRPr="00365C32">
        <w:rPr>
          <w:rFonts w:ascii="Times New Roman" w:hAnsi="Times New Roman" w:cs="Times New Roman"/>
          <w:b/>
        </w:rPr>
        <w:t>Palembang, Indonesia</w:t>
      </w:r>
    </w:p>
    <w:p w14:paraId="26852841" w14:textId="77777777" w:rsidR="00E2337B" w:rsidRDefault="00E2337B" w:rsidP="00E2337B">
      <w:pPr>
        <w:rPr>
          <w:b/>
        </w:rPr>
      </w:pPr>
    </w:p>
    <w:p w14:paraId="3A8F3AF0" w14:textId="03B5FDB2" w:rsidR="00775FC3" w:rsidRDefault="00775FC3" w:rsidP="00630D34">
      <w:r>
        <w:t xml:space="preserve">Palembang is </w:t>
      </w:r>
      <w:r w:rsidR="00365C32">
        <w:t xml:space="preserve">one of </w:t>
      </w:r>
      <w:r w:rsidR="0075325A">
        <w:t>the ten</w:t>
      </w:r>
      <w:r>
        <w:t xml:space="preserve"> largest cit</w:t>
      </w:r>
      <w:r w:rsidR="0075325A">
        <w:t>ies</w:t>
      </w:r>
      <w:r>
        <w:t xml:space="preserve"> in Indonesia and the capital of the state of South Sumatra. </w:t>
      </w:r>
      <w:r w:rsidR="00E84A4D">
        <w:t xml:space="preserve">An important port and also a centre for wood and paper products, rubber and plastics, and light manufacturing of fabricated metals, machinery and other products, Palembang has seen </w:t>
      </w:r>
      <w:r w:rsidR="00365C32">
        <w:t>steady population and economic growth of the past two decades</w:t>
      </w:r>
      <w:r w:rsidR="00E84A4D">
        <w:t xml:space="preserve"> (</w:t>
      </w:r>
      <w:r w:rsidR="0075325A">
        <w:t>UN DESA 2018</w:t>
      </w:r>
      <w:r w:rsidR="00E84A4D">
        <w:t>).</w:t>
      </w:r>
    </w:p>
    <w:p w14:paraId="574C6943" w14:textId="77777777" w:rsidR="00FB780B" w:rsidRDefault="00FB780B" w:rsidP="00630D34"/>
    <w:p w14:paraId="71955463" w14:textId="39B22AD3" w:rsidR="00E84A4D" w:rsidRDefault="00507209" w:rsidP="00630D34">
      <w:r>
        <w:t>GHG emissions from Palembang in 2018 are estimated to come primarily from the domestic (42.6%) and industrial sectors (27.4%</w:t>
      </w:r>
      <w:r w:rsidR="00365C32">
        <w:t>)</w:t>
      </w:r>
      <w:r>
        <w:t>, with the c</w:t>
      </w:r>
      <w:r w:rsidR="009C7177">
        <w:t>ommercial and public buildings (15.4%</w:t>
      </w:r>
      <w:r>
        <w:t>), waste</w:t>
      </w:r>
      <w:r w:rsidR="009C7177">
        <w:t xml:space="preserve"> (4.0%), </w:t>
      </w:r>
      <w:r>
        <w:t xml:space="preserve">and </w:t>
      </w:r>
      <w:r w:rsidR="009C7177">
        <w:t xml:space="preserve">transport </w:t>
      </w:r>
      <w:r>
        <w:t xml:space="preserve">sectors </w:t>
      </w:r>
      <w:r w:rsidR="009C7177">
        <w:t>(10.7%)</w:t>
      </w:r>
      <w:r>
        <w:t xml:space="preserve"> generating relatively smaller, but growing volumes of emissions. As a result of the growth of the industrial sector </w:t>
      </w:r>
      <w:r w:rsidR="00E84A4D">
        <w:t>it is estimated that 18.7% of urban GVA was spent on energy each year</w:t>
      </w:r>
      <w:r>
        <w:t xml:space="preserve">, </w:t>
      </w:r>
      <w:r w:rsidR="001A14D5">
        <w:t>a portion that is approximately three times greater than the global urban average (</w:t>
      </w:r>
      <w:proofErr w:type="spellStart"/>
      <w:r w:rsidR="00365C32">
        <w:t>Gouldson</w:t>
      </w:r>
      <w:proofErr w:type="spellEnd"/>
      <w:r w:rsidR="00365C32">
        <w:t xml:space="preserve"> 2015</w:t>
      </w:r>
      <w:r w:rsidR="001A14D5">
        <w:t xml:space="preserve">). With further industrialisation and modest increased in energy prices </w:t>
      </w:r>
      <w:r w:rsidR="00E84A4D">
        <w:t xml:space="preserve">this proportion could increase to 20.9% in 2025 based on the trends identified in </w:t>
      </w:r>
      <w:proofErr w:type="spellStart"/>
      <w:r w:rsidR="00E84A4D">
        <w:t>Colenbrander</w:t>
      </w:r>
      <w:proofErr w:type="spellEnd"/>
      <w:r w:rsidR="00E84A4D">
        <w:t xml:space="preserve"> (2016).</w:t>
      </w:r>
    </w:p>
    <w:p w14:paraId="157A4433" w14:textId="0E97240F" w:rsidR="00A764A3" w:rsidRDefault="00A764A3" w:rsidP="00630D34"/>
    <w:p w14:paraId="54C5BC76" w14:textId="58835694" w:rsidR="00630D34" w:rsidRPr="00280F34" w:rsidRDefault="00A764A3" w:rsidP="00E2337B">
      <w:r>
        <w:t xml:space="preserve">Large opportunities in the city for generating emissions savings and economic returns (at the urban level) are found across the buildings, transport, waste and industry sectors in Palembang. Landfill gas utilisation and energy from waste facilities are found to have the potential to save more than 3Mt of CO2 emissions over their lifetimes (approximately half of one year’s total emissions from the city) while generating financial returns for the local government through gate fees and the sale of electricity. Additionally, developing a bus rapid transit network, energy efficiency and fuel switching measures in the industry sector and the implementation of energy efficiency standards for air conditioners are highlighted as opportunities for action. Collectively, </w:t>
      </w:r>
      <w:r w:rsidR="009D3688">
        <w:t xml:space="preserve">investment of $405.6 million over 15 years </w:t>
      </w:r>
      <w:r>
        <w:t xml:space="preserve">is found to have the potential to reduce </w:t>
      </w:r>
      <w:r w:rsidR="009D3688">
        <w:t>energy bills by $436.8 million, generat</w:t>
      </w:r>
      <w:r>
        <w:t>e</w:t>
      </w:r>
      <w:r w:rsidR="009D3688">
        <w:t xml:space="preserve"> a payback of less than one year while reducing GHG emissions 24.1%.</w:t>
      </w:r>
    </w:p>
    <w:p w14:paraId="4B853EA6" w14:textId="5A53E8ED" w:rsidR="00A814E0" w:rsidRPr="004C54A9" w:rsidRDefault="00A814E0" w:rsidP="003473DB">
      <w:pPr>
        <w:rPr>
          <w:b/>
        </w:rPr>
      </w:pPr>
    </w:p>
    <w:p w14:paraId="4797D376" w14:textId="11B11D06" w:rsidR="00E2337B" w:rsidRDefault="00394C32" w:rsidP="00E2337B">
      <w:pPr>
        <w:pStyle w:val="ListParagraph"/>
        <w:numPr>
          <w:ilvl w:val="0"/>
          <w:numId w:val="1"/>
        </w:numPr>
        <w:rPr>
          <w:rFonts w:ascii="Times New Roman" w:hAnsi="Times New Roman" w:cs="Times New Roman"/>
          <w:b/>
        </w:rPr>
      </w:pPr>
      <w:r>
        <w:rPr>
          <w:rFonts w:ascii="Times New Roman" w:hAnsi="Times New Roman" w:cs="Times New Roman"/>
          <w:b/>
        </w:rPr>
        <w:t>Reassessing the role of urban governmen</w:t>
      </w:r>
      <w:r w:rsidR="00657806">
        <w:rPr>
          <w:rFonts w:ascii="Times New Roman" w:hAnsi="Times New Roman" w:cs="Times New Roman"/>
          <w:b/>
        </w:rPr>
        <w:t>t</w:t>
      </w:r>
    </w:p>
    <w:p w14:paraId="0DB40C57" w14:textId="77777777" w:rsidR="00D93003" w:rsidRDefault="00D93003" w:rsidP="00EB7847"/>
    <w:p w14:paraId="658FFA0D" w14:textId="3D9FD322" w:rsidR="00D93003" w:rsidRDefault="006B05E3" w:rsidP="00EB7847">
      <w:r>
        <w:t>The urban context</w:t>
      </w:r>
      <w:r w:rsidR="00D93003">
        <w:t xml:space="preserve"> </w:t>
      </w:r>
      <w:r w:rsidR="00361F83">
        <w:t>varies</w:t>
      </w:r>
      <w:r w:rsidR="00D93003">
        <w:t xml:space="preserve"> considerably across the case studies presented.</w:t>
      </w:r>
      <w:r w:rsidR="0064581D">
        <w:t xml:space="preserve"> While </w:t>
      </w:r>
      <w:r w:rsidR="00E234BA">
        <w:t>Tianjin</w:t>
      </w:r>
      <w:r w:rsidR="0064581D">
        <w:t xml:space="preserve"> is a megacity with more than 10 million inhabitants, Kigali has a population of fewer than 2 mill</w:t>
      </w:r>
      <w:r w:rsidR="004652DA">
        <w:t xml:space="preserve">ion. </w:t>
      </w:r>
      <w:r w:rsidR="00E234BA">
        <w:t xml:space="preserve">Palembang and Recife are on the equator and in countries with parliamentary systems while </w:t>
      </w:r>
      <w:proofErr w:type="spellStart"/>
      <w:r w:rsidR="004652DA">
        <w:t>Tainjin</w:t>
      </w:r>
      <w:proofErr w:type="spellEnd"/>
      <w:r w:rsidR="004652DA">
        <w:t xml:space="preserve"> faces harsh winters and is in a country with a one-party system</w:t>
      </w:r>
      <w:r w:rsidR="00E234BA">
        <w:t xml:space="preserve">. </w:t>
      </w:r>
      <w:r w:rsidR="004B009F">
        <w:t>And while</w:t>
      </w:r>
      <w:r w:rsidR="00920CAC">
        <w:t xml:space="preserve"> Palembang and </w:t>
      </w:r>
      <w:proofErr w:type="spellStart"/>
      <w:r w:rsidR="00920CAC">
        <w:t>Tainjin</w:t>
      </w:r>
      <w:proofErr w:type="spellEnd"/>
      <w:r w:rsidR="00920CAC">
        <w:t xml:space="preserve"> have heavy industry at the core of their economies and are connected to carbon intensive electricity grids, the economies of Recife and Kigali </w:t>
      </w:r>
      <w:r w:rsidR="004B009F">
        <w:t>have</w:t>
      </w:r>
      <w:r w:rsidR="00920CAC">
        <w:t xml:space="preserve"> relatively larger service sectors and are connect to electricity grids that are lower carbon. </w:t>
      </w:r>
      <w:r w:rsidR="001D7180">
        <w:t>Despite t</w:t>
      </w:r>
      <w:r w:rsidR="00A814E0">
        <w:t>hese differences, common findings</w:t>
      </w:r>
      <w:r w:rsidR="001D7180">
        <w:t xml:space="preserve"> around the technical and economic case for </w:t>
      </w:r>
      <w:r w:rsidR="004D36EF">
        <w:t xml:space="preserve">climate action </w:t>
      </w:r>
      <w:r w:rsidR="001D7180">
        <w:t>emerge.</w:t>
      </w:r>
    </w:p>
    <w:p w14:paraId="3537C9C3" w14:textId="77777777" w:rsidR="00D93003" w:rsidRDefault="00D93003" w:rsidP="00EB7847"/>
    <w:p w14:paraId="70361EFF" w14:textId="2D0D32DF" w:rsidR="000959AA" w:rsidRDefault="00324CA7" w:rsidP="00324CA7">
      <w:r>
        <w:t>Firstly, a significan</w:t>
      </w:r>
      <w:r w:rsidR="007E2A0B">
        <w:t>t</w:t>
      </w:r>
      <w:r>
        <w:t xml:space="preserve"> </w:t>
      </w:r>
      <w:r w:rsidR="007E2A0B">
        <w:t xml:space="preserve">economic </w:t>
      </w:r>
      <w:r>
        <w:t>case for action is found in each urban area</w:t>
      </w:r>
      <w:r w:rsidR="00E234BA">
        <w:t xml:space="preserve"> using market interest rates and</w:t>
      </w:r>
      <w:r w:rsidR="007E2A0B">
        <w:t xml:space="preserve"> </w:t>
      </w:r>
      <w:r w:rsidR="00E234BA">
        <w:t>existing energy prices and capital costs</w:t>
      </w:r>
      <w:r>
        <w:t xml:space="preserve">. In each case between 14% and 24% of GHG emissions could be reduced against a baseline scenario over the coming decade by implementing actions that provide </w:t>
      </w:r>
      <w:r w:rsidR="007E2A0B">
        <w:t>financial</w:t>
      </w:r>
      <w:r>
        <w:t xml:space="preserve"> returns and that are currently available for investors. The existence of these opportunities</w:t>
      </w:r>
      <w:r w:rsidR="00A5302A">
        <w:t xml:space="preserve"> raises questions a</w:t>
      </w:r>
      <w:r w:rsidR="007E2A0B">
        <w:t>round</w:t>
      </w:r>
      <w:r w:rsidR="00A5302A">
        <w:t xml:space="preserve"> the extent that </w:t>
      </w:r>
      <w:r w:rsidR="007E2A0B">
        <w:t>a financial case is currently limiting action in these contexts, or whether a wider set of market failures, involving financial and non-financial aspects of these investments, may be the critical area for policymaking.</w:t>
      </w:r>
    </w:p>
    <w:p w14:paraId="35F7222D" w14:textId="77777777" w:rsidR="00324CA7" w:rsidRDefault="00324CA7" w:rsidP="00EB7847"/>
    <w:p w14:paraId="2705631E" w14:textId="0DD1E63F" w:rsidR="00D93003" w:rsidRDefault="00324CA7" w:rsidP="00EB7847">
      <w:r>
        <w:t>Secondly</w:t>
      </w:r>
      <w:r w:rsidR="00D93003">
        <w:t>, while the total amount of investment required in each urban area amounts to billions of dollars (USD), the majority of investment comes in the form of a very large set of relatively small investments. Across the urba</w:t>
      </w:r>
      <w:r w:rsidR="00361F83">
        <w:t>n areas more than 60% of total GHG mitigation comes from</w:t>
      </w:r>
      <w:r w:rsidR="00D93003">
        <w:t xml:space="preserve"> </w:t>
      </w:r>
      <w:r w:rsidR="001212D6">
        <w:t xml:space="preserve">actions that </w:t>
      </w:r>
      <w:r w:rsidR="008F6EC1">
        <w:t xml:space="preserve">individually </w:t>
      </w:r>
      <w:r w:rsidR="001212D6">
        <w:t>cost less than $1</w:t>
      </w:r>
      <w:r w:rsidR="00361F83">
        <w:t>0</w:t>
      </w:r>
      <w:r w:rsidR="001212D6">
        <w:t>000 USD</w:t>
      </w:r>
      <w:r w:rsidR="006B05E3">
        <w:t>.</w:t>
      </w:r>
      <w:r w:rsidR="00361F83">
        <w:t xml:space="preserve"> </w:t>
      </w:r>
      <w:r w:rsidR="008E6BC0">
        <w:t xml:space="preserve">In Kigali electric motorbikes show a strong economic and financial case, in Recife high efficiency air </w:t>
      </w:r>
      <w:r w:rsidR="004D36EF">
        <w:t xml:space="preserve">conditioners can generate substantial economic savings even after accounting for their higher </w:t>
      </w:r>
      <w:r w:rsidR="00C46E32">
        <w:t>upfront cost</w:t>
      </w:r>
      <w:r w:rsidR="004D36EF">
        <w:t xml:space="preserve">, and in </w:t>
      </w:r>
      <w:r w:rsidR="00BA2F3A">
        <w:t>Palembang</w:t>
      </w:r>
      <w:r w:rsidR="008E6BC0">
        <w:t xml:space="preserve"> </w:t>
      </w:r>
      <w:r w:rsidR="00C46E32">
        <w:t xml:space="preserve">green building standards show a strong economic and </w:t>
      </w:r>
      <w:r w:rsidR="00C46E32">
        <w:lastRenderedPageBreak/>
        <w:t>environmental case</w:t>
      </w:r>
      <w:r w:rsidR="004D36EF">
        <w:t>. T</w:t>
      </w:r>
      <w:r w:rsidR="008E6BC0">
        <w:t xml:space="preserve">he </w:t>
      </w:r>
      <w:r w:rsidR="004D36EF">
        <w:t>scale of these investments is</w:t>
      </w:r>
      <w:r w:rsidR="008E6BC0">
        <w:t xml:space="preserve"> too small for international investors or national investment portfolios, but in cases too large for </w:t>
      </w:r>
      <w:r w:rsidR="003B0147">
        <w:t xml:space="preserve">individual households, suggesting a </w:t>
      </w:r>
      <w:r w:rsidR="004D36EF">
        <w:t xml:space="preserve">possible </w:t>
      </w:r>
      <w:r w:rsidR="003B0147">
        <w:t>need for public policy</w:t>
      </w:r>
      <w:r w:rsidR="007E2A0B">
        <w:t xml:space="preserve"> and a possible shortcoming of climate policy analysis focused only on multi</w:t>
      </w:r>
      <w:r w:rsidR="00394C32">
        <w:t>-</w:t>
      </w:r>
      <w:proofErr w:type="gramStart"/>
      <w:r w:rsidR="007E2A0B">
        <w:t>million dollar</w:t>
      </w:r>
      <w:proofErr w:type="gramEnd"/>
      <w:r w:rsidR="007E2A0B">
        <w:t xml:space="preserve"> projects. </w:t>
      </w:r>
    </w:p>
    <w:p w14:paraId="14B8433A" w14:textId="77777777" w:rsidR="00D93003" w:rsidRDefault="00D93003" w:rsidP="00EB7847"/>
    <w:p w14:paraId="6C7D9D86" w14:textId="2546827B" w:rsidR="00D93003" w:rsidRDefault="00324CA7" w:rsidP="00EB7847">
      <w:r>
        <w:t>Finally</w:t>
      </w:r>
      <w:r w:rsidR="00D93003">
        <w:t xml:space="preserve">, the case for action in each city </w:t>
      </w:r>
      <w:r w:rsidR="00361F83">
        <w:t xml:space="preserve">rests both on technically complex actions developed from new technologies and at times requiring high levels of technical capacities, and </w:t>
      </w:r>
      <w:r w:rsidR="004D36EF">
        <w:t xml:space="preserve">on </w:t>
      </w:r>
      <w:r w:rsidR="00F9573D">
        <w:t xml:space="preserve">a </w:t>
      </w:r>
      <w:r w:rsidR="00361F83">
        <w:t>large set of well-established and, at times,</w:t>
      </w:r>
      <w:r w:rsidR="00D93003">
        <w:t xml:space="preserve"> relatively prosaic</w:t>
      </w:r>
      <w:r w:rsidR="004D36EF">
        <w:t>,</w:t>
      </w:r>
      <w:r w:rsidR="00D93003">
        <w:t xml:space="preserve"> actions. </w:t>
      </w:r>
      <w:r w:rsidR="00361F83">
        <w:t xml:space="preserve">New technologies around heating and cooling systems, traffic management and industrial processes are complemented by actions to improve </w:t>
      </w:r>
      <w:r w:rsidR="004B009F">
        <w:t xml:space="preserve">building </w:t>
      </w:r>
      <w:r w:rsidR="00361F83">
        <w:t>insulation</w:t>
      </w:r>
      <w:r w:rsidR="00D93003">
        <w:t xml:space="preserve">, </w:t>
      </w:r>
      <w:r w:rsidR="004B009F">
        <w:t>encourage</w:t>
      </w:r>
      <w:r w:rsidR="0054452B">
        <w:t xml:space="preserve"> biking and walking, and </w:t>
      </w:r>
      <w:r w:rsidR="004D36EF">
        <w:t>increase</w:t>
      </w:r>
      <w:r w:rsidR="0054452B">
        <w:t xml:space="preserve"> maintenance to boilers </w:t>
      </w:r>
      <w:r w:rsidR="00F9573D">
        <w:t xml:space="preserve">and other energy systems </w:t>
      </w:r>
      <w:r w:rsidR="0054452B">
        <w:t xml:space="preserve">in homes and factories. </w:t>
      </w:r>
      <w:r w:rsidR="00F9573D">
        <w:t xml:space="preserve">Raising levels of low carbon finance in urban areas </w:t>
      </w:r>
      <w:r w:rsidR="004D36EF">
        <w:t xml:space="preserve">may therefore require as much consideration of technologies and practices that are long established as on new and innovative investments. </w:t>
      </w:r>
    </w:p>
    <w:p w14:paraId="767ADCEA" w14:textId="77777777" w:rsidR="003B0147" w:rsidRDefault="003B0147" w:rsidP="00EB7847"/>
    <w:p w14:paraId="2ED1631E" w14:textId="0A0FED23" w:rsidR="00871E32" w:rsidRDefault="00F9573D" w:rsidP="00EB7847">
      <w:r>
        <w:t xml:space="preserve">What role, if any, exists for urban policymakers </w:t>
      </w:r>
      <w:r w:rsidR="004D36EF">
        <w:t>given these findings</w:t>
      </w:r>
      <w:r>
        <w:t xml:space="preserve">? </w:t>
      </w:r>
      <w:r w:rsidR="003E01DF">
        <w:t>An inter-related set of cha</w:t>
      </w:r>
      <w:r w:rsidR="00443686">
        <w:t>llen</w:t>
      </w:r>
      <w:r w:rsidR="003E01DF">
        <w:t>ges stand in the way of public and private low carbon action</w:t>
      </w:r>
      <w:r w:rsidR="00606B2A">
        <w:t>s</w:t>
      </w:r>
      <w:r w:rsidR="003E01DF">
        <w:t xml:space="preserve">. Financial variables </w:t>
      </w:r>
      <w:r w:rsidR="00606B2A">
        <w:t>including</w:t>
      </w:r>
      <w:r w:rsidR="00550F51">
        <w:t xml:space="preserve"> interest rates</w:t>
      </w:r>
      <w:r w:rsidR="00606B2A">
        <w:t>,</w:t>
      </w:r>
      <w:r w:rsidR="00550F51">
        <w:t xml:space="preserve"> energy prices</w:t>
      </w:r>
      <w:r w:rsidR="00096CC7">
        <w:t xml:space="preserve"> </w:t>
      </w:r>
      <w:r w:rsidR="00606B2A">
        <w:t>and capital costs can serve as barriers by limiting the scale of finance available finance while n</w:t>
      </w:r>
      <w:r w:rsidR="00550F51">
        <w:t xml:space="preserve">on-financial </w:t>
      </w:r>
      <w:r w:rsidR="00632543">
        <w:t>factors</w:t>
      </w:r>
      <w:r w:rsidR="00606B2A">
        <w:t xml:space="preserve">, </w:t>
      </w:r>
      <w:r w:rsidR="00550F51">
        <w:t xml:space="preserve">include </w:t>
      </w:r>
      <w:r w:rsidR="003E01DF">
        <w:t>the availability of a workforce with necessary skills</w:t>
      </w:r>
      <w:r w:rsidR="00394C32">
        <w:t>,</w:t>
      </w:r>
      <w:r w:rsidR="003E01DF">
        <w:t xml:space="preserve"> access to </w:t>
      </w:r>
      <w:r w:rsidR="00606B2A">
        <w:t xml:space="preserve">knowledge and supply networks, </w:t>
      </w:r>
      <w:r w:rsidR="00550F51">
        <w:t>legal frameworks, government polic</w:t>
      </w:r>
      <w:r w:rsidR="00632543">
        <w:t>ies</w:t>
      </w:r>
      <w:r w:rsidR="00550F51">
        <w:t xml:space="preserve"> and environmental factors </w:t>
      </w:r>
      <w:r w:rsidR="00394C32">
        <w:t>can also affect the scale and pace of low carbon action</w:t>
      </w:r>
      <w:r w:rsidR="00550F51">
        <w:t>.</w:t>
      </w:r>
      <w:r w:rsidR="00632543">
        <w:t xml:space="preserve"> </w:t>
      </w:r>
    </w:p>
    <w:p w14:paraId="35915F09" w14:textId="77777777" w:rsidR="00871E32" w:rsidRDefault="00871E32" w:rsidP="00EB7847"/>
    <w:p w14:paraId="36EC200E" w14:textId="1037E379" w:rsidR="004C54A9" w:rsidRDefault="00F9573D" w:rsidP="00EB7847">
      <w:r>
        <w:t xml:space="preserve">Reviewing recent literature that has explored the evolving role of urban </w:t>
      </w:r>
      <w:r w:rsidR="00276BA3">
        <w:t>governments (</w:t>
      </w:r>
      <w:r w:rsidR="00A84C8D">
        <w:t>***</w:t>
      </w:r>
      <w:r w:rsidR="00276BA3">
        <w:t>)</w:t>
      </w:r>
      <w:r w:rsidR="00504C52">
        <w:t xml:space="preserve"> and the case studies presented, </w:t>
      </w:r>
      <w:r w:rsidR="00276BA3">
        <w:t xml:space="preserve">we identify six </w:t>
      </w:r>
      <w:proofErr w:type="gramStart"/>
      <w:r w:rsidR="00203015">
        <w:t>place</w:t>
      </w:r>
      <w:proofErr w:type="gramEnd"/>
      <w:r w:rsidR="00203015">
        <w:t xml:space="preserve"> for urban policymakers to support action on climate change.</w:t>
      </w:r>
      <w:r w:rsidR="00045BEB">
        <w:t xml:space="preserve"> </w:t>
      </w:r>
      <w:r w:rsidR="00871E32">
        <w:t xml:space="preserve"> </w:t>
      </w:r>
    </w:p>
    <w:p w14:paraId="151932D2" w14:textId="77777777" w:rsidR="00394C32" w:rsidRDefault="00394C32" w:rsidP="00EB7847"/>
    <w:p w14:paraId="469CCB56" w14:textId="3D4D140D" w:rsidR="00504C52" w:rsidRDefault="00504C52" w:rsidP="00EB7847"/>
    <w:p w14:paraId="32F94645" w14:textId="77777777" w:rsidR="00BE4299" w:rsidRDefault="00BE4299" w:rsidP="00BE4299">
      <w:pPr>
        <w:keepNext/>
      </w:pPr>
      <w:r>
        <w:rPr>
          <w:noProof/>
        </w:rPr>
        <w:drawing>
          <wp:inline distT="0" distB="0" distL="0" distR="0" wp14:anchorId="48FF4A8D" wp14:editId="66A738AC">
            <wp:extent cx="5727700" cy="3246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12 at 09.59.3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3246120"/>
                    </a:xfrm>
                    <a:prstGeom prst="rect">
                      <a:avLst/>
                    </a:prstGeom>
                  </pic:spPr>
                </pic:pic>
              </a:graphicData>
            </a:graphic>
          </wp:inline>
        </w:drawing>
      </w:r>
    </w:p>
    <w:p w14:paraId="52FEDB98" w14:textId="0DD74FB0" w:rsidR="00325818" w:rsidRPr="00096CC7" w:rsidRDefault="00BE4299" w:rsidP="00BE4299">
      <w:pPr>
        <w:pStyle w:val="Caption"/>
        <w:rPr>
          <w:i w:val="0"/>
        </w:rPr>
      </w:pPr>
      <w:r>
        <w:t xml:space="preserve">Figure </w:t>
      </w:r>
      <w:r w:rsidR="00FA1557">
        <w:rPr>
          <w:noProof/>
        </w:rPr>
        <w:fldChar w:fldCharType="begin"/>
      </w:r>
      <w:r w:rsidR="00FA1557">
        <w:rPr>
          <w:noProof/>
        </w:rPr>
        <w:instrText xml:space="preserve"> SEQ Figure \* ARABIC </w:instrText>
      </w:r>
      <w:r w:rsidR="00FA1557">
        <w:rPr>
          <w:noProof/>
        </w:rPr>
        <w:fldChar w:fldCharType="separate"/>
      </w:r>
      <w:r>
        <w:rPr>
          <w:noProof/>
        </w:rPr>
        <w:t>4</w:t>
      </w:r>
      <w:r w:rsidR="00FA1557">
        <w:rPr>
          <w:noProof/>
        </w:rPr>
        <w:fldChar w:fldCharType="end"/>
      </w:r>
      <w:r>
        <w:t>:</w:t>
      </w:r>
      <w:r w:rsidR="00632F3A" w:rsidRPr="00632F3A">
        <w:t xml:space="preserve"> </w:t>
      </w:r>
      <w:r w:rsidR="00632F3A">
        <w:t>Categorisations of places for urban policymaking around climate action</w:t>
      </w:r>
    </w:p>
    <w:p w14:paraId="7742B06E" w14:textId="2D298C2C" w:rsidR="00EF4144" w:rsidRDefault="00EF4144" w:rsidP="00EB7847"/>
    <w:p w14:paraId="05ED4874" w14:textId="38361B2A" w:rsidR="00EF4144" w:rsidRDefault="00EF4144" w:rsidP="00EB7847"/>
    <w:p w14:paraId="0EBCFDB1" w14:textId="4154A20B" w:rsidR="00BE4299" w:rsidRDefault="00BE4299" w:rsidP="00EB7847"/>
    <w:p w14:paraId="66D95556" w14:textId="77777777" w:rsidR="00BE4299" w:rsidRDefault="00BE4299" w:rsidP="00EB7847"/>
    <w:p w14:paraId="45721B95" w14:textId="3D28FF10" w:rsidR="00276BA3" w:rsidRDefault="00156077" w:rsidP="00276BA3">
      <w:pPr>
        <w:rPr>
          <w:i/>
        </w:rPr>
      </w:pPr>
      <w:r w:rsidRPr="00156077">
        <w:rPr>
          <w:i/>
        </w:rPr>
        <w:t>Leading</w:t>
      </w:r>
      <w:r>
        <w:rPr>
          <w:i/>
        </w:rPr>
        <w:t xml:space="preserve"> – Investments that support wider ecosystems of actions</w:t>
      </w:r>
      <w:r w:rsidR="00454794">
        <w:rPr>
          <w:i/>
        </w:rPr>
        <w:t>,</w:t>
      </w:r>
      <w:r w:rsidR="00225D40">
        <w:rPr>
          <w:i/>
        </w:rPr>
        <w:t xml:space="preserve"> set an example of the government’s vision for the future</w:t>
      </w:r>
      <w:r w:rsidR="00454794">
        <w:rPr>
          <w:i/>
        </w:rPr>
        <w:t>, and lay groundwork for future investments</w:t>
      </w:r>
    </w:p>
    <w:p w14:paraId="78443B72" w14:textId="77777777" w:rsidR="00254E09" w:rsidRDefault="00254E09" w:rsidP="00276BA3">
      <w:pPr>
        <w:rPr>
          <w:i/>
        </w:rPr>
      </w:pPr>
    </w:p>
    <w:p w14:paraId="6CA98E21" w14:textId="6BD4D145" w:rsidR="00254E09" w:rsidRDefault="00254E09" w:rsidP="00276BA3">
      <w:r>
        <w:t>Major investments, in transport, buildings, the energy network, and other aspects of urban infrastructure</w:t>
      </w:r>
      <w:r w:rsidR="00BA39FD">
        <w:t>,</w:t>
      </w:r>
      <w:r>
        <w:t xml:space="preserve"> </w:t>
      </w:r>
      <w:r w:rsidR="00B741C6">
        <w:t>have long-</w:t>
      </w:r>
      <w:r>
        <w:t>lasting consequences for energy use and emissions. While a car or air conditioner purchased today is unlik</w:t>
      </w:r>
      <w:r w:rsidR="001B52B8">
        <w:t>ely to still be in use</w:t>
      </w:r>
      <w:r>
        <w:t xml:space="preserve"> 20 years in the future, buildings are expected to last 40 years, if not substantially longer, and roads and utility networks</w:t>
      </w:r>
      <w:r w:rsidR="00882ACD">
        <w:t xml:space="preserve"> </w:t>
      </w:r>
      <w:r>
        <w:t>can last longer</w:t>
      </w:r>
      <w:r w:rsidR="00504C52">
        <w:t xml:space="preserve"> still</w:t>
      </w:r>
      <w:r>
        <w:t xml:space="preserve">. Investments in some kinds of infrastructure thereby influence how we live and work in </w:t>
      </w:r>
      <w:r w:rsidR="00B741C6">
        <w:t>urban areas far into the future, potentially ‘locking-in’ emissions and energy use ().</w:t>
      </w:r>
    </w:p>
    <w:p w14:paraId="5276BA59" w14:textId="77777777" w:rsidR="00254E09" w:rsidRDefault="00254E09" w:rsidP="00276BA3"/>
    <w:p w14:paraId="54A9748B" w14:textId="24C65CAD" w:rsidR="00055A0B" w:rsidRDefault="00254E09" w:rsidP="00EB7847">
      <w:r>
        <w:t xml:space="preserve">The most expensive of these </w:t>
      </w:r>
      <w:r w:rsidR="00C95DF8">
        <w:t xml:space="preserve">investments </w:t>
      </w:r>
      <w:r>
        <w:t xml:space="preserve">are rarely </w:t>
      </w:r>
      <w:proofErr w:type="gramStart"/>
      <w:r>
        <w:t>lead</w:t>
      </w:r>
      <w:proofErr w:type="gramEnd"/>
      <w:r>
        <w:t xml:space="preserve"> by municipal governments alone, in developed or developing urban areas. Smaller investments, however, </w:t>
      </w:r>
      <w:r w:rsidR="00C95DF8">
        <w:t>can help to shift patterns</w:t>
      </w:r>
      <w:r w:rsidR="00DE5331">
        <w:t xml:space="preserve"> of energy use and emissions</w:t>
      </w:r>
      <w:r w:rsidR="00747C54">
        <w:t xml:space="preserve"> in a similar way</w:t>
      </w:r>
      <w:r w:rsidR="00BA39FD">
        <w:t>,</w:t>
      </w:r>
      <w:r w:rsidR="00747C54">
        <w:t xml:space="preserve"> while</w:t>
      </w:r>
      <w:r w:rsidR="00C95DF8">
        <w:t xml:space="preserve"> signal</w:t>
      </w:r>
      <w:r w:rsidR="00747C54">
        <w:t>ling</w:t>
      </w:r>
      <w:r w:rsidR="00C95DF8">
        <w:t xml:space="preserve"> an urban area’s commitment to a longer</w:t>
      </w:r>
      <w:r w:rsidR="00096CC7">
        <w:t>-</w:t>
      </w:r>
      <w:r w:rsidR="00C95DF8">
        <w:t xml:space="preserve">term program of action. Cycle lanes emerge in each study as an investment with a relatively low cost </w:t>
      </w:r>
      <w:r w:rsidR="009E2E39">
        <w:t xml:space="preserve">and a modest, but not insignificant, </w:t>
      </w:r>
      <w:r w:rsidR="00C95DF8">
        <w:t xml:space="preserve">impact on GHG </w:t>
      </w:r>
      <w:r w:rsidR="00B741C6" w:rsidRPr="009E2E39">
        <w:t xml:space="preserve">emissions. </w:t>
      </w:r>
      <w:r w:rsidR="009E2E39">
        <w:t xml:space="preserve">In Kigali, for example, </w:t>
      </w:r>
      <w:r w:rsidR="004D41C1">
        <w:t xml:space="preserve">an ambitious program to expand </w:t>
      </w:r>
      <w:r w:rsidR="009E2E39">
        <w:t xml:space="preserve">cycle lanes </w:t>
      </w:r>
      <w:r w:rsidR="004D41C1">
        <w:t>have the potential to reduce emissions equivalent to removing more than 1000 vehicles off the road each year and levels of citywide energy expenditure savings that could cover the cost of the investment over a five</w:t>
      </w:r>
      <w:r w:rsidR="00796486">
        <w:t>-</w:t>
      </w:r>
      <w:r w:rsidR="004D41C1">
        <w:t>year period. In addition to these benefits,</w:t>
      </w:r>
      <w:r w:rsidR="00DE5331">
        <w:t xml:space="preserve"> the monetized value of improved public health</w:t>
      </w:r>
      <w:r w:rsidR="00BA39FD">
        <w:t xml:space="preserve"> from studies in similar contexts </w:t>
      </w:r>
      <w:r w:rsidR="00DE5331">
        <w:t>is</w:t>
      </w:r>
      <w:r w:rsidR="006A3460">
        <w:t xml:space="preserve"> found to be larger the value of energy savings (</w:t>
      </w:r>
      <w:proofErr w:type="spellStart"/>
      <w:r w:rsidR="006A3460">
        <w:t>Gouldson</w:t>
      </w:r>
      <w:proofErr w:type="spellEnd"/>
      <w:r w:rsidR="006A3460">
        <w:t xml:space="preserve"> et al 2018). </w:t>
      </w:r>
      <w:r w:rsidR="004D41C1">
        <w:t>The value of both energy savings and health benefits</w:t>
      </w:r>
      <w:r w:rsidR="006A3460">
        <w:t>, however,</w:t>
      </w:r>
      <w:r w:rsidR="00DE5331">
        <w:t xml:space="preserve"> are expected </w:t>
      </w:r>
      <w:r w:rsidR="00747C54">
        <w:t xml:space="preserve">to be </w:t>
      </w:r>
      <w:r w:rsidR="00DE5331">
        <w:t>all but impossible for the municipality to directly capture, meaning that the investment should not be anticipated to generate any financial returns.</w:t>
      </w:r>
    </w:p>
    <w:p w14:paraId="51B24D51" w14:textId="77777777" w:rsidR="00254E09" w:rsidRDefault="00254E09" w:rsidP="00EB7847"/>
    <w:p w14:paraId="0333BAB7" w14:textId="60CA429E" w:rsidR="00816794" w:rsidRDefault="00DE5331" w:rsidP="00EB7847">
      <w:r>
        <w:t>Beyond the impact of cycle lanes on energy use and emissions, such investments can</w:t>
      </w:r>
      <w:r w:rsidR="00816794">
        <w:t xml:space="preserve"> help to establish and legitimize an alternative to </w:t>
      </w:r>
      <w:r>
        <w:t>single occupancy vehicles as a primary mode of transport</w:t>
      </w:r>
      <w:r w:rsidR="00D208CD">
        <w:t>, and i</w:t>
      </w:r>
      <w:r>
        <w:t>n so doing</w:t>
      </w:r>
      <w:r w:rsidR="00D208CD">
        <w:t>,</w:t>
      </w:r>
      <w:r>
        <w:t xml:space="preserve"> </w:t>
      </w:r>
      <w:r w:rsidR="00D208CD">
        <w:t xml:space="preserve">lay </w:t>
      </w:r>
      <w:r>
        <w:t xml:space="preserve">the ground work for </w:t>
      </w:r>
      <w:r w:rsidR="00D208CD">
        <w:t xml:space="preserve">a wide range of investments than can further reduce GHG emissions. Moderate and higher levels of density in residential and commercial buildings, for example, are more feasible when the transport capacity of road networks is increased by cycle lanes and other non-motorised options (). Similarly, by reducing the time it takes residents to reach their local station, cycle lanes can increase the coverage, and therefore the </w:t>
      </w:r>
      <w:r w:rsidR="006A3460">
        <w:t>feasibility</w:t>
      </w:r>
      <w:r w:rsidR="00D208CD">
        <w:t>, of public transport options ().</w:t>
      </w:r>
    </w:p>
    <w:p w14:paraId="6B59EABA" w14:textId="77777777" w:rsidR="00747C54" w:rsidRDefault="00747C54" w:rsidP="00EB7847"/>
    <w:p w14:paraId="738ECE70" w14:textId="20B517FB" w:rsidR="00747C54" w:rsidRDefault="00747C54" w:rsidP="00EB7847">
      <w:r>
        <w:t xml:space="preserve">The </w:t>
      </w:r>
      <w:r w:rsidR="00516AA6">
        <w:t>barrier to</w:t>
      </w:r>
      <w:r>
        <w:t xml:space="preserve"> greater implementation of cycle lanes</w:t>
      </w:r>
      <w:r w:rsidR="00DF4478">
        <w:t>, as well as similar ‘leading’ investments</w:t>
      </w:r>
      <w:r w:rsidR="009A7926">
        <w:t>,</w:t>
      </w:r>
      <w:r>
        <w:t xml:space="preserve"> is in part </w:t>
      </w:r>
      <w:r w:rsidR="009A7926">
        <w:t xml:space="preserve">the financial challenge of finding funding for </w:t>
      </w:r>
      <w:r>
        <w:t>implementation. T</w:t>
      </w:r>
      <w:r w:rsidR="00DF4478">
        <w:t>o a greater degree, however,</w:t>
      </w:r>
      <w:r>
        <w:t xml:space="preserve"> implementation </w:t>
      </w:r>
      <w:r w:rsidR="00DF4478">
        <w:t xml:space="preserve">may struggle against the political </w:t>
      </w:r>
      <w:r w:rsidR="00A60322">
        <w:t xml:space="preserve">and social </w:t>
      </w:r>
      <w:r w:rsidR="00DF4478">
        <w:t>challenge</w:t>
      </w:r>
      <w:r w:rsidR="00A60322">
        <w:t>s</w:t>
      </w:r>
      <w:r w:rsidR="00DF4478">
        <w:t xml:space="preserve"> of </w:t>
      </w:r>
      <w:r w:rsidR="009A7926">
        <w:t xml:space="preserve">highlighting </w:t>
      </w:r>
      <w:r w:rsidR="00BA39FD">
        <w:t xml:space="preserve">to </w:t>
      </w:r>
      <w:r w:rsidR="009A7926">
        <w:t>the public the long-term and non-monetary benefits of a shift towards a non-motorised transport network</w:t>
      </w:r>
      <w:r w:rsidR="000605D7">
        <w:t xml:space="preserve"> (</w:t>
      </w:r>
      <w:r w:rsidR="000605D7" w:rsidRPr="000605D7">
        <w:t>Handy, Van Wee</w:t>
      </w:r>
      <w:r w:rsidR="000605D7">
        <w:t xml:space="preserve"> </w:t>
      </w:r>
      <w:r w:rsidR="000605D7" w:rsidRPr="000605D7">
        <w:t xml:space="preserve">&amp; </w:t>
      </w:r>
      <w:proofErr w:type="spellStart"/>
      <w:r w:rsidR="000605D7" w:rsidRPr="000605D7">
        <w:t>Kroesen</w:t>
      </w:r>
      <w:proofErr w:type="spellEnd"/>
      <w:r w:rsidR="000605D7" w:rsidRPr="000605D7">
        <w:t>, 2014</w:t>
      </w:r>
      <w:r w:rsidR="000605D7">
        <w:t>)</w:t>
      </w:r>
      <w:r>
        <w:t xml:space="preserve">. </w:t>
      </w:r>
    </w:p>
    <w:p w14:paraId="78CE1300" w14:textId="77777777" w:rsidR="007E4AA7" w:rsidRDefault="007E4AA7" w:rsidP="00EB7847">
      <w:pPr>
        <w:rPr>
          <w:i/>
        </w:rPr>
      </w:pPr>
    </w:p>
    <w:p w14:paraId="7D243D1A" w14:textId="598513EB" w:rsidR="00225D40" w:rsidRDefault="00225D40" w:rsidP="00225D40">
      <w:pPr>
        <w:rPr>
          <w:i/>
        </w:rPr>
      </w:pPr>
      <w:proofErr w:type="gramStart"/>
      <w:r>
        <w:rPr>
          <w:i/>
        </w:rPr>
        <w:t>Partnering  –</w:t>
      </w:r>
      <w:proofErr w:type="gramEnd"/>
      <w:r>
        <w:rPr>
          <w:i/>
        </w:rPr>
        <w:t xml:space="preserve"> Working with national and international actors</w:t>
      </w:r>
      <w:r w:rsidR="00882ACD">
        <w:rPr>
          <w:i/>
        </w:rPr>
        <w:t>, including the private sector,</w:t>
      </w:r>
      <w:r>
        <w:rPr>
          <w:i/>
        </w:rPr>
        <w:t xml:space="preserve"> to realise investments that would otherwise be beyond the capacity of th</w:t>
      </w:r>
      <w:r w:rsidR="007E4AA7">
        <w:rPr>
          <w:i/>
        </w:rPr>
        <w:t>e local government</w:t>
      </w:r>
      <w:r>
        <w:rPr>
          <w:i/>
        </w:rPr>
        <w:t xml:space="preserve"> and that could not be expected to be implemented by the private sector alone</w:t>
      </w:r>
    </w:p>
    <w:p w14:paraId="3FEEFE02" w14:textId="77777777" w:rsidR="00276BA3" w:rsidRDefault="00276BA3" w:rsidP="00F43917"/>
    <w:p w14:paraId="0DF3C82D" w14:textId="245EA6E6" w:rsidR="00055A0B" w:rsidRPr="00276BA3" w:rsidRDefault="005C6D5E" w:rsidP="00055A0B">
      <w:pPr>
        <w:rPr>
          <w:i/>
        </w:rPr>
      </w:pPr>
      <w:r>
        <w:t>In addition to having long-term impacts on energy use and emissions, p</w:t>
      </w:r>
      <w:r w:rsidR="00055A0B">
        <w:t>ublic infrastructure, from transport networks to waste facilities, schools and libraries generate substantial benefits for urban populations and busines</w:t>
      </w:r>
      <w:r>
        <w:t xml:space="preserve">ses. Indeed, the existence of </w:t>
      </w:r>
      <w:r w:rsidR="00882ACD">
        <w:t>these kinds of ‘</w:t>
      </w:r>
      <w:r w:rsidR="006A3460">
        <w:t>public goods</w:t>
      </w:r>
      <w:r w:rsidR="00882ACD">
        <w:t>’</w:t>
      </w:r>
      <w:r w:rsidR="006A3460">
        <w:t xml:space="preserve"> is</w:t>
      </w:r>
      <w:r w:rsidR="00055A0B">
        <w:t xml:space="preserve"> fundamental to the social and economic value of urban agglomerations (</w:t>
      </w:r>
      <w:r w:rsidR="00E92CD0" w:rsidRPr="00E92CD0">
        <w:t>Tsai 2017</w:t>
      </w:r>
      <w:r w:rsidR="00833D1F">
        <w:t xml:space="preserve">; </w:t>
      </w:r>
      <w:r w:rsidR="00833D1F" w:rsidRPr="00833D1F">
        <w:t>Chatman</w:t>
      </w:r>
      <w:r w:rsidR="00833D1F">
        <w:t xml:space="preserve"> </w:t>
      </w:r>
      <w:r w:rsidR="00833D1F" w:rsidRPr="00833D1F">
        <w:t>&amp; Noland</w:t>
      </w:r>
      <w:r w:rsidR="00833D1F">
        <w:t xml:space="preserve"> </w:t>
      </w:r>
      <w:r w:rsidR="00833D1F" w:rsidRPr="00833D1F">
        <w:t>2011</w:t>
      </w:r>
      <w:r w:rsidR="00055A0B">
        <w:t xml:space="preserve">). These benefits, however, also tend to be </w:t>
      </w:r>
      <w:r w:rsidR="00055A0B" w:rsidRPr="0002331E">
        <w:t>diff</w:t>
      </w:r>
      <w:r w:rsidR="00BA39FD">
        <w:t>use, non-monetary and long-</w:t>
      </w:r>
      <w:r w:rsidR="00055A0B">
        <w:lastRenderedPageBreak/>
        <w:t xml:space="preserve">term </w:t>
      </w:r>
      <w:r w:rsidR="00BA39FD">
        <w:t>and are consequently</w:t>
      </w:r>
      <w:r w:rsidR="00055A0B">
        <w:t xml:space="preserve"> </w:t>
      </w:r>
      <w:r w:rsidR="00055A0B" w:rsidRPr="0002331E">
        <w:t>often excluded from traditional cost-benefit analysis</w:t>
      </w:r>
      <w:r w:rsidR="00BA39FD">
        <w:t>’</w:t>
      </w:r>
      <w:r w:rsidR="00055A0B">
        <w:t xml:space="preserve"> and hard to rationalise from the perspective of the private investor.</w:t>
      </w:r>
    </w:p>
    <w:p w14:paraId="188C9876" w14:textId="77777777" w:rsidR="000F4833" w:rsidRDefault="000F4833" w:rsidP="00F43917"/>
    <w:p w14:paraId="6EE73F96" w14:textId="15498307" w:rsidR="00F43917" w:rsidRDefault="005C6D5E" w:rsidP="00F43917">
      <w:r>
        <w:t xml:space="preserve">Projects with these attributes are found </w:t>
      </w:r>
      <w:r w:rsidR="00055A0B">
        <w:t xml:space="preserve">throughout the cases </w:t>
      </w:r>
      <w:r w:rsidR="000F4833">
        <w:t xml:space="preserve">studies </w:t>
      </w:r>
      <w:r w:rsidR="00055A0B">
        <w:t xml:space="preserve">described. In Kigali, a bus rapid transit system could improve access to jobs and services for populations </w:t>
      </w:r>
      <w:r w:rsidR="000F4833">
        <w:t xml:space="preserve">across </w:t>
      </w:r>
      <w:r>
        <w:t>the city and support further investments in the transport system</w:t>
      </w:r>
      <w:r w:rsidR="00055A0B">
        <w:t xml:space="preserve">. In Palembang a waste-to-energy facility could create new employment opportunities and help to support a more effective waste collection system, leading to a cleaner and healthier city. In Tianjin an expanded subway network could contribute to reducing congestion and improved air quality, helping to create a </w:t>
      </w:r>
      <w:r w:rsidR="00C651D3">
        <w:t>more liveable city</w:t>
      </w:r>
      <w:r>
        <w:t xml:space="preserve"> an</w:t>
      </w:r>
      <w:r w:rsidR="009A7926">
        <w:t>d supporting liveable density</w:t>
      </w:r>
      <w:r>
        <w:t>.</w:t>
      </w:r>
      <w:r w:rsidR="00F43917">
        <w:t xml:space="preserve"> </w:t>
      </w:r>
    </w:p>
    <w:p w14:paraId="5E8E57A5" w14:textId="77777777" w:rsidR="00C42696" w:rsidRDefault="00C42696" w:rsidP="00C42696"/>
    <w:p w14:paraId="2C61B379" w14:textId="6AA52332" w:rsidR="005C6D5E" w:rsidRPr="00716AB7" w:rsidRDefault="0066789F" w:rsidP="0066789F">
      <w:r>
        <w:t xml:space="preserve">In </w:t>
      </w:r>
      <w:r w:rsidR="007E4AA7">
        <w:t>wealthy</w:t>
      </w:r>
      <w:r>
        <w:t xml:space="preserve"> urban contexts an</w:t>
      </w:r>
      <w:r w:rsidRPr="0002331E">
        <w:t xml:space="preserve"> integrated </w:t>
      </w:r>
      <w:r>
        <w:t xml:space="preserve">and long-term </w:t>
      </w:r>
      <w:r w:rsidRPr="0002331E">
        <w:t>approach to urban planning ca</w:t>
      </w:r>
      <w:r>
        <w:t>n allow governments to capture in</w:t>
      </w:r>
      <w:r w:rsidRPr="0002331E">
        <w:t xml:space="preserve">creases in value </w:t>
      </w:r>
      <w:r w:rsidR="007E4AA7">
        <w:t xml:space="preserve">around projects in order to provide finance. </w:t>
      </w:r>
      <w:r>
        <w:t xml:space="preserve">Development charges, </w:t>
      </w:r>
      <w:r w:rsidRPr="0002331E">
        <w:t xml:space="preserve">housing </w:t>
      </w:r>
      <w:r w:rsidR="007E4AA7">
        <w:t>and business taxes,</w:t>
      </w:r>
      <w:r>
        <w:t xml:space="preserve"> regional sales taxes</w:t>
      </w:r>
      <w:r w:rsidR="007E4AA7">
        <w:t xml:space="preserve"> and municipal bonds, often deployed in conjun</w:t>
      </w:r>
      <w:r w:rsidR="00EF4B21">
        <w:t>c</w:t>
      </w:r>
      <w:r w:rsidR="007E4AA7">
        <w:t>tion,</w:t>
      </w:r>
      <w:r>
        <w:t xml:space="preserve"> are some of the conventional </w:t>
      </w:r>
      <w:r w:rsidR="007E4AA7">
        <w:t xml:space="preserve">approaches to raising finance </w:t>
      </w:r>
      <w:r w:rsidRPr="0002331E">
        <w:t>(</w:t>
      </w:r>
      <w:proofErr w:type="spellStart"/>
      <w:r w:rsidRPr="0002331E">
        <w:t>Junghans</w:t>
      </w:r>
      <w:proofErr w:type="spellEnd"/>
      <w:r w:rsidRPr="0002331E">
        <w:t xml:space="preserve"> and </w:t>
      </w:r>
      <w:proofErr w:type="spellStart"/>
      <w:r w:rsidRPr="0002331E">
        <w:t>Dorsch</w:t>
      </w:r>
      <w:proofErr w:type="spellEnd"/>
      <w:r w:rsidRPr="0002331E">
        <w:t xml:space="preserve">, 2016). </w:t>
      </w:r>
      <w:r w:rsidR="007E4AA7">
        <w:t xml:space="preserve">In developing contexts, however, </w:t>
      </w:r>
      <w:r w:rsidR="00055A0B">
        <w:t xml:space="preserve">where </w:t>
      </w:r>
      <w:r>
        <w:t>f</w:t>
      </w:r>
      <w:r w:rsidRPr="0002331E">
        <w:t>ormal tax regi</w:t>
      </w:r>
      <w:r w:rsidR="00055A0B">
        <w:t>stries may be incomplete and resource shortfalls can make</w:t>
      </w:r>
      <w:r w:rsidRPr="0002331E">
        <w:t xml:space="preserve"> it challenging for investors</w:t>
      </w:r>
      <w:r w:rsidR="00055A0B">
        <w:t xml:space="preserve"> – both public and private - to embrace long-</w:t>
      </w:r>
      <w:r w:rsidRPr="0002331E">
        <w:t xml:space="preserve">term </w:t>
      </w:r>
      <w:r w:rsidR="00055A0B">
        <w:t xml:space="preserve">benefits, self-financing </w:t>
      </w:r>
      <w:r w:rsidR="00EF4B21">
        <w:t xml:space="preserve">of </w:t>
      </w:r>
      <w:r w:rsidR="007D2F1D">
        <w:t xml:space="preserve">large </w:t>
      </w:r>
      <w:r w:rsidR="00055A0B">
        <w:t>projects is unrealistic.</w:t>
      </w:r>
      <w:r w:rsidR="00EF4B21">
        <w:t xml:space="preserve"> </w:t>
      </w:r>
      <w:r w:rsidR="007D2F1D">
        <w:t xml:space="preserve">Indeed, even in the world’s wealthiest cities large infrastructure investments </w:t>
      </w:r>
      <w:r w:rsidR="005C6D5E">
        <w:t xml:space="preserve">are </w:t>
      </w:r>
      <w:r w:rsidR="007D2F1D">
        <w:t xml:space="preserve">frequently </w:t>
      </w:r>
      <w:r w:rsidR="0034539C">
        <w:t>supported by higher levels of government.</w:t>
      </w:r>
      <w:r w:rsidR="005C6D5E">
        <w:t xml:space="preserve"> Adding to the challenge, larger projects can be technically complex, a complication that </w:t>
      </w:r>
      <w:r w:rsidR="00092459">
        <w:t>contributes</w:t>
      </w:r>
      <w:r w:rsidR="009A7926">
        <w:t xml:space="preserve"> to</w:t>
      </w:r>
      <w:r w:rsidR="00092459">
        <w:t xml:space="preserve"> project delays and cost overruns in a majority of major government led infrastructure projects worldwide (</w:t>
      </w:r>
      <w:proofErr w:type="spellStart"/>
      <w:r w:rsidR="00092459">
        <w:t>Flyvbyerg</w:t>
      </w:r>
      <w:proofErr w:type="spellEnd"/>
      <w:r w:rsidR="00092459">
        <w:t xml:space="preserve"> et al 2015).</w:t>
      </w:r>
    </w:p>
    <w:p w14:paraId="22CCB04F" w14:textId="77777777" w:rsidR="0066789F" w:rsidRDefault="0066789F" w:rsidP="00C42696"/>
    <w:p w14:paraId="5888FD92" w14:textId="5F226813" w:rsidR="007E4AA7" w:rsidRDefault="00055A0B" w:rsidP="007E4AA7">
      <w:r>
        <w:t>In these contexts</w:t>
      </w:r>
      <w:r w:rsidR="006A3460">
        <w:t>,</w:t>
      </w:r>
      <w:r w:rsidR="00092459">
        <w:t xml:space="preserve"> technical and financial support can be found by partnering with private and public actors.</w:t>
      </w:r>
      <w:r w:rsidR="00EF4B21">
        <w:t xml:space="preserve"> Development assistance for low carbon action has historically</w:t>
      </w:r>
      <w:r w:rsidR="006A3460">
        <w:t xml:space="preserve"> directly a relatively small portion of low carbon assistance to urban areas, both in absolute terms (Barnard 2016), and with reference to the scale of low carbon opportunities in urban areas (Sudmant et al 2017). Recently, however, </w:t>
      </w:r>
      <w:r w:rsidR="00F43917" w:rsidRPr="0002331E">
        <w:t xml:space="preserve">global climate funds </w:t>
      </w:r>
      <w:r w:rsidR="00BA39FD">
        <w:t xml:space="preserve">have </w:t>
      </w:r>
      <w:r w:rsidR="00F43917" w:rsidRPr="0002331E">
        <w:t>turned their attention towards cities and the transport sector, with both the Global Environmental Facility an</w:t>
      </w:r>
      <w:r w:rsidR="00F43917">
        <w:t xml:space="preserve">d the </w:t>
      </w:r>
      <w:r w:rsidR="00F43917" w:rsidRPr="00F43917">
        <w:t>Green Climate Fund introducing an urban focus to their latest inves</w:t>
      </w:r>
      <w:r w:rsidR="006A3460">
        <w:t xml:space="preserve">tment programs. </w:t>
      </w:r>
      <w:r w:rsidR="00F43917">
        <w:t>Alternatively, p</w:t>
      </w:r>
      <w:r w:rsidR="007E4AA7">
        <w:t>ublic private partnerships</w:t>
      </w:r>
      <w:r w:rsidR="00092459">
        <w:t xml:space="preserve"> (PPPs)</w:t>
      </w:r>
      <w:r w:rsidR="007E4AA7" w:rsidRPr="00D93D88">
        <w:t xml:space="preserve"> </w:t>
      </w:r>
      <w:r w:rsidR="007E4AA7">
        <w:t>connect an</w:t>
      </w:r>
      <w:r w:rsidR="007E4AA7" w:rsidRPr="00D93D88">
        <w:t xml:space="preserve"> individual company or a consortium with the gov</w:t>
      </w:r>
      <w:r w:rsidR="00092459">
        <w:t>ernment, helping to provide</w:t>
      </w:r>
      <w:r w:rsidR="007E4AA7" w:rsidRPr="00D93D88">
        <w:t xml:space="preserve"> investment</w:t>
      </w:r>
      <w:r w:rsidR="00092459">
        <w:t xml:space="preserve"> and technical </w:t>
      </w:r>
      <w:r w:rsidR="00BA39FD">
        <w:t xml:space="preserve">capacity, </w:t>
      </w:r>
      <w:r w:rsidR="00092459">
        <w:t xml:space="preserve">and to </w:t>
      </w:r>
      <w:r w:rsidR="007E4AA7" w:rsidRPr="00D93D88">
        <w:t>dis</w:t>
      </w:r>
      <w:r w:rsidR="00BA39FD">
        <w:t>tribute risk among a wider number</w:t>
      </w:r>
      <w:r w:rsidR="007E4AA7" w:rsidRPr="00D93D88">
        <w:t xml:space="preserve"> o</w:t>
      </w:r>
      <w:r w:rsidR="007E4AA7">
        <w:t xml:space="preserve">f actors </w:t>
      </w:r>
      <w:r w:rsidR="007E4AA7" w:rsidRPr="00D93D88">
        <w:t>(</w:t>
      </w:r>
      <w:proofErr w:type="spellStart"/>
      <w:r w:rsidR="007E4AA7" w:rsidRPr="00D93D88">
        <w:t>Glemarec</w:t>
      </w:r>
      <w:proofErr w:type="spellEnd"/>
      <w:r w:rsidR="007E4AA7" w:rsidRPr="00D93D88">
        <w:t xml:space="preserve"> and Connelly, 2011).</w:t>
      </w:r>
    </w:p>
    <w:p w14:paraId="37EFD911" w14:textId="26077433" w:rsidR="00C7516A" w:rsidRDefault="00C7516A" w:rsidP="001744A9"/>
    <w:p w14:paraId="0265C7B4" w14:textId="1932BEB3" w:rsidR="00C40422" w:rsidRPr="00123F89" w:rsidRDefault="0085449B" w:rsidP="00EB7847">
      <w:r>
        <w:t>Developing a financial case</w:t>
      </w:r>
      <w:r w:rsidR="00136462">
        <w:t xml:space="preserve"> and equitably allocating risk</w:t>
      </w:r>
      <w:r>
        <w:t xml:space="preserve"> </w:t>
      </w:r>
      <w:r w:rsidR="00136462">
        <w:t>are</w:t>
      </w:r>
      <w:r>
        <w:t xml:space="preserve"> core challenge</w:t>
      </w:r>
      <w:r w:rsidR="00136462">
        <w:t>s</w:t>
      </w:r>
      <w:r>
        <w:t xml:space="preserve"> for realising investment in projects with public good characteristics. </w:t>
      </w:r>
      <w:r w:rsidR="00136462">
        <w:t>At the same time, successful implementation of public-private projects depends on political support, community and public support, transparent procurement policies, and established governance procedures that can allow project challenges to be dealt with quickly and effectively (</w:t>
      </w:r>
      <w:r w:rsidR="00136462" w:rsidRPr="00E92CD0">
        <w:t>Osei-</w:t>
      </w:r>
      <w:proofErr w:type="spellStart"/>
      <w:r w:rsidR="00136462" w:rsidRPr="00E92CD0">
        <w:t>Kyei</w:t>
      </w:r>
      <w:proofErr w:type="spellEnd"/>
      <w:r w:rsidR="00136462">
        <w:t xml:space="preserve"> </w:t>
      </w:r>
      <w:r w:rsidR="00136462" w:rsidRPr="00E92CD0">
        <w:t>&amp; Chan</w:t>
      </w:r>
      <w:r w:rsidR="00136462">
        <w:t xml:space="preserve"> </w:t>
      </w:r>
      <w:r w:rsidR="00136462" w:rsidRPr="00E92CD0">
        <w:t>2015</w:t>
      </w:r>
      <w:r w:rsidR="00136462">
        <w:t>).</w:t>
      </w:r>
      <w:r w:rsidR="00F2268C">
        <w:t xml:space="preserve"> </w:t>
      </w:r>
      <w:r w:rsidR="00EF0199">
        <w:t>N</w:t>
      </w:r>
      <w:r w:rsidR="0064428B">
        <w:t xml:space="preserve">on-financial challenges emerging from the divergent </w:t>
      </w:r>
      <w:r w:rsidR="00C423A5">
        <w:t>interests of project partners</w:t>
      </w:r>
      <w:r w:rsidR="00EF0199">
        <w:t xml:space="preserve"> and the design of contracts and governance procedures are therefore critically important for the successful implementation of PPP projects </w:t>
      </w:r>
      <w:r w:rsidR="00C423A5" w:rsidRPr="001744A9">
        <w:t>(</w:t>
      </w:r>
      <w:proofErr w:type="spellStart"/>
      <w:r w:rsidR="00C423A5" w:rsidRPr="001744A9">
        <w:t>Wettenhall</w:t>
      </w:r>
      <w:proofErr w:type="spellEnd"/>
      <w:r w:rsidR="00C423A5" w:rsidRPr="001744A9">
        <w:t xml:space="preserve"> 2003; Zhang 2005)</w:t>
      </w:r>
      <w:r w:rsidR="00EF0199">
        <w:t xml:space="preserve">. </w:t>
      </w:r>
    </w:p>
    <w:p w14:paraId="16519462" w14:textId="77777777" w:rsidR="00123F89" w:rsidRDefault="00123F89" w:rsidP="00EB7847">
      <w:pPr>
        <w:rPr>
          <w:i/>
        </w:rPr>
      </w:pPr>
    </w:p>
    <w:p w14:paraId="502B40F1" w14:textId="2E8DF089" w:rsidR="00156077" w:rsidRDefault="00156077" w:rsidP="00EB7847">
      <w:pPr>
        <w:rPr>
          <w:i/>
        </w:rPr>
      </w:pPr>
      <w:r>
        <w:rPr>
          <w:i/>
        </w:rPr>
        <w:t xml:space="preserve">Directing – Actions that </w:t>
      </w:r>
      <w:r w:rsidR="00263093">
        <w:rPr>
          <w:i/>
        </w:rPr>
        <w:t>apply the unique powers and position of urban policymakers to influence the path of future emissions</w:t>
      </w:r>
    </w:p>
    <w:p w14:paraId="21DDE65B" w14:textId="77777777" w:rsidR="000A41CF" w:rsidRDefault="000A41CF" w:rsidP="00EB7847">
      <w:pPr>
        <w:rPr>
          <w:i/>
        </w:rPr>
      </w:pPr>
    </w:p>
    <w:p w14:paraId="37083AAD" w14:textId="320AFCB6" w:rsidR="00F07858" w:rsidRDefault="00F07858" w:rsidP="000A41CF">
      <w:r>
        <w:t xml:space="preserve">With exceptions, few urban policymakers have </w:t>
      </w:r>
      <w:r w:rsidR="00BB7BC1">
        <w:t>direct authority over the most visible policies and programs that affect the growth and development of urban areas. Tax policies, trade agreements, immigration</w:t>
      </w:r>
      <w:r w:rsidR="001669BD">
        <w:t xml:space="preserve"> and emigration laws</w:t>
      </w:r>
      <w:r w:rsidR="00BB7BC1">
        <w:t xml:space="preserve">, funding for schools and hospitals, and many </w:t>
      </w:r>
      <w:r w:rsidR="00BB7BC1">
        <w:lastRenderedPageBreak/>
        <w:t>other critical services</w:t>
      </w:r>
      <w:r w:rsidR="001669BD">
        <w:t>, laws and policies</w:t>
      </w:r>
      <w:r w:rsidR="0034539C">
        <w:t xml:space="preserve"> are</w:t>
      </w:r>
      <w:r w:rsidR="00BB7BC1">
        <w:t xml:space="preserve"> infrequently devolved to urban go</w:t>
      </w:r>
      <w:r w:rsidR="00595F30">
        <w:t xml:space="preserve">vernments. </w:t>
      </w:r>
      <w:r w:rsidR="005D7807">
        <w:t xml:space="preserve">In specific areas, however, </w:t>
      </w:r>
      <w:r w:rsidR="001669BD">
        <w:t>urban government polic</w:t>
      </w:r>
      <w:r w:rsidR="00C7516A">
        <w:t>ies have critical influence.</w:t>
      </w:r>
    </w:p>
    <w:p w14:paraId="51BFCB0D" w14:textId="77777777" w:rsidR="00F07858" w:rsidRDefault="00F07858" w:rsidP="000A41CF"/>
    <w:p w14:paraId="001A26A2" w14:textId="76AA3CD0" w:rsidR="00B875C9" w:rsidRDefault="005D7807" w:rsidP="00650731">
      <w:r>
        <w:t xml:space="preserve">This is particularly the case around </w:t>
      </w:r>
      <w:r w:rsidR="00DF4711">
        <w:t>urban form</w:t>
      </w:r>
      <w:r w:rsidR="001669BD">
        <w:t xml:space="preserve">. </w:t>
      </w:r>
      <w:r w:rsidR="00AE1981">
        <w:t>Whether directly, by approving or rejecting developer</w:t>
      </w:r>
      <w:r w:rsidR="0034539C">
        <w:t>’</w:t>
      </w:r>
      <w:r w:rsidR="00AE1981">
        <w:t xml:space="preserve">s plans, or indirectly, through the design and development of supporting infrastructure such as roads and utilities, urban governments </w:t>
      </w:r>
      <w:r w:rsidR="0034539C">
        <w:t>can</w:t>
      </w:r>
      <w:r w:rsidR="00AE1981">
        <w:t xml:space="preserve"> have significant influence over </w:t>
      </w:r>
      <w:r w:rsidR="0034539C">
        <w:t>how urban areas grow and develop</w:t>
      </w:r>
      <w:r w:rsidR="00AE1981">
        <w:t xml:space="preserve">. In the short term, </w:t>
      </w:r>
      <w:r w:rsidR="00C7516A">
        <w:t>emissions from building new infrastructure account for more than half of the total footprint of emissions from many cities in China (</w:t>
      </w:r>
      <w:r w:rsidR="008D4DFF">
        <w:t xml:space="preserve">Shan et al 2016). </w:t>
      </w:r>
      <w:r w:rsidR="003C51B8">
        <w:t>Of greater significance, the wa</w:t>
      </w:r>
      <w:r w:rsidR="0034539C">
        <w:t>y urban areas are designed</w:t>
      </w:r>
      <w:r w:rsidR="003C51B8">
        <w:t xml:space="preserve">, and the extent that they are ‘designed’ rather than organically </w:t>
      </w:r>
      <w:r w:rsidR="0034539C">
        <w:t>developing</w:t>
      </w:r>
      <w:r w:rsidR="00AE1981">
        <w:t>, influences emissions and energy use far into the future</w:t>
      </w:r>
      <w:r w:rsidR="00986485">
        <w:t xml:space="preserve"> (Floater et al 2014; </w:t>
      </w:r>
      <w:proofErr w:type="spellStart"/>
      <w:r w:rsidR="00986485" w:rsidRPr="00986485">
        <w:t>Ahlfedlt</w:t>
      </w:r>
      <w:proofErr w:type="spellEnd"/>
      <w:r w:rsidR="00986485" w:rsidRPr="00986485">
        <w:t xml:space="preserve"> and </w:t>
      </w:r>
      <w:proofErr w:type="spellStart"/>
      <w:r w:rsidR="00986485" w:rsidRPr="00986485">
        <w:t>Pietrostefani</w:t>
      </w:r>
      <w:proofErr w:type="spellEnd"/>
      <w:r w:rsidR="00986485" w:rsidRPr="00986485">
        <w:t xml:space="preserve"> 2017</w:t>
      </w:r>
      <w:r w:rsidR="00986485">
        <w:t>)</w:t>
      </w:r>
      <w:r w:rsidR="00AE1981">
        <w:t xml:space="preserve">. </w:t>
      </w:r>
    </w:p>
    <w:p w14:paraId="21EC0D2D" w14:textId="345ADA99" w:rsidR="00427BC2" w:rsidRDefault="00AE1981" w:rsidP="000A41CF">
      <w:r>
        <w:t xml:space="preserve"> </w:t>
      </w:r>
    </w:p>
    <w:p w14:paraId="4D855320" w14:textId="61C25950" w:rsidR="00AE1981" w:rsidRDefault="00650731" w:rsidP="000A41CF">
      <w:r>
        <w:t>Large scale changes in the design of urban areas</w:t>
      </w:r>
      <w:r w:rsidR="003E7B9E">
        <w:t xml:space="preserve"> were</w:t>
      </w:r>
      <w:r>
        <w:t xml:space="preserve"> not investigated</w:t>
      </w:r>
      <w:r w:rsidR="00DC1957">
        <w:t xml:space="preserve"> in these case studies</w:t>
      </w:r>
      <w:r>
        <w:t>, but a large number of</w:t>
      </w:r>
      <w:r w:rsidR="003E7B9E">
        <w:t xml:space="preserve"> smaller actions that could have long term impacts on</w:t>
      </w:r>
      <w:r w:rsidR="005576A6">
        <w:t xml:space="preserve"> </w:t>
      </w:r>
      <w:r w:rsidR="003E7B9E">
        <w:t>the urban landscape</w:t>
      </w:r>
      <w:r w:rsidR="00DC1957">
        <w:t xml:space="preserve"> </w:t>
      </w:r>
      <w:r w:rsidR="005576A6">
        <w:t>were considered.</w:t>
      </w:r>
      <w:r w:rsidR="00DC1957">
        <w:t xml:space="preserve"> Green building standards in </w:t>
      </w:r>
      <w:r w:rsidR="00BA2F3A">
        <w:t>Palembang</w:t>
      </w:r>
      <w:r w:rsidR="00DC1957">
        <w:t xml:space="preserve"> were found to </w:t>
      </w:r>
      <w:r w:rsidR="003E7B9E">
        <w:t xml:space="preserve">have potential to </w:t>
      </w:r>
      <w:r w:rsidR="00DC1957">
        <w:t xml:space="preserve">generate economic benefits and </w:t>
      </w:r>
      <w:r w:rsidR="0034539C">
        <w:t>GHG savings</w:t>
      </w:r>
      <w:r w:rsidR="00C651D3">
        <w:t xml:space="preserve"> for decades into the future</w:t>
      </w:r>
      <w:r w:rsidR="00B875C9">
        <w:t xml:space="preserve"> while i</w:t>
      </w:r>
      <w:r w:rsidR="0034539C">
        <w:t>n Recife</w:t>
      </w:r>
      <w:r w:rsidR="00610553">
        <w:t>, Tianjin and Kigali</w:t>
      </w:r>
      <w:r w:rsidR="0034539C">
        <w:t xml:space="preserve">, actions to extend </w:t>
      </w:r>
      <w:r w:rsidR="00610553">
        <w:t>public transport networks</w:t>
      </w:r>
      <w:r w:rsidR="0034539C">
        <w:t xml:space="preserve"> </w:t>
      </w:r>
      <w:r w:rsidR="003E7B9E">
        <w:t>were found to have the potential to</w:t>
      </w:r>
      <w:r w:rsidR="0034539C">
        <w:t xml:space="preserve"> red</w:t>
      </w:r>
      <w:r w:rsidR="00CA271D">
        <w:t xml:space="preserve">uce </w:t>
      </w:r>
      <w:r w:rsidR="003E7B9E">
        <w:t>personal vehicle use</w:t>
      </w:r>
      <w:r w:rsidR="00610553">
        <w:t xml:space="preserve"> and urban sprawl, leading to more compact and connected urban areas.</w:t>
      </w:r>
    </w:p>
    <w:p w14:paraId="3506DFFF" w14:textId="77777777" w:rsidR="00B875C9" w:rsidRDefault="00B875C9" w:rsidP="000A41CF"/>
    <w:p w14:paraId="63CC1233" w14:textId="5CE89551" w:rsidR="00B875C9" w:rsidRDefault="00B875C9" w:rsidP="000A41CF">
      <w:r>
        <w:t>The challenge for urban policymakers</w:t>
      </w:r>
      <w:r w:rsidR="008B6835">
        <w:t xml:space="preserve"> </w:t>
      </w:r>
      <w:r>
        <w:t xml:space="preserve">lies in being able to assess </w:t>
      </w:r>
      <w:r w:rsidR="00172AA0">
        <w:t xml:space="preserve">the consequences of individual plans and developments against a longer-term vision of their urban area - </w:t>
      </w:r>
      <w:r w:rsidR="00A2407A">
        <w:t>often</w:t>
      </w:r>
      <w:r w:rsidR="00172AA0">
        <w:t xml:space="preserve"> in the absence of credible and </w:t>
      </w:r>
      <w:r w:rsidR="00A2407A">
        <w:t>comprehensive information</w:t>
      </w:r>
      <w:r w:rsidR="00172AA0">
        <w:t>. Growth and change in urban areas, rather than happening b</w:t>
      </w:r>
      <w:r w:rsidR="00C423A5">
        <w:t>etween static blocks and</w:t>
      </w:r>
      <w:r w:rsidR="00172AA0">
        <w:t xml:space="preserve"> areas</w:t>
      </w:r>
      <w:r w:rsidR="00C423A5">
        <w:t xml:space="preserve"> under planning</w:t>
      </w:r>
      <w:r w:rsidR="00172AA0">
        <w:t xml:space="preserve"> (as envisioned by the makers of ‘SimCity’)</w:t>
      </w:r>
      <w:r w:rsidR="00C423A5">
        <w:t>,</w:t>
      </w:r>
      <w:r w:rsidR="00172AA0">
        <w:t xml:space="preserve"> is a dynamic and organic process in which any single planning application or or</w:t>
      </w:r>
      <w:r w:rsidR="00BA2F3A">
        <w:t>dinance code can seem</w:t>
      </w:r>
      <w:r w:rsidR="00172AA0">
        <w:t xml:space="preserve"> inconsequential. </w:t>
      </w:r>
      <w:r w:rsidR="00A2407A">
        <w:t xml:space="preserve">And the </w:t>
      </w:r>
      <w:r w:rsidR="003E7B9E">
        <w:t xml:space="preserve">barriers to more compact, coordinate and connected development can be financial, in the form of the higher cost of public and multimodal transport networks, but also political, in the form of established interest groups such a </w:t>
      </w:r>
      <w:proofErr w:type="gramStart"/>
      <w:r w:rsidR="003E7B9E">
        <w:t>house builders</w:t>
      </w:r>
      <w:proofErr w:type="gramEnd"/>
      <w:r w:rsidR="003E7B9E">
        <w:t>, and social/behavioural, in the large numbers of citizens who may oppose increases in density</w:t>
      </w:r>
      <w:r w:rsidR="001656C7">
        <w:t xml:space="preserve"> or shifting to non-motorised transport options</w:t>
      </w:r>
      <w:r w:rsidR="003E7B9E">
        <w:t>.</w:t>
      </w:r>
      <w:r w:rsidR="001656C7">
        <w:t xml:space="preserve"> </w:t>
      </w:r>
      <w:r>
        <w:t>City networks, such as ICLEI and C40</w:t>
      </w:r>
      <w:r w:rsidR="00FA7227">
        <w:t>, and open-source planning tools, such as the World Bank’s CURB tool</w:t>
      </w:r>
      <w:r w:rsidR="00C423A5">
        <w:t>,</w:t>
      </w:r>
      <w:r>
        <w:t xml:space="preserve"> are currently playi</w:t>
      </w:r>
      <w:r w:rsidR="00172AA0">
        <w:t>ng an important role in this context</w:t>
      </w:r>
      <w:r w:rsidR="00571C48">
        <w:t>,</w:t>
      </w:r>
      <w:r w:rsidR="00172AA0">
        <w:t xml:space="preserve"> </w:t>
      </w:r>
      <w:r w:rsidR="00FA7227">
        <w:t>helping urban policymakers develo</w:t>
      </w:r>
      <w:r w:rsidR="001656C7">
        <w:t>p long-term plans supported by evidence and the examples provided by other urban areas.</w:t>
      </w:r>
    </w:p>
    <w:p w14:paraId="3560DCC9" w14:textId="77777777" w:rsidR="00263093" w:rsidRPr="00156077" w:rsidRDefault="00263093" w:rsidP="00EB7847">
      <w:pPr>
        <w:rPr>
          <w:i/>
        </w:rPr>
      </w:pPr>
    </w:p>
    <w:p w14:paraId="39ABF1E3" w14:textId="77777777" w:rsidR="00F65E2A" w:rsidRDefault="00156077" w:rsidP="00F65E2A">
      <w:pPr>
        <w:rPr>
          <w:i/>
        </w:rPr>
      </w:pPr>
      <w:r>
        <w:rPr>
          <w:i/>
        </w:rPr>
        <w:t>Informing and educating – Actions that improve the function</w:t>
      </w:r>
      <w:r w:rsidR="005E6B8F">
        <w:rPr>
          <w:i/>
        </w:rPr>
        <w:t>ing</w:t>
      </w:r>
      <w:r>
        <w:rPr>
          <w:i/>
        </w:rPr>
        <w:t xml:space="preserve"> of existing institutions and governance</w:t>
      </w:r>
      <w:r w:rsidR="005E6B8F">
        <w:rPr>
          <w:i/>
        </w:rPr>
        <w:t xml:space="preserve"> arrangements</w:t>
      </w:r>
      <w:r w:rsidR="001F4892">
        <w:rPr>
          <w:i/>
        </w:rPr>
        <w:t>, and that raise awareness among business and the general public of opportunities for action</w:t>
      </w:r>
    </w:p>
    <w:p w14:paraId="5CFAA333" w14:textId="77777777" w:rsidR="008B6835" w:rsidRDefault="008B6835" w:rsidP="00F65E2A">
      <w:pPr>
        <w:rPr>
          <w:rFonts w:ascii="TimesNewRomanPSMT" w:hAnsi="TimesNewRomanPSMT" w:cs="TimesNewRomanPSMT"/>
        </w:rPr>
      </w:pPr>
    </w:p>
    <w:p w14:paraId="0B97EC7B" w14:textId="6379E8C9" w:rsidR="001F7D39" w:rsidRDefault="00D42234" w:rsidP="00F65E2A">
      <w:pPr>
        <w:rPr>
          <w:rFonts w:ascii="TimesNewRomanPSMT" w:hAnsi="TimesNewRomanPSMT" w:cs="TimesNewRomanPSMT"/>
        </w:rPr>
      </w:pPr>
      <w:r>
        <w:rPr>
          <w:rFonts w:ascii="TimesNewRomanPSMT" w:hAnsi="TimesNewRomanPSMT" w:cs="TimesNewRomanPSMT"/>
        </w:rPr>
        <w:t xml:space="preserve">Failure to implement low carbon actions that generate economic returns can result from the </w:t>
      </w:r>
      <w:r w:rsidR="002677AB">
        <w:rPr>
          <w:rFonts w:ascii="TimesNewRomanPSMT" w:hAnsi="TimesNewRomanPSMT" w:cs="TimesNewRomanPSMT"/>
        </w:rPr>
        <w:t>challenge</w:t>
      </w:r>
      <w:r>
        <w:rPr>
          <w:rFonts w:ascii="TimesNewRomanPSMT" w:hAnsi="TimesNewRomanPSMT" w:cs="TimesNewRomanPSMT"/>
        </w:rPr>
        <w:t xml:space="preserve"> of turning economic opportunities into financial business cases, legal conflicts, and political conflict, to note only a few examples from the previous sections. In other cases, households and businesses are simply not aware of opportunities </w:t>
      </w:r>
      <w:r w:rsidR="001A739C">
        <w:rPr>
          <w:rFonts w:ascii="TimesNewRomanPSMT" w:hAnsi="TimesNewRomanPSMT" w:cs="TimesNewRomanPSMT"/>
        </w:rPr>
        <w:t>available to them</w:t>
      </w:r>
      <w:r w:rsidR="003F5753">
        <w:rPr>
          <w:rFonts w:ascii="TimesNewRomanPSMT" w:hAnsi="TimesNewRomanPSMT" w:cs="TimesNewRomanPSMT"/>
        </w:rPr>
        <w:t>, or able to realise them due to lack of skills or knowledge</w:t>
      </w:r>
      <w:r w:rsidR="001A739C">
        <w:rPr>
          <w:rFonts w:ascii="TimesNewRomanPSMT" w:hAnsi="TimesNewRomanPSMT" w:cs="TimesNewRomanPSMT"/>
        </w:rPr>
        <w:t>.</w:t>
      </w:r>
      <w:r w:rsidR="00E21CD0">
        <w:rPr>
          <w:rFonts w:ascii="TimesNewRomanPSMT" w:hAnsi="TimesNewRomanPSMT" w:cs="TimesNewRomanPSMT"/>
        </w:rPr>
        <w:t xml:space="preserve"> </w:t>
      </w:r>
    </w:p>
    <w:p w14:paraId="56E45025" w14:textId="77777777" w:rsidR="00280D3F" w:rsidRDefault="00280D3F" w:rsidP="00F65E2A">
      <w:pPr>
        <w:rPr>
          <w:rFonts w:ascii="TimesNewRomanPSMT" w:hAnsi="TimesNewRomanPSMT" w:cs="TimesNewRomanPSMT"/>
        </w:rPr>
      </w:pPr>
    </w:p>
    <w:p w14:paraId="52D848DD" w14:textId="3EECB34B" w:rsidR="00E21CD0" w:rsidRDefault="00E21CD0" w:rsidP="00F65E2A">
      <w:pPr>
        <w:rPr>
          <w:rFonts w:ascii="TimesNewRomanPSMT" w:hAnsi="TimesNewRomanPSMT" w:cs="TimesNewRomanPSMT"/>
        </w:rPr>
      </w:pPr>
      <w:r>
        <w:rPr>
          <w:rFonts w:ascii="TimesNewRomanPSMT" w:hAnsi="TimesNewRomanPSMT" w:cs="TimesNewRomanPSMT"/>
        </w:rPr>
        <w:t xml:space="preserve">Opportunities for information and education to influence emissions and energy use are found in each of the four case studies. In </w:t>
      </w:r>
      <w:r w:rsidR="001F7D39">
        <w:rPr>
          <w:rFonts w:ascii="TimesNewRomanPSMT" w:hAnsi="TimesNewRomanPSMT" w:cs="TimesNewRomanPSMT"/>
        </w:rPr>
        <w:t>Recife</w:t>
      </w:r>
      <w:r>
        <w:rPr>
          <w:rFonts w:ascii="TimesNewRomanPSMT" w:hAnsi="TimesNewRomanPSMT" w:cs="TimesNewRomanPSMT"/>
        </w:rPr>
        <w:t xml:space="preserve"> turning down or automating thermostats is among the most cost</w:t>
      </w:r>
      <w:r w:rsidR="001274F3">
        <w:rPr>
          <w:rFonts w:ascii="TimesNewRomanPSMT" w:hAnsi="TimesNewRomanPSMT" w:cs="TimesNewRomanPSMT"/>
        </w:rPr>
        <w:t>-</w:t>
      </w:r>
      <w:r>
        <w:rPr>
          <w:rFonts w:ascii="TimesNewRomanPSMT" w:hAnsi="TimesNewRomanPSMT" w:cs="TimesNewRomanPSMT"/>
        </w:rPr>
        <w:t xml:space="preserve">effective measures for reducing emissions (in large because it comes with zero cost). </w:t>
      </w:r>
      <w:r w:rsidR="00CE6462">
        <w:rPr>
          <w:rFonts w:ascii="TimesNewRomanPSMT" w:hAnsi="TimesNewRomanPSMT" w:cs="TimesNewRomanPSMT"/>
        </w:rPr>
        <w:t>And i</w:t>
      </w:r>
      <w:r>
        <w:rPr>
          <w:rFonts w:ascii="TimesNewRomanPSMT" w:hAnsi="TimesNewRomanPSMT" w:cs="TimesNewRomanPSMT"/>
        </w:rPr>
        <w:t>n Tianjin</w:t>
      </w:r>
      <w:r w:rsidR="001F7D39">
        <w:rPr>
          <w:rFonts w:ascii="TimesNewRomanPSMT" w:hAnsi="TimesNewRomanPSMT" w:cs="TimesNewRomanPSMT"/>
        </w:rPr>
        <w:t xml:space="preserve"> and Palemban</w:t>
      </w:r>
      <w:r w:rsidR="00CE6462">
        <w:rPr>
          <w:rFonts w:ascii="TimesNewRomanPSMT" w:hAnsi="TimesNewRomanPSMT" w:cs="TimesNewRomanPSMT"/>
        </w:rPr>
        <w:t>g the application of</w:t>
      </w:r>
      <w:r>
        <w:rPr>
          <w:rFonts w:ascii="TimesNewRomanPSMT" w:hAnsi="TimesNewRomanPSMT" w:cs="TimesNewRomanPSMT"/>
        </w:rPr>
        <w:t xml:space="preserve"> </w:t>
      </w:r>
      <w:r w:rsidR="001F7D39">
        <w:rPr>
          <w:rFonts w:ascii="TimesNewRomanPSMT" w:hAnsi="TimesNewRomanPSMT" w:cs="TimesNewRomanPSMT"/>
        </w:rPr>
        <w:t xml:space="preserve">maintenance procedures in the industry sector are found to </w:t>
      </w:r>
      <w:r w:rsidR="00CE6462">
        <w:rPr>
          <w:rFonts w:ascii="TimesNewRomanPSMT" w:hAnsi="TimesNewRomanPSMT" w:cs="TimesNewRomanPSMT"/>
        </w:rPr>
        <w:t xml:space="preserve">pay back over months, rather than years. </w:t>
      </w:r>
      <w:r w:rsidR="00687B16">
        <w:rPr>
          <w:rFonts w:ascii="TimesNewRomanPSMT" w:hAnsi="TimesNewRomanPSMT" w:cs="TimesNewRomanPSMT"/>
        </w:rPr>
        <w:t xml:space="preserve">In each of these cases </w:t>
      </w:r>
      <w:r w:rsidR="00687B16">
        <w:rPr>
          <w:rFonts w:ascii="TimesNewRomanPSMT" w:hAnsi="TimesNewRomanPSMT" w:cs="TimesNewRomanPSMT"/>
        </w:rPr>
        <w:lastRenderedPageBreak/>
        <w:t>actions by any individual yields only a small impact on citywide energy use and emissions. Actions across companies and neighbourhoods, however, generate very substantial financial and GHG benefits.</w:t>
      </w:r>
    </w:p>
    <w:p w14:paraId="40CC236F" w14:textId="77777777" w:rsidR="00E21CD0" w:rsidRDefault="00E21CD0" w:rsidP="00F65E2A">
      <w:pPr>
        <w:rPr>
          <w:rFonts w:ascii="TimesNewRomanPSMT" w:hAnsi="TimesNewRomanPSMT" w:cs="TimesNewRomanPSMT"/>
        </w:rPr>
      </w:pPr>
    </w:p>
    <w:p w14:paraId="37B916AA" w14:textId="23EE1D9C" w:rsidR="00B470B6" w:rsidRPr="00C222F7" w:rsidRDefault="008B6835" w:rsidP="00F65E2A">
      <w:pPr>
        <w:rPr>
          <w:rFonts w:ascii="TimesNewRomanPSMT" w:hAnsi="TimesNewRomanPSMT" w:cs="TimesNewRomanPSMT"/>
        </w:rPr>
      </w:pPr>
      <w:r>
        <w:rPr>
          <w:rFonts w:ascii="TimesNewRomanPSMT" w:hAnsi="TimesNewRomanPSMT" w:cs="TimesNewRomanPSMT"/>
        </w:rPr>
        <w:t xml:space="preserve">In their position </w:t>
      </w:r>
      <w:r w:rsidR="00862F3D">
        <w:rPr>
          <w:rFonts w:ascii="TimesNewRomanPSMT" w:hAnsi="TimesNewRomanPSMT" w:cs="TimesNewRomanPSMT"/>
        </w:rPr>
        <w:t>working with businesses, members of civil society and other urban governments, urban policymakers are in a unique position to support the provision of information</w:t>
      </w:r>
      <w:r w:rsidR="00862F3D" w:rsidRPr="00CE6462">
        <w:rPr>
          <w:rFonts w:ascii="TimesNewRomanPSMT" w:hAnsi="TimesNewRomanPSMT" w:cs="TimesNewRomanPSMT"/>
        </w:rPr>
        <w:t xml:space="preserve">. </w:t>
      </w:r>
      <w:r w:rsidR="0071001D">
        <w:rPr>
          <w:rFonts w:ascii="TimesNewRomanPSMT" w:hAnsi="TimesNewRomanPSMT" w:cs="TimesNewRomanPSMT"/>
        </w:rPr>
        <w:t xml:space="preserve">While a majority of literature on </w:t>
      </w:r>
      <w:r w:rsidR="00B470B6">
        <w:rPr>
          <w:rFonts w:ascii="TimesNewRomanPSMT" w:hAnsi="TimesNewRomanPSMT" w:cs="TimesNewRomanPSMT"/>
        </w:rPr>
        <w:t xml:space="preserve">energy efficiency initiatives led by informational campaigns </w:t>
      </w:r>
      <w:r w:rsidR="0071001D">
        <w:rPr>
          <w:rFonts w:ascii="TimesNewRomanPSMT" w:hAnsi="TimesNewRomanPSMT" w:cs="TimesNewRomanPSMT"/>
        </w:rPr>
        <w:t>ha</w:t>
      </w:r>
      <w:r w:rsidR="001F7F27">
        <w:rPr>
          <w:rFonts w:ascii="TimesNewRomanPSMT" w:hAnsi="TimesNewRomanPSMT" w:cs="TimesNewRomanPSMT"/>
        </w:rPr>
        <w:t>ve</w:t>
      </w:r>
      <w:r w:rsidR="0071001D">
        <w:rPr>
          <w:rFonts w:ascii="TimesNewRomanPSMT" w:hAnsi="TimesNewRomanPSMT" w:cs="TimesNewRomanPSMT"/>
        </w:rPr>
        <w:t xml:space="preserve"> been based on developed world contexts (</w:t>
      </w:r>
      <w:r w:rsidR="0071001D" w:rsidRPr="0071001D">
        <w:rPr>
          <w:rFonts w:ascii="TimesNewRomanPSMT" w:hAnsi="TimesNewRomanPSMT" w:cs="TimesNewRomanPSMT"/>
        </w:rPr>
        <w:t>Gillingham</w:t>
      </w:r>
      <w:r w:rsidR="0071001D">
        <w:rPr>
          <w:rFonts w:ascii="TimesNewRomanPSMT" w:hAnsi="TimesNewRomanPSMT" w:cs="TimesNewRomanPSMT"/>
        </w:rPr>
        <w:t>,</w:t>
      </w:r>
      <w:r w:rsidR="0071001D" w:rsidRPr="0071001D">
        <w:rPr>
          <w:rFonts w:ascii="TimesNewRomanPSMT" w:hAnsi="TimesNewRomanPSMT" w:cs="TimesNewRomanPSMT"/>
        </w:rPr>
        <w:t xml:space="preserve"> Keyes &amp; Palmer 2018</w:t>
      </w:r>
      <w:r w:rsidR="0071001D">
        <w:rPr>
          <w:rFonts w:ascii="TimesNewRomanPSMT" w:hAnsi="TimesNewRomanPSMT" w:cs="TimesNewRomanPSMT"/>
        </w:rPr>
        <w:t>)</w:t>
      </w:r>
      <w:r w:rsidR="001F7F27">
        <w:rPr>
          <w:rFonts w:ascii="TimesNewRomanPSMT" w:hAnsi="TimesNewRomanPSMT" w:cs="TimesNewRomanPSMT"/>
        </w:rPr>
        <w:t xml:space="preserve">, an increasing </w:t>
      </w:r>
      <w:r w:rsidR="002D1701">
        <w:rPr>
          <w:rFonts w:ascii="TimesNewRomanPSMT" w:hAnsi="TimesNewRomanPSMT" w:cs="TimesNewRomanPSMT"/>
        </w:rPr>
        <w:t xml:space="preserve">number of </w:t>
      </w:r>
      <w:r w:rsidR="00AA3EFD">
        <w:rPr>
          <w:rFonts w:ascii="TimesNewRomanPSMT" w:hAnsi="TimesNewRomanPSMT" w:cs="TimesNewRomanPSMT"/>
        </w:rPr>
        <w:t xml:space="preserve">papers </w:t>
      </w:r>
      <w:r w:rsidR="001F7F27">
        <w:rPr>
          <w:rFonts w:ascii="TimesNewRomanPSMT" w:hAnsi="TimesNewRomanPSMT" w:cs="TimesNewRomanPSMT"/>
        </w:rPr>
        <w:t>identify successful campaigns in developing contexts</w:t>
      </w:r>
      <w:r w:rsidR="00AA3EFD">
        <w:rPr>
          <w:rFonts w:ascii="TimesNewRomanPSMT" w:hAnsi="TimesNewRomanPSMT" w:cs="TimesNewRomanPSMT"/>
        </w:rPr>
        <w:t xml:space="preserve"> (</w:t>
      </w:r>
      <w:proofErr w:type="spellStart"/>
      <w:r w:rsidR="00AA3EFD">
        <w:rPr>
          <w:rFonts w:ascii="TimesNewRomanPSMT" w:hAnsi="TimesNewRomanPSMT" w:cs="TimesNewRomanPSMT"/>
        </w:rPr>
        <w:t>c.f</w:t>
      </w:r>
      <w:proofErr w:type="spellEnd"/>
      <w:r w:rsidR="00AA3EFD">
        <w:rPr>
          <w:rFonts w:ascii="TimesNewRomanPSMT" w:hAnsi="TimesNewRomanPSMT" w:cs="TimesNewRomanPSMT"/>
        </w:rPr>
        <w:t xml:space="preserve"> </w:t>
      </w:r>
      <w:proofErr w:type="spellStart"/>
      <w:r w:rsidR="00AA3EFD" w:rsidRPr="00AA3EFD">
        <w:rPr>
          <w:rFonts w:ascii="TimesNewRomanPSMT" w:hAnsi="TimesNewRomanPSMT" w:cs="TimesNewRomanPSMT"/>
        </w:rPr>
        <w:t>Gyamfi</w:t>
      </w:r>
      <w:proofErr w:type="spellEnd"/>
      <w:r w:rsidR="00AA3EFD">
        <w:rPr>
          <w:rFonts w:ascii="TimesNewRomanPSMT" w:hAnsi="TimesNewRomanPSMT" w:cs="TimesNewRomanPSMT"/>
        </w:rPr>
        <w:t xml:space="preserve"> et al 2017</w:t>
      </w:r>
      <w:r w:rsidR="00C222F7">
        <w:rPr>
          <w:rFonts w:ascii="TimesNewRomanPSMT" w:hAnsi="TimesNewRomanPSMT" w:cs="TimesNewRomanPSMT"/>
        </w:rPr>
        <w:t>).</w:t>
      </w:r>
    </w:p>
    <w:p w14:paraId="015AE534" w14:textId="77777777" w:rsidR="00F72832" w:rsidRDefault="00F72832" w:rsidP="00F65E2A">
      <w:pPr>
        <w:rPr>
          <w:rFonts w:ascii="TimesNewRomanPSMT" w:hAnsi="TimesNewRomanPSMT" w:cs="TimesNewRomanPSMT"/>
          <w:lang w:val="en-US"/>
        </w:rPr>
      </w:pPr>
    </w:p>
    <w:p w14:paraId="62021D49" w14:textId="7CCFC7BC" w:rsidR="008B6835" w:rsidRDefault="00862F3D" w:rsidP="00F65E2A">
      <w:pPr>
        <w:rPr>
          <w:rFonts w:ascii="TimesNewRomanPSMT" w:hAnsi="TimesNewRomanPSMT" w:cs="TimesNewRomanPSMT"/>
        </w:rPr>
      </w:pPr>
      <w:r>
        <w:rPr>
          <w:rFonts w:ascii="TimesNewRomanPSMT" w:hAnsi="TimesNewRomanPSMT" w:cs="TimesNewRomanPSMT"/>
          <w:lang w:val="en-US"/>
        </w:rPr>
        <w:t xml:space="preserve">Local governments can also engage in supporting </w:t>
      </w:r>
      <w:r w:rsidR="00F72832">
        <w:rPr>
          <w:rFonts w:ascii="TimesNewRomanPSMT" w:hAnsi="TimesNewRomanPSMT" w:cs="TimesNewRomanPSMT"/>
          <w:lang w:val="en-US"/>
        </w:rPr>
        <w:t xml:space="preserve">skills and training in order to ensure the local workforce has the knowledge needed </w:t>
      </w:r>
      <w:r w:rsidR="00F72832" w:rsidRPr="00862F3D">
        <w:rPr>
          <w:rFonts w:ascii="TimesNewRomanPSMT" w:hAnsi="TimesNewRomanPSMT" w:cs="TimesNewRomanPSMT"/>
          <w:lang w:val="en-US"/>
        </w:rPr>
        <w:t>design</w:t>
      </w:r>
      <w:r w:rsidR="00F72832">
        <w:rPr>
          <w:rFonts w:ascii="TimesNewRomanPSMT" w:hAnsi="TimesNewRomanPSMT" w:cs="TimesNewRomanPSMT"/>
          <w:lang w:val="en-US"/>
        </w:rPr>
        <w:t>, install, operate and maintain</w:t>
      </w:r>
      <w:r w:rsidR="00F72832" w:rsidRPr="00862F3D">
        <w:rPr>
          <w:rFonts w:ascii="TimesNewRomanPSMT" w:hAnsi="TimesNewRomanPSMT" w:cs="TimesNewRomanPSMT"/>
          <w:lang w:val="en-US"/>
        </w:rPr>
        <w:t xml:space="preserve"> low-carbon measures</w:t>
      </w:r>
      <w:r w:rsidR="00F72832">
        <w:rPr>
          <w:rFonts w:ascii="TimesNewRomanPSMT" w:hAnsi="TimesNewRomanPSMT" w:cs="TimesNewRomanPSMT"/>
          <w:lang w:val="en-US"/>
        </w:rPr>
        <w:t>.</w:t>
      </w:r>
      <w:r w:rsidR="00F72832">
        <w:rPr>
          <w:rFonts w:ascii="TimesNewRomanPSMT" w:hAnsi="TimesNewRomanPSMT" w:cs="TimesNewRomanPSMT"/>
        </w:rPr>
        <w:t xml:space="preserve"> T</w:t>
      </w:r>
      <w:r w:rsidR="008B6835" w:rsidRPr="009C0B58">
        <w:rPr>
          <w:rFonts w:ascii="TimesNewRomanPSMT" w:hAnsi="TimesNewRomanPSMT" w:cs="TimesNewRomanPSMT"/>
        </w:rPr>
        <w:t>he Private Sector Federation of Rwanda, an industry group</w:t>
      </w:r>
      <w:r w:rsidR="00F72832">
        <w:rPr>
          <w:rFonts w:ascii="TimesNewRomanPSMT" w:hAnsi="TimesNewRomanPSMT" w:cs="TimesNewRomanPSMT"/>
        </w:rPr>
        <w:t>,</w:t>
      </w:r>
      <w:r w:rsidR="008B6835" w:rsidRPr="009C0B58">
        <w:rPr>
          <w:rFonts w:ascii="TimesNewRomanPSMT" w:hAnsi="TimesNewRomanPSMT" w:cs="TimesNewRomanPSMT"/>
        </w:rPr>
        <w:t xml:space="preserve"> has formed a partnership with </w:t>
      </w:r>
      <w:r w:rsidR="00F72832">
        <w:rPr>
          <w:rFonts w:ascii="TimesNewRomanPSMT" w:hAnsi="TimesNewRomanPSMT" w:cs="TimesNewRomanPSMT"/>
        </w:rPr>
        <w:t xml:space="preserve">government to explore </w:t>
      </w:r>
      <w:r w:rsidR="008B6835" w:rsidRPr="009C0B58">
        <w:rPr>
          <w:rFonts w:ascii="TimesNewRomanPSMT" w:hAnsi="TimesNewRomanPSMT" w:cs="TimesNewRomanPSMT"/>
        </w:rPr>
        <w:t xml:space="preserve">opportunities around </w:t>
      </w:r>
      <w:r w:rsidR="00F72832">
        <w:rPr>
          <w:rFonts w:ascii="TimesNewRomanPSMT" w:hAnsi="TimesNewRomanPSMT" w:cs="TimesNewRomanPSMT"/>
        </w:rPr>
        <w:t>low carbon action while</w:t>
      </w:r>
      <w:r w:rsidR="00F72832" w:rsidRPr="009C0B58">
        <w:rPr>
          <w:rFonts w:ascii="TimesNewRomanPSMT" w:hAnsi="TimesNewRomanPSMT" w:cs="TimesNewRomanPSMT"/>
        </w:rPr>
        <w:t xml:space="preserve"> train</w:t>
      </w:r>
      <w:r w:rsidR="00F72832">
        <w:rPr>
          <w:rFonts w:ascii="TimesNewRomanPSMT" w:hAnsi="TimesNewRomanPSMT" w:cs="TimesNewRomanPSMT"/>
        </w:rPr>
        <w:t>ing</w:t>
      </w:r>
      <w:r w:rsidR="00F72832" w:rsidRPr="009C0B58">
        <w:rPr>
          <w:rFonts w:ascii="TimesNewRomanPSMT" w:hAnsi="TimesNewRomanPSMT" w:cs="TimesNewRomanPSMT"/>
        </w:rPr>
        <w:t xml:space="preserve"> small and med</w:t>
      </w:r>
      <w:r w:rsidR="00F72832">
        <w:rPr>
          <w:rFonts w:ascii="TimesNewRomanPSMT" w:hAnsi="TimesNewRomanPSMT" w:cs="TimesNewRomanPSMT"/>
        </w:rPr>
        <w:t xml:space="preserve">ium-sized businesses in entrepreneurship, planning, and accounting </w:t>
      </w:r>
      <w:r w:rsidR="008B6835" w:rsidRPr="009C0B58">
        <w:rPr>
          <w:rFonts w:ascii="TimesNewRomanPSMT" w:hAnsi="TimesNewRomanPSMT" w:cs="TimesNewRomanPSMT"/>
        </w:rPr>
        <w:t xml:space="preserve">(PSF, 2016). Similar programs </w:t>
      </w:r>
      <w:r w:rsidR="00F72832">
        <w:rPr>
          <w:rFonts w:ascii="TimesNewRomanPSMT" w:hAnsi="TimesNewRomanPSMT" w:cs="TimesNewRomanPSMT"/>
        </w:rPr>
        <w:t>on other parts of</w:t>
      </w:r>
      <w:r w:rsidR="008B6835" w:rsidRPr="009C0B58">
        <w:rPr>
          <w:rFonts w:ascii="TimesNewRomanPSMT" w:hAnsi="TimesNewRomanPSMT" w:cs="TimesNewRomanPSMT"/>
        </w:rPr>
        <w:t xml:space="preserve"> sub-Saharan Africa</w:t>
      </w:r>
      <w:r w:rsidR="00250745">
        <w:rPr>
          <w:rFonts w:ascii="TimesNewRomanPSMT" w:hAnsi="TimesNewRomanPSMT" w:cs="TimesNewRomanPSMT"/>
        </w:rPr>
        <w:t xml:space="preserve"> and least developed coun</w:t>
      </w:r>
      <w:r w:rsidR="00C222F7">
        <w:rPr>
          <w:rFonts w:ascii="TimesNewRomanPSMT" w:hAnsi="TimesNewRomanPSMT" w:cs="TimesNewRomanPSMT"/>
        </w:rPr>
        <w:t>t</w:t>
      </w:r>
      <w:r w:rsidR="00250745">
        <w:rPr>
          <w:rFonts w:ascii="TimesNewRomanPSMT" w:hAnsi="TimesNewRomanPSMT" w:cs="TimesNewRomanPSMT"/>
        </w:rPr>
        <w:t>ries</w:t>
      </w:r>
      <w:r w:rsidR="008B6835" w:rsidRPr="009C0B58">
        <w:rPr>
          <w:rFonts w:ascii="TimesNewRomanPSMT" w:hAnsi="TimesNewRomanPSMT" w:cs="TimesNewRomanPSMT"/>
        </w:rPr>
        <w:t xml:space="preserve"> have</w:t>
      </w:r>
      <w:r w:rsidR="00F72832">
        <w:rPr>
          <w:rFonts w:ascii="TimesNewRomanPSMT" w:hAnsi="TimesNewRomanPSMT" w:cs="TimesNewRomanPSMT"/>
        </w:rPr>
        <w:t xml:space="preserve"> had significant impact at</w:t>
      </w:r>
      <w:r w:rsidR="008B6835" w:rsidRPr="009C0B58">
        <w:rPr>
          <w:rFonts w:ascii="TimesNewRomanPSMT" w:hAnsi="TimesNewRomanPSMT" w:cs="TimesNewRomanPSMT"/>
        </w:rPr>
        <w:t xml:space="preserve"> relatively low cost (Mano et al., 2012).</w:t>
      </w:r>
    </w:p>
    <w:p w14:paraId="062A7408" w14:textId="77777777" w:rsidR="008B6835" w:rsidRDefault="008B6835" w:rsidP="00F65E2A">
      <w:pPr>
        <w:rPr>
          <w:rFonts w:ascii="TimesNewRomanPSMT" w:hAnsi="TimesNewRomanPSMT" w:cs="TimesNewRomanPSMT"/>
        </w:rPr>
      </w:pPr>
    </w:p>
    <w:p w14:paraId="3E243E41" w14:textId="4F78CE82" w:rsidR="008B6835" w:rsidRPr="00250745" w:rsidRDefault="00250745" w:rsidP="00F65E2A">
      <w:pPr>
        <w:rPr>
          <w:rFonts w:ascii="TimesNewRomanPSMT" w:hAnsi="TimesNewRomanPSMT" w:cs="TimesNewRomanPSMT"/>
          <w:lang w:val="en-US"/>
        </w:rPr>
      </w:pPr>
      <w:r>
        <w:rPr>
          <w:rFonts w:ascii="TimesNewRomanPSMT" w:hAnsi="TimesNewRomanPSMT" w:cs="TimesNewRomanPSMT"/>
          <w:lang w:val="en-US"/>
        </w:rPr>
        <w:t>The f</w:t>
      </w:r>
      <w:r w:rsidR="003D4017">
        <w:rPr>
          <w:rFonts w:ascii="TimesNewRomanPSMT" w:hAnsi="TimesNewRomanPSMT" w:cs="TimesNewRomanPSMT"/>
          <w:lang w:val="en-US"/>
        </w:rPr>
        <w:t>inancial cost of these programs can be significant</w:t>
      </w:r>
      <w:r>
        <w:rPr>
          <w:rFonts w:ascii="TimesNewRomanPSMT" w:hAnsi="TimesNewRomanPSMT" w:cs="TimesNewRomanPSMT"/>
          <w:lang w:val="en-US"/>
        </w:rPr>
        <w:t xml:space="preserve">, especially for developing municipalities with limited resources. The barriers to action these programs </w:t>
      </w:r>
      <w:r w:rsidR="00687B16">
        <w:rPr>
          <w:rFonts w:ascii="TimesNewRomanPSMT" w:hAnsi="TimesNewRomanPSMT" w:cs="TimesNewRomanPSMT"/>
          <w:lang w:val="en-US"/>
        </w:rPr>
        <w:t xml:space="preserve">help to </w:t>
      </w:r>
      <w:r>
        <w:rPr>
          <w:rFonts w:ascii="TimesNewRomanPSMT" w:hAnsi="TimesNewRomanPSMT" w:cs="TimesNewRomanPSMT"/>
          <w:lang w:val="en-US"/>
        </w:rPr>
        <w:t xml:space="preserve">challenge, on the other hand, around asymmetries of information between households and energy providers, the limited capacity for </w:t>
      </w:r>
      <w:r w:rsidR="00687B16">
        <w:rPr>
          <w:rFonts w:ascii="TimesNewRomanPSMT" w:hAnsi="TimesNewRomanPSMT" w:cs="TimesNewRomanPSMT"/>
          <w:lang w:val="en-US"/>
        </w:rPr>
        <w:t>individuals</w:t>
      </w:r>
      <w:r>
        <w:rPr>
          <w:rFonts w:ascii="TimesNewRomanPSMT" w:hAnsi="TimesNewRomanPSMT" w:cs="TimesNewRomanPSMT"/>
          <w:lang w:val="en-US"/>
        </w:rPr>
        <w:t xml:space="preserve"> to engage in ‘optimizing’ behavi</w:t>
      </w:r>
      <w:r w:rsidR="007871F5">
        <w:rPr>
          <w:rFonts w:ascii="TimesNewRomanPSMT" w:hAnsi="TimesNewRomanPSMT" w:cs="TimesNewRomanPSMT"/>
          <w:lang w:val="en-US"/>
        </w:rPr>
        <w:t>o</w:t>
      </w:r>
      <w:r>
        <w:rPr>
          <w:rFonts w:ascii="TimesNewRomanPSMT" w:hAnsi="TimesNewRomanPSMT" w:cs="TimesNewRomanPSMT"/>
          <w:lang w:val="en-US"/>
        </w:rPr>
        <w:t xml:space="preserve">r, </w:t>
      </w:r>
      <w:r w:rsidR="00687B16">
        <w:rPr>
          <w:rFonts w:ascii="TimesNewRomanPSMT" w:hAnsi="TimesNewRomanPSMT" w:cs="TimesNewRomanPSMT"/>
          <w:lang w:val="en-US"/>
        </w:rPr>
        <w:t xml:space="preserve">and </w:t>
      </w:r>
      <w:r w:rsidR="003F5753">
        <w:rPr>
          <w:rFonts w:ascii="TimesNewRomanPSMT" w:hAnsi="TimesNewRomanPSMT" w:cs="TimesNewRomanPSMT"/>
          <w:lang w:val="en-US"/>
        </w:rPr>
        <w:t xml:space="preserve">principal-agent problems, </w:t>
      </w:r>
      <w:r>
        <w:rPr>
          <w:rFonts w:ascii="TimesNewRomanPSMT" w:hAnsi="TimesNewRomanPSMT" w:cs="TimesNewRomanPSMT"/>
          <w:lang w:val="en-US"/>
        </w:rPr>
        <w:t xml:space="preserve">are </w:t>
      </w:r>
      <w:r w:rsidR="003F5753">
        <w:rPr>
          <w:rFonts w:ascii="TimesNewRomanPSMT" w:hAnsi="TimesNewRomanPSMT" w:cs="TimesNewRomanPSMT"/>
          <w:lang w:val="en-US"/>
        </w:rPr>
        <w:t>often non-financial</w:t>
      </w:r>
      <w:r>
        <w:rPr>
          <w:rFonts w:ascii="TimesNewRomanPSMT" w:hAnsi="TimesNewRomanPSMT" w:cs="TimesNewRomanPSMT"/>
          <w:lang w:val="en-US"/>
        </w:rPr>
        <w:t>.</w:t>
      </w:r>
    </w:p>
    <w:p w14:paraId="37135BA8" w14:textId="77777777" w:rsidR="008217B4" w:rsidRDefault="008217B4" w:rsidP="00EB7847">
      <w:pPr>
        <w:rPr>
          <w:rFonts w:ascii="TimesNewRomanPSMT" w:hAnsi="TimesNewRomanPSMT" w:cs="TimesNewRomanPSMT"/>
        </w:rPr>
      </w:pPr>
    </w:p>
    <w:p w14:paraId="6C6075C1" w14:textId="3BEC5887" w:rsidR="00620BF0" w:rsidRDefault="00620BF0" w:rsidP="00EB7847">
      <w:pPr>
        <w:rPr>
          <w:i/>
        </w:rPr>
      </w:pPr>
      <w:r w:rsidRPr="009F24D9">
        <w:rPr>
          <w:i/>
        </w:rPr>
        <w:t xml:space="preserve">Coordinating </w:t>
      </w:r>
      <w:r w:rsidR="000D4B7B" w:rsidRPr="009F24D9">
        <w:rPr>
          <w:i/>
        </w:rPr>
        <w:t>–</w:t>
      </w:r>
      <w:r>
        <w:rPr>
          <w:i/>
        </w:rPr>
        <w:t xml:space="preserve"> </w:t>
      </w:r>
      <w:r w:rsidR="000D4B7B">
        <w:rPr>
          <w:i/>
        </w:rPr>
        <w:t>Actions facilitated by urban policymakers</w:t>
      </w:r>
      <w:r w:rsidR="002D1F20">
        <w:rPr>
          <w:i/>
        </w:rPr>
        <w:t xml:space="preserve"> bring</w:t>
      </w:r>
      <w:r w:rsidR="003F5753">
        <w:rPr>
          <w:i/>
        </w:rPr>
        <w:t>ing</w:t>
      </w:r>
      <w:r w:rsidR="002D1F20">
        <w:rPr>
          <w:i/>
        </w:rPr>
        <w:t xml:space="preserve"> together key actors</w:t>
      </w:r>
    </w:p>
    <w:p w14:paraId="0FBD772A" w14:textId="77777777" w:rsidR="00CA271D" w:rsidRDefault="00CA271D" w:rsidP="00EB7847">
      <w:pPr>
        <w:rPr>
          <w:i/>
        </w:rPr>
      </w:pPr>
    </w:p>
    <w:p w14:paraId="007512B4" w14:textId="50049C96" w:rsidR="00676B3D" w:rsidRDefault="00676B3D" w:rsidP="00EB7847">
      <w:r>
        <w:t>Effective coordination and communication, both</w:t>
      </w:r>
      <w:r w:rsidR="003C30F8">
        <w:t xml:space="preserve"> horizontally</w:t>
      </w:r>
      <w:r>
        <w:t xml:space="preserve"> across </w:t>
      </w:r>
      <w:r w:rsidR="003C30F8">
        <w:t>government agencies and private actors, and vertically between local actors and national institutions, is critical for developing large investment projects.</w:t>
      </w:r>
      <w:r w:rsidR="006C63AE">
        <w:t xml:space="preserve"> In the case study from Rwanda</w:t>
      </w:r>
      <w:r w:rsidR="00136267">
        <w:t>,</w:t>
      </w:r>
      <w:r w:rsidR="003C5A5B">
        <w:t xml:space="preserve"> for example,</w:t>
      </w:r>
      <w:r w:rsidR="00136267">
        <w:t xml:space="preserve"> action to raise the integration of renewables in </w:t>
      </w:r>
      <w:r w:rsidR="003C5A5B">
        <w:t xml:space="preserve">the </w:t>
      </w:r>
      <w:r w:rsidR="006C63AE">
        <w:t>electricity</w:t>
      </w:r>
      <w:r w:rsidR="00136267">
        <w:t xml:space="preserve"> </w:t>
      </w:r>
      <w:r w:rsidR="003C5A5B">
        <w:t xml:space="preserve">grid </w:t>
      </w:r>
      <w:r w:rsidR="00136267">
        <w:t xml:space="preserve">would require the coordinated action of at least three </w:t>
      </w:r>
      <w:r w:rsidR="006C63AE">
        <w:t xml:space="preserve">national </w:t>
      </w:r>
      <w:r w:rsidR="00136267">
        <w:t>government agencies (</w:t>
      </w:r>
      <w:r>
        <w:t>The Ministry of Infrastructure, Ministry of the Environment, and the Ministry of Finance and Economic Planning</w:t>
      </w:r>
      <w:r w:rsidR="00136267">
        <w:t>),</w:t>
      </w:r>
      <w:r>
        <w:t xml:space="preserve"> </w:t>
      </w:r>
      <w:r w:rsidR="006C63AE">
        <w:t>private developers, international sources of</w:t>
      </w:r>
      <w:r w:rsidR="006B4F1A">
        <w:t xml:space="preserve"> finance, and local governments.</w:t>
      </w:r>
    </w:p>
    <w:p w14:paraId="12100E73" w14:textId="77777777" w:rsidR="00676B3D" w:rsidRDefault="00676B3D" w:rsidP="00EB7847"/>
    <w:p w14:paraId="11ECED2D" w14:textId="70255B4B" w:rsidR="006C63AE" w:rsidRDefault="006C63AE" w:rsidP="006C63AE">
      <w:r>
        <w:t xml:space="preserve">In Palembang, a high degree of regulatory independence allows the city to develop major transport projects without explicit support of regional or national actors. Nonetheless, major investments in bus </w:t>
      </w:r>
      <w:r w:rsidR="006B4F1A">
        <w:t>rapid transit and light rail in recent years have</w:t>
      </w:r>
      <w:r w:rsidR="003C5A5B">
        <w:t xml:space="preserve"> progressed </w:t>
      </w:r>
      <w:r w:rsidR="006B4F1A">
        <w:t xml:space="preserve">only </w:t>
      </w:r>
      <w:r w:rsidR="003C5A5B">
        <w:t>with</w:t>
      </w:r>
      <w:r w:rsidR="00012EB4">
        <w:t xml:space="preserve"> </w:t>
      </w:r>
      <w:r w:rsidR="006B4F1A">
        <w:t xml:space="preserve">the </w:t>
      </w:r>
      <w:r w:rsidR="00012EB4">
        <w:t xml:space="preserve">support </w:t>
      </w:r>
      <w:r w:rsidR="006B4F1A">
        <w:t xml:space="preserve">of the </w:t>
      </w:r>
      <w:r w:rsidR="00012EB4">
        <w:t>national finance and transport ministries, guidance from the regional government, agreem</w:t>
      </w:r>
      <w:r w:rsidR="006B4F1A">
        <w:t>ent of</w:t>
      </w:r>
      <w:r w:rsidR="00012EB4">
        <w:t xml:space="preserve"> neighbouring municipalities, and cooperation </w:t>
      </w:r>
      <w:r w:rsidR="006B4F1A">
        <w:t>of</w:t>
      </w:r>
      <w:r w:rsidR="00012EB4">
        <w:t xml:space="preserve"> m</w:t>
      </w:r>
      <w:r w:rsidR="006B4F1A">
        <w:t>ultiple municipal authorities</w:t>
      </w:r>
      <w:r w:rsidR="00012EB4">
        <w:t>.</w:t>
      </w:r>
    </w:p>
    <w:p w14:paraId="6414D9C9" w14:textId="77777777" w:rsidR="00012EB4" w:rsidRDefault="00012EB4" w:rsidP="006C63AE"/>
    <w:p w14:paraId="27DB258D" w14:textId="265AD777" w:rsidR="00A35348" w:rsidRDefault="003C5A5B" w:rsidP="00BA2F3A">
      <w:r>
        <w:t xml:space="preserve">Even where investments are relatively smaller, local governments can </w:t>
      </w:r>
      <w:r w:rsidR="00BA2F3A">
        <w:t xml:space="preserve">play an important role </w:t>
      </w:r>
      <w:r w:rsidR="00DF4478">
        <w:t xml:space="preserve">coordinating actors and building cooperation towards </w:t>
      </w:r>
      <w:r w:rsidR="00BA2F3A">
        <w:t>increasing low carbon investment. In Brazil,</w:t>
      </w:r>
      <w:r w:rsidR="00BA2F3A" w:rsidRPr="00A52AF5">
        <w:t xml:space="preserve"> </w:t>
      </w:r>
      <w:r w:rsidR="00BA2F3A">
        <w:t xml:space="preserve">local authorities </w:t>
      </w:r>
      <w:r w:rsidR="00BA2F3A" w:rsidRPr="001669BD">
        <w:t xml:space="preserve">have </w:t>
      </w:r>
      <w:r w:rsidR="00BA2F3A">
        <w:t>substantial autonomy</w:t>
      </w:r>
      <w:r w:rsidR="00BA2F3A" w:rsidRPr="001669BD">
        <w:t xml:space="preserve"> designing and implementing local development strategies</w:t>
      </w:r>
      <w:r w:rsidR="00BA2F3A">
        <w:t xml:space="preserve"> but lack authority over important areas, including building standards</w:t>
      </w:r>
      <w:r w:rsidR="00A35348">
        <w:t xml:space="preserve"> and industrial efficiency</w:t>
      </w:r>
      <w:r w:rsidR="00BA2F3A">
        <w:t xml:space="preserve">. </w:t>
      </w:r>
      <w:r w:rsidR="00A35348">
        <w:t>In their connections with other municipalities and levels of government, and the information local governments have about businesses and developments in their urban areas, members of</w:t>
      </w:r>
      <w:r w:rsidR="00E9365A">
        <w:t xml:space="preserve"> local government are</w:t>
      </w:r>
      <w:r w:rsidR="00A35348">
        <w:t xml:space="preserve"> in a unique position to connect </w:t>
      </w:r>
      <w:r w:rsidR="00A35348">
        <w:lastRenderedPageBreak/>
        <w:t xml:space="preserve">businesses with </w:t>
      </w:r>
      <w:r w:rsidR="002F0826">
        <w:t>Energy Service Companies (ESCOs) who can provide finance and expertise around low carbon investments</w:t>
      </w:r>
      <w:r w:rsidR="00FC4AE8">
        <w:t>.</w:t>
      </w:r>
    </w:p>
    <w:p w14:paraId="0608C389" w14:textId="19421984" w:rsidR="0059155C" w:rsidRDefault="0059155C" w:rsidP="00BA2F3A"/>
    <w:p w14:paraId="32956BCC" w14:textId="5B66F189" w:rsidR="0007569A" w:rsidRDefault="0059155C" w:rsidP="0007569A">
      <w:r w:rsidRPr="00147DCA">
        <w:t>In each of these cases</w:t>
      </w:r>
      <w:r w:rsidR="0007569A" w:rsidRPr="00147DCA">
        <w:t xml:space="preserve"> </w:t>
      </w:r>
      <w:r w:rsidR="003F5753" w:rsidRPr="00147DCA">
        <w:t>urban policymakers</w:t>
      </w:r>
      <w:r w:rsidR="0007569A" w:rsidRPr="00147DCA">
        <w:t>’</w:t>
      </w:r>
      <w:r w:rsidR="003F5753" w:rsidRPr="00147DCA">
        <w:t xml:space="preserve"> unique knowledge of their context</w:t>
      </w:r>
      <w:r w:rsidR="0007569A" w:rsidRPr="00147DCA">
        <w:t xml:space="preserve"> – including the needs and interests of their constituents – helps them to bring together key actors. At the same time, urban </w:t>
      </w:r>
      <w:proofErr w:type="gramStart"/>
      <w:r w:rsidR="0007569A" w:rsidRPr="00147DCA">
        <w:t>policymakers</w:t>
      </w:r>
      <w:proofErr w:type="gramEnd"/>
      <w:r w:rsidR="0007569A" w:rsidRPr="00147DCA">
        <w:t xml:space="preserve"> knowledge of </w:t>
      </w:r>
      <w:r w:rsidR="00147DCA" w:rsidRPr="00147DCA">
        <w:t xml:space="preserve">sometimes </w:t>
      </w:r>
      <w:r w:rsidR="0007569A" w:rsidRPr="00147DCA">
        <w:t>labyrinthine political and bureaucratic networks existing within local governments, and between local governments and other layers of government position them to enable interactions that otherwise would be unlikely to happen organically.</w:t>
      </w:r>
    </w:p>
    <w:p w14:paraId="4FD9A29E" w14:textId="77777777" w:rsidR="000A41CF" w:rsidRDefault="000A41CF" w:rsidP="00EB7847">
      <w:pPr>
        <w:rPr>
          <w:i/>
        </w:rPr>
      </w:pPr>
    </w:p>
    <w:p w14:paraId="373A7679" w14:textId="1DEAEBF0" w:rsidR="00156077" w:rsidRDefault="00156077" w:rsidP="00EB7847">
      <w:r>
        <w:rPr>
          <w:i/>
        </w:rPr>
        <w:t>A</w:t>
      </w:r>
      <w:r w:rsidRPr="009C0B58">
        <w:rPr>
          <w:i/>
        </w:rPr>
        <w:t>dvocating</w:t>
      </w:r>
      <w:r>
        <w:rPr>
          <w:i/>
        </w:rPr>
        <w:t xml:space="preserve"> </w:t>
      </w:r>
      <w:r w:rsidR="00263093">
        <w:rPr>
          <w:i/>
        </w:rPr>
        <w:t>–</w:t>
      </w:r>
      <w:r>
        <w:rPr>
          <w:i/>
        </w:rPr>
        <w:t xml:space="preserve"> </w:t>
      </w:r>
      <w:r w:rsidR="00263093">
        <w:rPr>
          <w:i/>
        </w:rPr>
        <w:t>Actions from local governments that leverage their position between local actors and national governments to improve institutional practices, increase municipal powers, direct action,</w:t>
      </w:r>
      <w:r w:rsidR="00CA271D">
        <w:rPr>
          <w:i/>
        </w:rPr>
        <w:t xml:space="preserve"> or simply provide awareness of</w:t>
      </w:r>
      <w:r w:rsidR="00263093">
        <w:rPr>
          <w:i/>
        </w:rPr>
        <w:t xml:space="preserve"> an opportunity </w:t>
      </w:r>
    </w:p>
    <w:p w14:paraId="1B968C7C" w14:textId="77777777" w:rsidR="004C54A9" w:rsidRDefault="004C54A9" w:rsidP="00EB7847"/>
    <w:p w14:paraId="68F01895" w14:textId="59E65201" w:rsidR="00A34768" w:rsidRDefault="00CA271D" w:rsidP="00EB7847">
      <w:r>
        <w:t xml:space="preserve">In their position between local actors and higher levels of government, urban policymakers are </w:t>
      </w:r>
      <w:r w:rsidR="00A5317E">
        <w:t xml:space="preserve">in a unique position </w:t>
      </w:r>
      <w:r w:rsidR="00EC0912">
        <w:t xml:space="preserve">to </w:t>
      </w:r>
      <w:r w:rsidR="00A5317E">
        <w:t>raise the profile of local issues</w:t>
      </w:r>
      <w:r w:rsidR="00EC0912">
        <w:t xml:space="preserve">. </w:t>
      </w:r>
      <w:r w:rsidR="00A34768">
        <w:t xml:space="preserve">The case study on Tianjin, China, presents a unique perspective on this role of urban policymakers. As one of only four municipalities controlled by the central government, policymakers in </w:t>
      </w:r>
      <w:proofErr w:type="spellStart"/>
      <w:r w:rsidR="00A34768">
        <w:t>Tainjin</w:t>
      </w:r>
      <w:proofErr w:type="spellEnd"/>
      <w:r w:rsidR="00A34768">
        <w:t xml:space="preserve"> have been able to advocate for ambitious climate, energy and environmental policies and the city </w:t>
      </w:r>
      <w:r w:rsidR="00C4655A">
        <w:t xml:space="preserve">was </w:t>
      </w:r>
      <w:r w:rsidR="00A34768">
        <w:t xml:space="preserve">adopted one of the first </w:t>
      </w:r>
      <w:r w:rsidR="00C4655A">
        <w:t xml:space="preserve">Chinese </w:t>
      </w:r>
      <w:r w:rsidR="00A34768">
        <w:t>residential energy codes in 1997. Results from the 1997 codes have led to more strict regulations in 2004 and 2007, and informed polic</w:t>
      </w:r>
      <w:r w:rsidR="00EC0912">
        <w:t>ies that now apply widely to</w:t>
      </w:r>
      <w:r w:rsidR="00A34768">
        <w:t xml:space="preserve"> urban areas in China </w:t>
      </w:r>
      <w:r w:rsidR="00A34768" w:rsidRPr="00096E47">
        <w:rPr>
          <w:rFonts w:cs="Arial"/>
          <w:szCs w:val="28"/>
        </w:rPr>
        <w:t>(</w:t>
      </w:r>
      <w:proofErr w:type="spellStart"/>
      <w:r w:rsidR="00A34768" w:rsidRPr="00096E47">
        <w:rPr>
          <w:rFonts w:cs="Arial"/>
          <w:szCs w:val="28"/>
        </w:rPr>
        <w:t>Oshita</w:t>
      </w:r>
      <w:proofErr w:type="spellEnd"/>
      <w:r w:rsidR="00A34768" w:rsidRPr="00096E47">
        <w:rPr>
          <w:rFonts w:cs="Arial"/>
          <w:szCs w:val="28"/>
        </w:rPr>
        <w:t xml:space="preserve"> et al 2015).</w:t>
      </w:r>
      <w:r w:rsidR="00A34768" w:rsidRPr="00286B8F">
        <w:rPr>
          <w:rFonts w:cs="Arial"/>
          <w:szCs w:val="28"/>
        </w:rPr>
        <w:t xml:space="preserve"> </w:t>
      </w:r>
      <w:r w:rsidR="00A34768">
        <w:t xml:space="preserve"> </w:t>
      </w:r>
    </w:p>
    <w:p w14:paraId="45144499" w14:textId="17D1D6C6" w:rsidR="001F4892" w:rsidRDefault="001F4892" w:rsidP="001F4892">
      <w:pPr>
        <w:spacing w:before="100" w:beforeAutospacing="1" w:after="100" w:afterAutospacing="1"/>
        <w:rPr>
          <w:rFonts w:ascii="TimesNewRomanPSMT" w:hAnsi="TimesNewRomanPSMT" w:cs="TimesNewRomanPSMT"/>
        </w:rPr>
      </w:pPr>
      <w:r>
        <w:rPr>
          <w:rFonts w:ascii="TimesNewRomanPSMT" w:hAnsi="TimesNewRomanPSMT" w:cs="TimesNewRomanPSMT"/>
        </w:rPr>
        <w:t xml:space="preserve">A second example comes from the Kigali case study. Analysis in </w:t>
      </w:r>
      <w:proofErr w:type="spellStart"/>
      <w:r>
        <w:rPr>
          <w:rFonts w:ascii="TimesNewRomanPSMT" w:hAnsi="TimesNewRomanPSMT" w:cs="TimesNewRomanPSMT"/>
        </w:rPr>
        <w:t>Sudmant</w:t>
      </w:r>
      <w:proofErr w:type="spellEnd"/>
      <w:r>
        <w:rPr>
          <w:rFonts w:ascii="TimesNewRomanPSMT" w:hAnsi="TimesNewRomanPSMT" w:cs="TimesNewRomanPSMT"/>
        </w:rPr>
        <w:t xml:space="preserve"> (2017) and </w:t>
      </w:r>
      <w:proofErr w:type="spellStart"/>
      <w:r>
        <w:rPr>
          <w:rFonts w:ascii="TimesNewRomanPSMT" w:hAnsi="TimesNewRomanPSMT" w:cs="TimesNewRomanPSMT"/>
        </w:rPr>
        <w:t>Colenbrander</w:t>
      </w:r>
      <w:proofErr w:type="spellEnd"/>
      <w:r>
        <w:rPr>
          <w:rFonts w:ascii="TimesNewRomanPSMT" w:hAnsi="TimesNewRomanPSMT" w:cs="TimesNewRomanPSMT"/>
        </w:rPr>
        <w:t xml:space="preserve"> (2018) find that shifting from </w:t>
      </w:r>
      <w:r w:rsidR="00C423A5">
        <w:rPr>
          <w:rFonts w:ascii="TimesNewRomanPSMT" w:hAnsi="TimesNewRomanPSMT" w:cs="TimesNewRomanPSMT"/>
        </w:rPr>
        <w:t>conventional to electric motorbikes</w:t>
      </w:r>
      <w:r w:rsidRPr="006A36F8">
        <w:rPr>
          <w:rFonts w:ascii="TimesNewRomanPSMT" w:hAnsi="TimesNewRomanPSMT" w:cs="TimesNewRomanPSMT"/>
        </w:rPr>
        <w:t xml:space="preserve"> would not only improve air quality and reduce carbon emissions, it would also generate economic benefits. While an electric bike and reserve battery are approximately the same price as a conventional moto, the costs of operation are radically different: A typical </w:t>
      </w:r>
      <w:r>
        <w:rPr>
          <w:rFonts w:ascii="TimesNewRomanPSMT" w:hAnsi="TimesNewRomanPSMT" w:cs="TimesNewRomanPSMT"/>
        </w:rPr>
        <w:t>‘</w:t>
      </w:r>
      <w:r w:rsidRPr="006A36F8">
        <w:rPr>
          <w:rFonts w:ascii="TimesNewRomanPSMT" w:hAnsi="TimesNewRomanPSMT" w:cs="TimesNewRomanPSMT"/>
        </w:rPr>
        <w:t>moto</w:t>
      </w:r>
      <w:r>
        <w:rPr>
          <w:rFonts w:ascii="TimesNewRomanPSMT" w:hAnsi="TimesNewRomanPSMT" w:cs="TimesNewRomanPSMT"/>
        </w:rPr>
        <w:t>’ driver could save $2-3 USD per day in fuel costs by shifting to an electric bike, an amount approximately equal to their daily wages</w:t>
      </w:r>
      <w:r w:rsidR="00147DCA">
        <w:rPr>
          <w:rFonts w:ascii="TimesNewRomanPSMT" w:hAnsi="TimesNewRomanPSMT" w:cs="TimesNewRomanPSMT"/>
        </w:rPr>
        <w:t>.</w:t>
      </w:r>
    </w:p>
    <w:p w14:paraId="300E5C32" w14:textId="199381F8" w:rsidR="00C423A5" w:rsidRDefault="001F4892" w:rsidP="001F4892">
      <w:pPr>
        <w:spacing w:before="100" w:beforeAutospacing="1" w:after="100" w:afterAutospacing="1"/>
        <w:rPr>
          <w:rFonts w:ascii="TimesNewRomanPSMT" w:hAnsi="TimesNewRomanPSMT" w:cs="TimesNewRomanPSMT"/>
        </w:rPr>
      </w:pPr>
      <w:r>
        <w:rPr>
          <w:rFonts w:ascii="TimesNewRomanPSMT" w:hAnsi="TimesNewRomanPSMT" w:cs="TimesNewRomanPSMT"/>
        </w:rPr>
        <w:t>Uptake of electric motorbikes</w:t>
      </w:r>
      <w:r w:rsidR="000957E7">
        <w:rPr>
          <w:rFonts w:ascii="TimesNewRomanPSMT" w:hAnsi="TimesNewRomanPSMT" w:cs="TimesNewRomanPSMT"/>
        </w:rPr>
        <w:t>, however,</w:t>
      </w:r>
      <w:r>
        <w:rPr>
          <w:rFonts w:ascii="TimesNewRomanPSMT" w:hAnsi="TimesNewRomanPSMT" w:cs="TimesNewRomanPSMT"/>
        </w:rPr>
        <w:t xml:space="preserve"> has remained lo</w:t>
      </w:r>
      <w:r w:rsidR="000957E7">
        <w:rPr>
          <w:rFonts w:ascii="TimesNewRomanPSMT" w:hAnsi="TimesNewRomanPSMT" w:cs="TimesNewRomanPSMT"/>
        </w:rPr>
        <w:t>w</w:t>
      </w:r>
      <w:r>
        <w:rPr>
          <w:rFonts w:ascii="TimesNewRomanPSMT" w:hAnsi="TimesNewRomanPSMT" w:cs="TimesNewRomanPSMT"/>
        </w:rPr>
        <w:t xml:space="preserve">. </w:t>
      </w:r>
      <w:r w:rsidRPr="009C0B58">
        <w:rPr>
          <w:rFonts w:ascii="TimesNewRomanPSMT" w:hAnsi="TimesNewRomanPSMT" w:cs="TimesNewRomanPSMT"/>
        </w:rPr>
        <w:t xml:space="preserve">Delays at customs are said to require as many days as shipping electric motorbikes from China to </w:t>
      </w:r>
      <w:r>
        <w:rPr>
          <w:rFonts w:ascii="TimesNewRomanPSMT" w:hAnsi="TimesNewRomanPSMT" w:cs="TimesNewRomanPSMT"/>
        </w:rPr>
        <w:t>the boarder (approximately 40 days) due to a lack of clarity around how electric motorbikes should be taxed</w:t>
      </w:r>
      <w:r w:rsidRPr="009C0B58">
        <w:rPr>
          <w:rFonts w:ascii="TimesNewRomanPSMT" w:hAnsi="TimesNewRomanPSMT" w:cs="TimesNewRomanPSMT"/>
        </w:rPr>
        <w:t xml:space="preserve">. </w:t>
      </w:r>
      <w:r>
        <w:rPr>
          <w:rFonts w:ascii="TimesNewRomanPSMT" w:hAnsi="TimesNewRomanPSMT" w:cs="TimesNewRomanPSMT"/>
        </w:rPr>
        <w:t>In addition, l</w:t>
      </w:r>
      <w:r w:rsidRPr="009C0B58">
        <w:rPr>
          <w:rFonts w:ascii="TimesNewRomanPSMT" w:hAnsi="TimesNewRomanPSMT" w:cs="TimesNewRomanPSMT"/>
        </w:rPr>
        <w:t xml:space="preserve">icencing requirements for electric </w:t>
      </w:r>
      <w:r>
        <w:rPr>
          <w:rFonts w:ascii="TimesNewRomanPSMT" w:hAnsi="TimesNewRomanPSMT" w:cs="TimesNewRomanPSMT"/>
        </w:rPr>
        <w:t>motorbike</w:t>
      </w:r>
      <w:r w:rsidRPr="009C0B58">
        <w:rPr>
          <w:rFonts w:ascii="TimesNewRomanPSMT" w:hAnsi="TimesNewRomanPSMT" w:cs="TimesNewRomanPSMT"/>
        </w:rPr>
        <w:t xml:space="preserve"> </w:t>
      </w:r>
      <w:r>
        <w:rPr>
          <w:rFonts w:ascii="TimesNewRomanPSMT" w:hAnsi="TimesNewRomanPSMT" w:cs="TimesNewRomanPSMT"/>
        </w:rPr>
        <w:t xml:space="preserve">owners </w:t>
      </w:r>
      <w:r w:rsidRPr="009C0B58">
        <w:rPr>
          <w:rFonts w:ascii="TimesNewRomanPSMT" w:hAnsi="TimesNewRomanPSMT" w:cs="TimesNewRomanPSMT"/>
        </w:rPr>
        <w:t xml:space="preserve">are uncertain and require coordination between the Rwanda Revenue Authority and the Rwanda National Police (which are responsible </w:t>
      </w:r>
      <w:r>
        <w:rPr>
          <w:rFonts w:ascii="TimesNewRomanPSMT" w:hAnsi="TimesNewRomanPSMT" w:cs="TimesNewRomanPSMT"/>
        </w:rPr>
        <w:t xml:space="preserve">for licensing of vehicles). </w:t>
      </w:r>
      <w:r w:rsidR="000957E7">
        <w:rPr>
          <w:rFonts w:ascii="TimesNewRomanPSMT" w:hAnsi="TimesNewRomanPSMT" w:cs="TimesNewRomanPSMT"/>
        </w:rPr>
        <w:t>To address these challenges policymakers in Kigali can advocate for e</w:t>
      </w:r>
      <w:r>
        <w:rPr>
          <w:rFonts w:ascii="TimesNewRomanPSMT" w:hAnsi="TimesNewRomanPSMT" w:cs="TimesNewRomanPSMT"/>
        </w:rPr>
        <w:t xml:space="preserve">xpedited customs procedures, clarifications around legal frameworks, </w:t>
      </w:r>
      <w:r w:rsidR="00147DCA">
        <w:rPr>
          <w:rFonts w:ascii="TimesNewRomanPSMT" w:hAnsi="TimesNewRomanPSMT" w:cs="TimesNewRomanPSMT"/>
        </w:rPr>
        <w:t xml:space="preserve">and </w:t>
      </w:r>
      <w:r>
        <w:rPr>
          <w:rFonts w:ascii="TimesNewRomanPSMT" w:hAnsi="TimesNewRomanPSMT" w:cs="TimesNewRomanPSMT"/>
        </w:rPr>
        <w:t>better trained boarder officials</w:t>
      </w:r>
      <w:r w:rsidR="00147DCA">
        <w:rPr>
          <w:rFonts w:ascii="TimesNewRomanPSMT" w:hAnsi="TimesNewRomanPSMT" w:cs="TimesNewRomanPSMT"/>
        </w:rPr>
        <w:t>.</w:t>
      </w:r>
    </w:p>
    <w:p w14:paraId="28595B6D" w14:textId="5157327E" w:rsidR="00764721" w:rsidRPr="00A30BF4" w:rsidRDefault="00EC0912" w:rsidP="00A30BF4">
      <w:pPr>
        <w:spacing w:before="100" w:beforeAutospacing="1" w:after="100" w:afterAutospacing="1"/>
      </w:pPr>
      <w:r>
        <w:rPr>
          <w:rFonts w:ascii="TimesNewRomanPSMT" w:hAnsi="TimesNewRomanPSMT" w:cs="TimesNewRomanPSMT"/>
        </w:rPr>
        <w:t xml:space="preserve">Many issues local governments need to advocate for are regionally and locally specific. Common across many developing countries cities, however, is a limited ability to raise finance through financial instruments such a </w:t>
      </w:r>
      <w:proofErr w:type="gramStart"/>
      <w:r>
        <w:rPr>
          <w:rFonts w:ascii="TimesNewRomanPSMT" w:hAnsi="TimesNewRomanPSMT" w:cs="TimesNewRomanPSMT"/>
        </w:rPr>
        <w:t>municipal bonds</w:t>
      </w:r>
      <w:proofErr w:type="gramEnd"/>
      <w:r>
        <w:rPr>
          <w:rFonts w:ascii="TimesNewRomanPSMT" w:hAnsi="TimesNewRomanPSMT" w:cs="TimesNewRomanPSMT"/>
        </w:rPr>
        <w:t xml:space="preserve">. Across </w:t>
      </w:r>
      <w:r w:rsidR="006B6497">
        <w:rPr>
          <w:rFonts w:ascii="TimesNewRomanPSMT" w:hAnsi="TimesNewRomanPSMT" w:cs="TimesNewRomanPSMT"/>
        </w:rPr>
        <w:t>developing nations less than one-in-five cities have access to the bond market (</w:t>
      </w:r>
      <w:r w:rsidR="00147DCA">
        <w:rPr>
          <w:rFonts w:ascii="TimesNewRomanPSMT" w:hAnsi="TimesNewRomanPSMT" w:cs="TimesNewRomanPSMT"/>
        </w:rPr>
        <w:t>ref</w:t>
      </w:r>
      <w:r w:rsidR="006B6497">
        <w:rPr>
          <w:rFonts w:ascii="TimesNewRomanPSMT" w:hAnsi="TimesNewRomanPSMT" w:cs="TimesNewRomanPSMT"/>
        </w:rPr>
        <w:t>)</w:t>
      </w:r>
      <w:r>
        <w:rPr>
          <w:rFonts w:ascii="TimesNewRomanPSMT" w:hAnsi="TimesNewRomanPSMT" w:cs="TimesNewRomanPSMT"/>
        </w:rPr>
        <w:t>. P</w:t>
      </w:r>
      <w:r w:rsidR="00C423A5">
        <w:t xml:space="preserve">rograms such </w:t>
      </w:r>
      <w:r w:rsidR="00C423A5" w:rsidRPr="0002331E">
        <w:t xml:space="preserve">as the World Bank/C40 Cities Climate Leadership Group City Creditworthiness </w:t>
      </w:r>
      <w:r>
        <w:t>Initiative</w:t>
      </w:r>
      <w:r w:rsidR="00C423A5" w:rsidRPr="0002331E">
        <w:t xml:space="preserve"> </w:t>
      </w:r>
      <w:r w:rsidR="00C423A5">
        <w:t xml:space="preserve">are </w:t>
      </w:r>
      <w:r>
        <w:t xml:space="preserve">helping </w:t>
      </w:r>
      <w:r w:rsidR="00C423A5">
        <w:t>addres</w:t>
      </w:r>
      <w:r>
        <w:t xml:space="preserve">s this problem by helping urban areas </w:t>
      </w:r>
      <w:r w:rsidR="006B6497">
        <w:t>develop the legal,</w:t>
      </w:r>
      <w:r w:rsidR="006B6497" w:rsidRPr="006B6497">
        <w:t xml:space="preserve"> regulatory, institutional, and policy framework</w:t>
      </w:r>
      <w:r w:rsidR="006B6497">
        <w:t>s for</w:t>
      </w:r>
      <w:r w:rsidR="006B6497" w:rsidRPr="006B6497">
        <w:t xml:space="preserve"> sub-national borrowing</w:t>
      </w:r>
      <w:r w:rsidR="006B6497">
        <w:t>.</w:t>
      </w:r>
    </w:p>
    <w:p w14:paraId="3FFD55BB" w14:textId="3A642105" w:rsidR="008F7F01" w:rsidRDefault="00293C99" w:rsidP="00EB7847">
      <w:pPr>
        <w:rPr>
          <w:b/>
        </w:rPr>
      </w:pPr>
      <w:r>
        <w:rPr>
          <w:b/>
        </w:rPr>
        <w:t>5.</w:t>
      </w:r>
      <w:r w:rsidR="00764721">
        <w:rPr>
          <w:b/>
        </w:rPr>
        <w:t xml:space="preserve"> </w:t>
      </w:r>
      <w:r w:rsidR="00394C32">
        <w:rPr>
          <w:b/>
        </w:rPr>
        <w:t>Implications for urban low carbon action</w:t>
      </w:r>
    </w:p>
    <w:p w14:paraId="37930276" w14:textId="52B33756" w:rsidR="008F7F01" w:rsidRDefault="008F7F01" w:rsidP="00EB7847">
      <w:pPr>
        <w:rPr>
          <w:b/>
        </w:rPr>
      </w:pPr>
    </w:p>
    <w:p w14:paraId="5C536FD4" w14:textId="07F60A6F" w:rsidR="00657806" w:rsidRDefault="00657806" w:rsidP="00657806"/>
    <w:p w14:paraId="77B56889" w14:textId="66B4A38C" w:rsidR="007A7B37" w:rsidRDefault="00696C41" w:rsidP="00EB7847">
      <w:r>
        <w:t>While urban areas are newly considered in the mo</w:t>
      </w:r>
      <w:r w:rsidR="00921C0E">
        <w:t>re</w:t>
      </w:r>
      <w:r>
        <w:t xml:space="preserve"> recent IPCC </w:t>
      </w:r>
      <w:r w:rsidR="00921C0E">
        <w:t>processes</w:t>
      </w:r>
      <w:r>
        <w:t xml:space="preserve"> and in the Sustainable Development Goals, the wider ‘urban agenda’, and therein </w:t>
      </w:r>
      <w:r w:rsidR="0085272E">
        <w:t>the specific role</w:t>
      </w:r>
      <w:r w:rsidR="00FF4C52">
        <w:t>s</w:t>
      </w:r>
      <w:r w:rsidR="0085272E">
        <w:t xml:space="preserve"> and place for urban policymakers in</w:t>
      </w:r>
      <w:r>
        <w:t xml:space="preserve"> climate action and other global challenges, is still be in the process of emerging (Parnell 2016; ref; ref)</w:t>
      </w:r>
      <w:r w:rsidR="004B74D6">
        <w:t xml:space="preserve">. </w:t>
      </w:r>
    </w:p>
    <w:p w14:paraId="4AD8DDA6" w14:textId="40824DDF" w:rsidR="007A7B37" w:rsidRDefault="007A7B37" w:rsidP="00EB7847"/>
    <w:p w14:paraId="74B38186" w14:textId="2F13377A" w:rsidR="00A31CF9" w:rsidRPr="007E797C" w:rsidRDefault="0084023F" w:rsidP="00125C37">
      <w:r>
        <w:t xml:space="preserve">Grounded in their share of population, GDP, energy use and other metrics that demonstrate </w:t>
      </w:r>
      <w:r w:rsidR="00A31CF9">
        <w:t xml:space="preserve">their </w:t>
      </w:r>
      <w:r>
        <w:t>contribution to climate change</w:t>
      </w:r>
      <w:r w:rsidR="00A31CF9">
        <w:t>,</w:t>
      </w:r>
      <w:r>
        <w:t xml:space="preserve"> a growing number of commitments </w:t>
      </w:r>
      <w:r w:rsidR="00A31CF9">
        <w:t xml:space="preserve">from urban areas </w:t>
      </w:r>
      <w:r>
        <w:t xml:space="preserve">reflect </w:t>
      </w:r>
      <w:r w:rsidR="00125C37">
        <w:t>an understanding that cities</w:t>
      </w:r>
      <w:r w:rsidR="00576B7E">
        <w:t xml:space="preserve"> have substantial responsibility to address GHG emissions.</w:t>
      </w:r>
      <w:r w:rsidR="00125C37">
        <w:t xml:space="preserve"> </w:t>
      </w:r>
      <w:r w:rsidR="00125C37" w:rsidRPr="007E797C">
        <w:t xml:space="preserve">In the last 5 years </w:t>
      </w:r>
      <w:r w:rsidR="00125C37">
        <w:t>more than 8000</w:t>
      </w:r>
      <w:r w:rsidR="00125C37" w:rsidRPr="007E797C">
        <w:t xml:space="preserve"> urban areas covering </w:t>
      </w:r>
      <w:r w:rsidR="00125C37">
        <w:t>15</w:t>
      </w:r>
      <w:r w:rsidR="00125C37" w:rsidRPr="007E797C">
        <w:t xml:space="preserve">% of the global population have made </w:t>
      </w:r>
      <w:r w:rsidR="00125C37">
        <w:t xml:space="preserve">emissions reduction commitments, frequently </w:t>
      </w:r>
      <w:r w:rsidR="001E6DD4">
        <w:t xml:space="preserve">ones that </w:t>
      </w:r>
      <w:r w:rsidR="00527A03">
        <w:t xml:space="preserve">are </w:t>
      </w:r>
      <w:r w:rsidR="00125C37">
        <w:t xml:space="preserve">more ambitious than </w:t>
      </w:r>
      <w:r w:rsidR="001E6DD4">
        <w:t>those</w:t>
      </w:r>
      <w:r w:rsidR="00125C37">
        <w:t xml:space="preserve"> set by the nations they reside in</w:t>
      </w:r>
      <w:r w:rsidR="001E6DD4">
        <w:t xml:space="preserve">. </w:t>
      </w:r>
      <w:r w:rsidR="00A31CF9">
        <w:t>Supporting</w:t>
      </w:r>
      <w:r w:rsidR="001E6DD4">
        <w:t xml:space="preserve"> this</w:t>
      </w:r>
      <w:r w:rsidR="00A31CF9">
        <w:t xml:space="preserve"> perspective</w:t>
      </w:r>
      <w:r w:rsidR="00106354">
        <w:t>,</w:t>
      </w:r>
      <w:r w:rsidR="00A31CF9">
        <w:t xml:space="preserve"> a growing body of academic </w:t>
      </w:r>
      <w:r w:rsidR="00106354">
        <w:t xml:space="preserve">and NGO </w:t>
      </w:r>
      <w:r w:rsidR="00A31CF9">
        <w:t>literature</w:t>
      </w:r>
      <w:r w:rsidR="00106354">
        <w:t xml:space="preserve"> have started to develop consum</w:t>
      </w:r>
      <w:r w:rsidR="00447266">
        <w:t>ption</w:t>
      </w:r>
      <w:r w:rsidR="00106354">
        <w:t xml:space="preserve"> accounts </w:t>
      </w:r>
      <w:r w:rsidR="00447266">
        <w:t>that in many cases substantially increase the footprint of urban areas by including upstream emissions</w:t>
      </w:r>
      <w:r w:rsidR="0026203C">
        <w:t xml:space="preserve"> (C40, </w:t>
      </w:r>
      <w:r w:rsidR="00F63327">
        <w:t>Millward-Hopkins et al 2018; ref; ref)</w:t>
      </w:r>
      <w:r w:rsidR="00A31CF9">
        <w:t>. Moran 2018</w:t>
      </w:r>
      <w:r w:rsidR="00F63327">
        <w:t>,</w:t>
      </w:r>
      <w:r w:rsidR="00A31CF9">
        <w:t xml:space="preserve"> for example</w:t>
      </w:r>
      <w:r w:rsidR="00F63327">
        <w:t>,</w:t>
      </w:r>
      <w:r w:rsidR="00A31CF9">
        <w:t xml:space="preserve"> suggests that </w:t>
      </w:r>
      <w:r w:rsidR="00461937">
        <w:t xml:space="preserve">the </w:t>
      </w:r>
      <w:r w:rsidR="00140A78">
        <w:t xml:space="preserve">world’s </w:t>
      </w:r>
      <w:r w:rsidR="00461937">
        <w:t xml:space="preserve">50 </w:t>
      </w:r>
      <w:r w:rsidR="00A31CF9">
        <w:t>largest cities</w:t>
      </w:r>
      <w:proofErr w:type="gramStart"/>
      <w:r w:rsidR="00A31CF9">
        <w:t>…</w:t>
      </w:r>
      <w:r w:rsidR="00461937">
        <w:t>(</w:t>
      </w:r>
      <w:proofErr w:type="gramEnd"/>
      <w:r w:rsidR="00461937">
        <w:t>Moran 2018).</w:t>
      </w:r>
    </w:p>
    <w:p w14:paraId="3961FEA8" w14:textId="77777777" w:rsidR="00125C37" w:rsidRDefault="00125C37" w:rsidP="00696C41">
      <w:pPr>
        <w:rPr>
          <w:b/>
        </w:rPr>
      </w:pPr>
    </w:p>
    <w:p w14:paraId="1AEE234C" w14:textId="6FEEDE63" w:rsidR="00FE5A03" w:rsidRDefault="00576B7E" w:rsidP="004B74D6">
      <w:r>
        <w:t xml:space="preserve">At the same time, a growing literature on urban climate action has been developing </w:t>
      </w:r>
      <w:r w:rsidR="00921C0E">
        <w:t>our</w:t>
      </w:r>
      <w:r>
        <w:t xml:space="preserve"> understanding of urban government</w:t>
      </w:r>
      <w:r w:rsidR="00921C0E">
        <w:t>’</w:t>
      </w:r>
      <w:r>
        <w:t xml:space="preserve">s relevance to addressing </w:t>
      </w:r>
      <w:r w:rsidR="00921C0E">
        <w:t xml:space="preserve">urban </w:t>
      </w:r>
      <w:r>
        <w:t>GHG emission</w:t>
      </w:r>
      <w:r w:rsidR="00A31CF9">
        <w:t>s</w:t>
      </w:r>
      <w:r w:rsidR="00E12BFB">
        <w:t xml:space="preserve">. </w:t>
      </w:r>
      <w:r w:rsidR="004B74D6">
        <w:t>In t</w:t>
      </w:r>
      <w:r w:rsidR="005805EE">
        <w:t>he</w:t>
      </w:r>
      <w:r w:rsidR="004B74D6">
        <w:t>se analysis’</w:t>
      </w:r>
      <w:r>
        <w:t xml:space="preserve"> </w:t>
      </w:r>
      <w:r w:rsidR="00CF55C7">
        <w:t xml:space="preserve">pioneering </w:t>
      </w:r>
      <w:r>
        <w:t>urban governments</w:t>
      </w:r>
      <w:r w:rsidR="00CF55C7">
        <w:t>’</w:t>
      </w:r>
      <w:r>
        <w:t xml:space="preserve"> </w:t>
      </w:r>
      <w:r w:rsidR="002718E7">
        <w:t>political dynamism</w:t>
      </w:r>
      <w:r w:rsidR="00E12BFB">
        <w:t>,</w:t>
      </w:r>
      <w:r w:rsidR="00365318">
        <w:t xml:space="preserve"> ability to infuse action with local motivations </w:t>
      </w:r>
      <w:r w:rsidR="00E12BFB">
        <w:t xml:space="preserve">and capacity to experiment </w:t>
      </w:r>
      <w:r w:rsidR="00CF55C7">
        <w:t xml:space="preserve">and </w:t>
      </w:r>
      <w:r w:rsidR="00E12BFB">
        <w:t xml:space="preserve">develop new practices and approaches </w:t>
      </w:r>
      <w:r>
        <w:t>are emphasised</w:t>
      </w:r>
      <w:r w:rsidR="00140A78">
        <w:t xml:space="preserve"> (</w:t>
      </w:r>
      <w:r w:rsidR="00921C0E">
        <w:t xml:space="preserve">ref </w:t>
      </w:r>
      <w:proofErr w:type="spellStart"/>
      <w:r w:rsidR="00921C0E">
        <w:t>ref</w:t>
      </w:r>
      <w:proofErr w:type="spellEnd"/>
      <w:r w:rsidR="00921C0E">
        <w:t xml:space="preserve"> </w:t>
      </w:r>
      <w:proofErr w:type="spellStart"/>
      <w:proofErr w:type="gramStart"/>
      <w:r w:rsidR="00921C0E">
        <w:t>ref</w:t>
      </w:r>
      <w:proofErr w:type="spellEnd"/>
      <w:r w:rsidR="00921C0E">
        <w:t xml:space="preserve"> </w:t>
      </w:r>
      <w:r w:rsidR="00140A78">
        <w:t>)</w:t>
      </w:r>
      <w:proofErr w:type="gramEnd"/>
      <w:r w:rsidR="002718E7">
        <w:t xml:space="preserve">. </w:t>
      </w:r>
      <w:r w:rsidR="00807711">
        <w:t xml:space="preserve">Networks </w:t>
      </w:r>
      <w:r w:rsidR="00C078F8">
        <w:t xml:space="preserve">between cities promote knowledge exchange, capacity support and encourage experimentation and leadership (Kern and </w:t>
      </w:r>
      <w:proofErr w:type="spellStart"/>
      <w:r w:rsidR="00C078F8">
        <w:t>Bulkeley</w:t>
      </w:r>
      <w:proofErr w:type="spellEnd"/>
      <w:r w:rsidR="00C078F8">
        <w:t xml:space="preserve"> 2009), providing means for horizontal </w:t>
      </w:r>
      <w:r w:rsidR="00FF4C52">
        <w:t>governance</w:t>
      </w:r>
      <w:r w:rsidR="008B11B0">
        <w:t xml:space="preserve"> between urban areas</w:t>
      </w:r>
      <w:r w:rsidR="00FF4C52">
        <w:t xml:space="preserve"> and </w:t>
      </w:r>
      <w:r w:rsidR="00461937">
        <w:t xml:space="preserve">vertical </w:t>
      </w:r>
      <w:r w:rsidR="00FF4C52">
        <w:t xml:space="preserve">coordination with national and international actors. In these ways </w:t>
      </w:r>
      <w:r w:rsidR="00807711">
        <w:t xml:space="preserve">polycentric </w:t>
      </w:r>
      <w:r w:rsidR="000E223F">
        <w:t>governance approaches at the local and urban levels are</w:t>
      </w:r>
      <w:r w:rsidR="00FF4C52">
        <w:t xml:space="preserve"> seen to</w:t>
      </w:r>
      <w:r w:rsidR="00807711">
        <w:t xml:space="preserve"> address and overcome ‘governance gaps’</w:t>
      </w:r>
      <w:r w:rsidR="00C078F8">
        <w:t xml:space="preserve"> </w:t>
      </w:r>
      <w:r w:rsidR="00807711">
        <w:t>(Abbott 2014)</w:t>
      </w:r>
      <w:r w:rsidR="00495504">
        <w:t xml:space="preserve"> and lead to opportunities for local </w:t>
      </w:r>
      <w:r w:rsidR="00D14623">
        <w:t>policy</w:t>
      </w:r>
      <w:r w:rsidR="00495504">
        <w:t xml:space="preserve"> to guide and </w:t>
      </w:r>
      <w:r w:rsidR="00461937">
        <w:t>deepen</w:t>
      </w:r>
      <w:r w:rsidR="00495504">
        <w:t xml:space="preserve"> international </w:t>
      </w:r>
      <w:r w:rsidR="00461937">
        <w:t>programs of action</w:t>
      </w:r>
      <w:r w:rsidR="00495504">
        <w:t xml:space="preserve"> (Hale and Roger 2014)</w:t>
      </w:r>
      <w:r w:rsidR="00527A03">
        <w:t>.</w:t>
      </w:r>
    </w:p>
    <w:p w14:paraId="303CFEA9" w14:textId="77777777" w:rsidR="00576B7E" w:rsidRDefault="00576B7E" w:rsidP="004B74D6"/>
    <w:p w14:paraId="2C98A2FB" w14:textId="546D38B3" w:rsidR="00CF55C7" w:rsidRDefault="00576B7E" w:rsidP="004B74D6">
      <w:r>
        <w:t xml:space="preserve">Analysis here </w:t>
      </w:r>
      <w:r w:rsidR="00A31CF9">
        <w:t xml:space="preserve">adds to </w:t>
      </w:r>
      <w:r w:rsidR="00527A03">
        <w:t>this</w:t>
      </w:r>
      <w:r w:rsidR="00A31CF9">
        <w:t xml:space="preserve"> literature by </w:t>
      </w:r>
      <w:r w:rsidR="00106354">
        <w:t xml:space="preserve">developing a structure for the </w:t>
      </w:r>
      <w:r w:rsidR="006A282C">
        <w:t>role</w:t>
      </w:r>
      <w:r w:rsidR="00106354">
        <w:t xml:space="preserve">s </w:t>
      </w:r>
      <w:r w:rsidR="00495504">
        <w:t>of urban policymakers</w:t>
      </w:r>
      <w:r w:rsidR="00DD5AE2">
        <w:t xml:space="preserve">, </w:t>
      </w:r>
      <w:r w:rsidR="00106354">
        <w:t xml:space="preserve">and </w:t>
      </w:r>
      <w:r w:rsidR="00DD5AE2">
        <w:t xml:space="preserve">by </w:t>
      </w:r>
      <w:r w:rsidR="00106354">
        <w:t xml:space="preserve">suggesting that urban governments are at the metaphorical centre of </w:t>
      </w:r>
      <w:r w:rsidR="006A282C">
        <w:t>an</w:t>
      </w:r>
      <w:r w:rsidR="00106354">
        <w:t xml:space="preserve"> urban governance landscape</w:t>
      </w:r>
      <w:r w:rsidR="006A282C">
        <w:t xml:space="preserve"> that is based discretely in an urban area, but </w:t>
      </w:r>
      <w:r w:rsidR="00CF55C7">
        <w:t xml:space="preserve">that </w:t>
      </w:r>
      <w:r w:rsidR="006A282C">
        <w:t>also extends horizontally to other urban spaces, and vertically to regional and national actors</w:t>
      </w:r>
      <w:r w:rsidR="00106354">
        <w:t>.</w:t>
      </w:r>
      <w:r w:rsidR="00206D33">
        <w:t xml:space="preserve"> </w:t>
      </w:r>
      <w:r w:rsidR="00CF55C7">
        <w:t xml:space="preserve">Urban governments in this context </w:t>
      </w:r>
      <w:r w:rsidR="00C90DDA">
        <w:t>have a critical role helping to establish the conditions for action</w:t>
      </w:r>
      <w:r w:rsidR="00963010">
        <w:t xml:space="preserve"> in urban </w:t>
      </w:r>
      <w:r w:rsidR="00140A78">
        <w:t>a</w:t>
      </w:r>
      <w:r w:rsidR="00963010">
        <w:t>reas</w:t>
      </w:r>
      <w:r w:rsidR="00140A78">
        <w:t xml:space="preserve"> with their largest impact </w:t>
      </w:r>
      <w:r w:rsidR="008B11B0">
        <w:t>potentially in helping to address non-financial barriers to action.</w:t>
      </w:r>
    </w:p>
    <w:p w14:paraId="53D01EC8" w14:textId="77777777" w:rsidR="008B11B0" w:rsidRDefault="008B11B0" w:rsidP="00C90DDA"/>
    <w:p w14:paraId="61D9CB68" w14:textId="1C75E13A" w:rsidR="00C90DDA" w:rsidRDefault="00C90DDA" w:rsidP="00C90DDA">
      <w:r>
        <w:t>Financial barriers, and specifically the returns on low carbon investment, have historically been at the centre of discussions around low carbon action. This can be seen in the major mechanisms of climate finance, including the</w:t>
      </w:r>
      <w:r w:rsidRPr="00725608">
        <w:t xml:space="preserve"> C</w:t>
      </w:r>
      <w:r>
        <w:t xml:space="preserve">lean </w:t>
      </w:r>
      <w:r w:rsidRPr="00725608">
        <w:t>D</w:t>
      </w:r>
      <w:r>
        <w:t xml:space="preserve">evelopment </w:t>
      </w:r>
      <w:r w:rsidRPr="00725608">
        <w:t>M</w:t>
      </w:r>
      <w:r>
        <w:t>echanism</w:t>
      </w:r>
      <w:r w:rsidRPr="00725608">
        <w:t>, Joint Implementation (JI),</w:t>
      </w:r>
      <w:r>
        <w:t xml:space="preserve"> and</w:t>
      </w:r>
      <w:r w:rsidRPr="00725608">
        <w:t xml:space="preserve"> International Emissions Trading (IET</w:t>
      </w:r>
      <w:r>
        <w:t xml:space="preserve">), designed under the Kyoto Protocol, and the EU Emissions Trading Scheme, all of which were developed with a focus on increasing returns for low carbon investments. This can also be seen in the continued consensus amongst economists that carbon pricing is fundamentally “indispensable” for addressing climate change (1: Stiglitz et al 2017; </w:t>
      </w:r>
      <w:proofErr w:type="spellStart"/>
      <w:r>
        <w:t>Tol</w:t>
      </w:r>
      <w:proofErr w:type="spellEnd"/>
      <w:r>
        <w:t xml:space="preserve"> et al 2018) and in key global institutions focus on carbon pricing and fossil fuel subsidies as critical barriers to low carbon action (OECD 2018b; IMF 2018*; IEA 2017*, NCE*; ODI*). </w:t>
      </w:r>
      <w:r w:rsidR="00963010">
        <w:t xml:space="preserve">To the extent that </w:t>
      </w:r>
      <w:r w:rsidR="005C560D">
        <w:t xml:space="preserve">non-financial barriers are considered by investment frameworks, </w:t>
      </w:r>
      <w:r w:rsidR="00F63327">
        <w:t xml:space="preserve">in </w:t>
      </w:r>
      <w:r w:rsidR="005C560D">
        <w:t>for example</w:t>
      </w:r>
      <w:r w:rsidR="00F63327">
        <w:t>,</w:t>
      </w:r>
      <w:r w:rsidR="005C560D">
        <w:t xml:space="preserve"> </w:t>
      </w:r>
      <w:r w:rsidR="005C560D" w:rsidRPr="005C560D">
        <w:t xml:space="preserve">the </w:t>
      </w:r>
      <w:r w:rsidR="005C560D" w:rsidRPr="005C560D">
        <w:rPr>
          <w:i/>
        </w:rPr>
        <w:t xml:space="preserve">Climate Investment Readiness Index </w:t>
      </w:r>
      <w:r w:rsidR="005C560D" w:rsidRPr="005C560D">
        <w:t>(World Bank)</w:t>
      </w:r>
      <w:r w:rsidR="005C560D" w:rsidRPr="005C560D">
        <w:rPr>
          <w:i/>
        </w:rPr>
        <w:t xml:space="preserve">, Readiness for Investment in Sustainable Energy </w:t>
      </w:r>
      <w:r w:rsidR="005C560D" w:rsidRPr="005C560D">
        <w:t>(World Bank</w:t>
      </w:r>
      <w:r w:rsidR="005C560D" w:rsidRPr="005C560D">
        <w:rPr>
          <w:i/>
        </w:rPr>
        <w:t>)</w:t>
      </w:r>
      <w:r w:rsidR="005C560D" w:rsidRPr="005C560D">
        <w:t>,</w:t>
      </w:r>
      <w:r w:rsidR="005C560D" w:rsidRPr="005C560D">
        <w:rPr>
          <w:i/>
        </w:rPr>
        <w:t xml:space="preserve"> Strategies to Scale-Up US Renewable Energy Investment </w:t>
      </w:r>
      <w:r w:rsidR="005C560D" w:rsidRPr="005C560D">
        <w:t>(ACORE) and</w:t>
      </w:r>
      <w:r w:rsidR="005C560D" w:rsidRPr="005C560D">
        <w:rPr>
          <w:i/>
        </w:rPr>
        <w:t xml:space="preserve"> </w:t>
      </w:r>
      <w:proofErr w:type="spellStart"/>
      <w:r w:rsidR="005C560D" w:rsidRPr="005C560D">
        <w:rPr>
          <w:i/>
        </w:rPr>
        <w:t>Catalyzing</w:t>
      </w:r>
      <w:proofErr w:type="spellEnd"/>
      <w:r w:rsidR="005C560D" w:rsidRPr="005C560D">
        <w:rPr>
          <w:i/>
        </w:rPr>
        <w:t xml:space="preserve"> </w:t>
      </w:r>
      <w:r w:rsidR="005C560D" w:rsidRPr="005C560D">
        <w:rPr>
          <w:i/>
        </w:rPr>
        <w:lastRenderedPageBreak/>
        <w:t xml:space="preserve">Climate Finance </w:t>
      </w:r>
      <w:r w:rsidR="005C560D" w:rsidRPr="005C560D">
        <w:t>(UNDP),</w:t>
      </w:r>
      <w:r w:rsidR="005C560D">
        <w:t xml:space="preserve"> a focus has been placed on regional and national policymakers over urban and other non-state actors. </w:t>
      </w:r>
    </w:p>
    <w:p w14:paraId="7B5D33A3" w14:textId="77777777" w:rsidR="00C90DDA" w:rsidRDefault="00C90DDA" w:rsidP="00C90DDA"/>
    <w:p w14:paraId="4192F2C5" w14:textId="41A08FDD" w:rsidR="00C90DDA" w:rsidRDefault="00C90DDA" w:rsidP="00C90DDA">
      <w:r>
        <w:t>Here, the very existence of an unrealised financial case for action in each case study raises question</w:t>
      </w:r>
      <w:r w:rsidR="008B11B0">
        <w:t>s</w:t>
      </w:r>
      <w:r>
        <w:t xml:space="preserve"> </w:t>
      </w:r>
      <w:r w:rsidR="008B11B0">
        <w:t xml:space="preserve">around the extent of </w:t>
      </w:r>
      <w:r>
        <w:t>non-financial barriers a</w:t>
      </w:r>
      <w:r w:rsidR="008B11B0">
        <w:t>nd whether they are</w:t>
      </w:r>
      <w:r>
        <w:t xml:space="preserve"> receiving enough attention</w:t>
      </w:r>
      <w:r w:rsidR="005C560D">
        <w:t>. I</w:t>
      </w:r>
      <w:r>
        <w:t xml:space="preserve">n addition, the important role urban governments can play addressing non-financial barriers </w:t>
      </w:r>
      <w:r w:rsidR="005C560D">
        <w:t xml:space="preserve">is </w:t>
      </w:r>
      <w:r>
        <w:t>illustrated in the categorisation of places for urban policymaking</w:t>
      </w:r>
      <w:r w:rsidR="008B11B0">
        <w:t xml:space="preserve"> </w:t>
      </w:r>
      <w:r w:rsidR="00F63327">
        <w:t>(</w:t>
      </w:r>
      <w:proofErr w:type="gramStart"/>
      <w:r w:rsidR="00F63327">
        <w:t>figure  4</w:t>
      </w:r>
      <w:proofErr w:type="gramEnd"/>
      <w:r w:rsidR="00F63327">
        <w:t xml:space="preserve">) </w:t>
      </w:r>
      <w:r w:rsidR="008B11B0">
        <w:t>and in the examples from the case studies.</w:t>
      </w:r>
    </w:p>
    <w:p w14:paraId="39E68132" w14:textId="4C261372" w:rsidR="00CF55C7" w:rsidRDefault="00CF55C7" w:rsidP="004B74D6"/>
    <w:p w14:paraId="5A210F14" w14:textId="3646A04E" w:rsidR="00B82ED3" w:rsidRDefault="005C560D" w:rsidP="004B74D6">
      <w:r>
        <w:t xml:space="preserve">At the same time as underlining </w:t>
      </w:r>
      <w:r w:rsidR="008B11B0">
        <w:t>urban policymaker</w:t>
      </w:r>
      <w:r w:rsidR="00921C0E">
        <w:t>’</w:t>
      </w:r>
      <w:r w:rsidR="008B11B0">
        <w:t>s broad relevance to urban climate actio</w:t>
      </w:r>
      <w:r w:rsidR="00F63327">
        <w:t>n,</w:t>
      </w:r>
      <w:r w:rsidR="008B11B0">
        <w:t xml:space="preserve"> aspects of this analysis also </w:t>
      </w:r>
      <w:r w:rsidR="00CF55C7">
        <w:t>align with a more limited perspective on the ability of urban policymakers to lead climate action (</w:t>
      </w:r>
      <w:proofErr w:type="spellStart"/>
      <w:r w:rsidR="008B11B0">
        <w:t>c.f</w:t>
      </w:r>
      <w:proofErr w:type="spellEnd"/>
      <w:r w:rsidR="008B11B0">
        <w:t xml:space="preserve"> </w:t>
      </w:r>
      <w:proofErr w:type="spellStart"/>
      <w:r w:rsidR="00CF55C7">
        <w:t>Bulkeley</w:t>
      </w:r>
      <w:proofErr w:type="spellEnd"/>
      <w:r w:rsidR="00CF55C7">
        <w:t xml:space="preserve"> et al 2014; Hale and </w:t>
      </w:r>
      <w:proofErr w:type="spellStart"/>
      <w:r w:rsidR="00CF55C7">
        <w:t>Riogers</w:t>
      </w:r>
      <w:proofErr w:type="spellEnd"/>
      <w:r w:rsidR="00CF55C7">
        <w:t xml:space="preserve"> 2014; Hickman 2016; Hickman 2017; </w:t>
      </w:r>
      <w:proofErr w:type="spellStart"/>
      <w:r w:rsidR="00CF55C7">
        <w:t>Schreurs</w:t>
      </w:r>
      <w:proofErr w:type="spellEnd"/>
      <w:r w:rsidR="00CF55C7">
        <w:t xml:space="preserve"> 2008). Insofar as urban areas are widely relevant</w:t>
      </w:r>
      <w:r w:rsidR="00F63327">
        <w:t xml:space="preserve"> to action</w:t>
      </w:r>
      <w:r w:rsidR="00CF55C7">
        <w:t xml:space="preserve">, they </w:t>
      </w:r>
      <w:r w:rsidR="00F63327">
        <w:t xml:space="preserve">are seen to typically </w:t>
      </w:r>
      <w:r w:rsidR="00CF55C7">
        <w:t xml:space="preserve">play an intermediary </w:t>
      </w:r>
      <w:r w:rsidR="00F63327">
        <w:t xml:space="preserve">and indirect </w:t>
      </w:r>
      <w:r w:rsidR="00CF55C7">
        <w:t>role</w:t>
      </w:r>
      <w:r w:rsidR="00F63327">
        <w:t>, and to</w:t>
      </w:r>
      <w:r w:rsidR="00206D33">
        <w:t xml:space="preserve"> depend on </w:t>
      </w:r>
      <w:r w:rsidR="00CF55C7">
        <w:t xml:space="preserve">a wider </w:t>
      </w:r>
      <w:r w:rsidR="00206D33">
        <w:t xml:space="preserve">ecosystem of actors taking </w:t>
      </w:r>
      <w:r w:rsidR="00CF55C7">
        <w:t xml:space="preserve">on </w:t>
      </w:r>
      <w:r w:rsidR="00206D33">
        <w:t>responsibilit</w:t>
      </w:r>
      <w:r w:rsidR="00CF55C7">
        <w:t>ies.</w:t>
      </w:r>
      <w:r w:rsidR="00B82ED3">
        <w:t xml:space="preserve"> </w:t>
      </w:r>
    </w:p>
    <w:p w14:paraId="2666E11D" w14:textId="77777777" w:rsidR="00B82ED3" w:rsidRDefault="00B82ED3" w:rsidP="004B74D6"/>
    <w:p w14:paraId="6821261A" w14:textId="77777777" w:rsidR="00F63327" w:rsidRDefault="00DD5AE2" w:rsidP="004B74D6">
      <w:r>
        <w:t>In contrast with national actors or local actors, such as businesses and households, urban policymakers have few opportunities to unilaterally</w:t>
      </w:r>
      <w:r w:rsidR="00EC6039">
        <w:t xml:space="preserve"> and directly</w:t>
      </w:r>
      <w:r>
        <w:t xml:space="preserve"> affect emissions relative to the scale of their carbon footprint. </w:t>
      </w:r>
      <w:r w:rsidR="00447266">
        <w:t>N</w:t>
      </w:r>
      <w:r>
        <w:t xml:space="preserve">ational governments, for example, </w:t>
      </w:r>
      <w:r w:rsidR="00447266">
        <w:t xml:space="preserve">typically </w:t>
      </w:r>
      <w:r>
        <w:t xml:space="preserve">have vastly more power over ‘technical’ inventions such as tax policies or investment programs while </w:t>
      </w:r>
      <w:r w:rsidR="00967930">
        <w:t>behavioural</w:t>
      </w:r>
      <w:r>
        <w:t xml:space="preserve"> interventions </w:t>
      </w:r>
      <w:r w:rsidR="00967930">
        <w:t xml:space="preserve">and lifestyle change </w:t>
      </w:r>
      <w:r w:rsidR="00447266">
        <w:t>are more likely to</w:t>
      </w:r>
      <w:r w:rsidR="00967930">
        <w:t xml:space="preserve"> be implemented by households ().</w:t>
      </w:r>
      <w:r w:rsidR="00EC6039">
        <w:t xml:space="preserve"> </w:t>
      </w:r>
      <w:r w:rsidR="00C505A1">
        <w:t>I</w:t>
      </w:r>
      <w:r w:rsidR="00EC6039">
        <w:t xml:space="preserve">n many cases ‘critical agency’ continues to lie outside of urban spaces. </w:t>
      </w:r>
      <w:r w:rsidR="00611BF9">
        <w:t xml:space="preserve">Across a range of levers, especially those related to industrial practices, energy efficiency, tax policy, product standards and trade, </w:t>
      </w:r>
      <w:r w:rsidR="00C505A1">
        <w:t xml:space="preserve">while </w:t>
      </w:r>
      <w:r w:rsidR="0004083E">
        <w:t>urban governments have a degree of influence,</w:t>
      </w:r>
      <w:r w:rsidR="00611BF9">
        <w:t xml:space="preserve"> regional and national governments</w:t>
      </w:r>
      <w:r w:rsidR="00EC6039">
        <w:t xml:space="preserve"> continue to have key powers </w:t>
      </w:r>
      <w:r w:rsidR="00611BF9">
        <w:t xml:space="preserve">(SEI; Barrett?). </w:t>
      </w:r>
    </w:p>
    <w:p w14:paraId="032009BD" w14:textId="77777777" w:rsidR="00F63327" w:rsidRDefault="00F63327" w:rsidP="004B74D6"/>
    <w:p w14:paraId="5CBBBBD4" w14:textId="5ABF9766" w:rsidR="00576B7E" w:rsidRDefault="00611BF9" w:rsidP="004B74D6">
      <w:r>
        <w:t>Beyond</w:t>
      </w:r>
      <w:r w:rsidR="00CE5A73">
        <w:t xml:space="preserve"> legal and institutional design,</w:t>
      </w:r>
      <w:r>
        <w:t xml:space="preserve"> urban government’s intermediate</w:t>
      </w:r>
      <w:r w:rsidR="00EC6039">
        <w:t xml:space="preserve"> and indirect</w:t>
      </w:r>
      <w:r>
        <w:t xml:space="preserve"> </w:t>
      </w:r>
      <w:r w:rsidR="00C90903">
        <w:t xml:space="preserve">role </w:t>
      </w:r>
      <w:r>
        <w:t>in climate action</w:t>
      </w:r>
      <w:r w:rsidR="00CE5A73">
        <w:t xml:space="preserve"> also reflects the fundamental nature of urban </w:t>
      </w:r>
      <w:r>
        <w:t>spaces</w:t>
      </w:r>
      <w:r w:rsidR="00CE5A73">
        <w:t>: a</w:t>
      </w:r>
      <w:r w:rsidR="00967930">
        <w:t>s open systems</w:t>
      </w:r>
      <w:r w:rsidR="009668E5">
        <w:t>,</w:t>
      </w:r>
      <w:r w:rsidR="00967930">
        <w:t xml:space="preserve"> urban economies are </w:t>
      </w:r>
      <w:r w:rsidR="00495504">
        <w:t xml:space="preserve">at </w:t>
      </w:r>
      <w:r w:rsidR="00967930">
        <w:t>the end of some supply chains, the be</w:t>
      </w:r>
      <w:r w:rsidR="00461937">
        <w:t>gin</w:t>
      </w:r>
      <w:r w:rsidR="00C35ED2">
        <w:t>n</w:t>
      </w:r>
      <w:r w:rsidR="00967930">
        <w:t xml:space="preserve">ing of others and </w:t>
      </w:r>
      <w:r w:rsidR="002C402F">
        <w:t xml:space="preserve">somewhere in-between for countless </w:t>
      </w:r>
      <w:r w:rsidR="00CE5A73">
        <w:t>more</w:t>
      </w:r>
      <w:r w:rsidR="009668E5">
        <w:t>, leading to few cases where the set of actors and activities related to a set of emissions are discretely within the</w:t>
      </w:r>
      <w:r w:rsidR="00FD0245">
        <w:t>ir</w:t>
      </w:r>
      <w:r w:rsidR="009668E5">
        <w:t xml:space="preserve"> geographic </w:t>
      </w:r>
      <w:r w:rsidR="00461937">
        <w:t>(</w:t>
      </w:r>
      <w:r w:rsidR="009668E5">
        <w:t>and legal</w:t>
      </w:r>
      <w:r w:rsidR="00461937">
        <w:t>)</w:t>
      </w:r>
      <w:r w:rsidR="009668E5">
        <w:t xml:space="preserve"> boundaries</w:t>
      </w:r>
      <w:r w:rsidR="00FD0245">
        <w:t>.</w:t>
      </w:r>
      <w:r w:rsidR="00D140C6">
        <w:t xml:space="preserve"> While a majority of global energy use and emissions pass through, or take place, in urban areas, a tiny fraction are produced by urban governments or ‘consumed’ in the goods and services they provide their citizens.</w:t>
      </w:r>
    </w:p>
    <w:p w14:paraId="7BF16868" w14:textId="77777777" w:rsidR="00206D33" w:rsidRDefault="00206D33" w:rsidP="00611BF9"/>
    <w:p w14:paraId="10EAC115" w14:textId="5423612A" w:rsidR="00FD0245" w:rsidRDefault="00611BF9" w:rsidP="00611BF9">
      <w:r>
        <w:t>These considerations s</w:t>
      </w:r>
      <w:r w:rsidR="00FD0245">
        <w:t xml:space="preserve">uggest a need for caution as an increasing number of urban areas make bold commitments to action. </w:t>
      </w:r>
      <w:r w:rsidR="00206D33">
        <w:t xml:space="preserve">Commitments from urban areas to radically reduce emissions made without support from regional and national governments will </w:t>
      </w:r>
      <w:r w:rsidR="006A282C">
        <w:t xml:space="preserve">not only be challenging to achieve, but may inadvertently shift responsibility away from actors whose unique powers </w:t>
      </w:r>
      <w:r w:rsidR="00EC6039">
        <w:t>are critical for action</w:t>
      </w:r>
      <w:r w:rsidR="006A282C">
        <w:t>. Moreover,</w:t>
      </w:r>
      <w:r w:rsidR="00EC6039">
        <w:t xml:space="preserve"> by establishing aggressive targets based on </w:t>
      </w:r>
      <w:r w:rsidR="00674556">
        <w:t xml:space="preserve">local </w:t>
      </w:r>
      <w:r w:rsidR="00EC6039">
        <w:t xml:space="preserve">accounts (territorial, consumption or combinations of these), urban governments may focus on the specific places </w:t>
      </w:r>
      <w:r w:rsidR="00674556">
        <w:t xml:space="preserve">where </w:t>
      </w:r>
      <w:r w:rsidR="00EC6039">
        <w:t xml:space="preserve">they have agency </w:t>
      </w:r>
      <w:r w:rsidR="00E12BFB">
        <w:t>with</w:t>
      </w:r>
      <w:r w:rsidR="00EC6039">
        <w:t>in their own jurisdictions</w:t>
      </w:r>
      <w:r w:rsidR="00E12BFB">
        <w:t>,</w:t>
      </w:r>
      <w:r w:rsidR="00EC6039">
        <w:t xml:space="preserve"> at the cost of </w:t>
      </w:r>
      <w:r w:rsidR="00674556">
        <w:t>actions that may have a larger, though longer term and more dispersed, impact</w:t>
      </w:r>
      <w:r w:rsidR="00EC6039">
        <w:t>.</w:t>
      </w:r>
      <w:r w:rsidR="00620A1F">
        <w:t xml:space="preserve"> E</w:t>
      </w:r>
      <w:r w:rsidR="00EC6039">
        <w:t>vidence for this may be seen in urban</w:t>
      </w:r>
      <w:r w:rsidR="00674556">
        <w:t xml:space="preserve"> governments </w:t>
      </w:r>
      <w:r w:rsidR="00921C0E">
        <w:t xml:space="preserve">placing </w:t>
      </w:r>
      <w:r w:rsidR="00674556">
        <w:t>commitments to shift to low carbon vehicle fleets and to support energy efficiency</w:t>
      </w:r>
      <w:r w:rsidR="00C90DDA">
        <w:t xml:space="preserve"> in their own buildings at the centre of their climate action plans</w:t>
      </w:r>
      <w:r w:rsidR="00C505A1">
        <w:t>, efforts whose impact on the overall emissions of a</w:t>
      </w:r>
      <w:r w:rsidR="00C90DDA">
        <w:t>n urban area</w:t>
      </w:r>
      <w:r w:rsidR="00C505A1">
        <w:t xml:space="preserve"> are </w:t>
      </w:r>
      <w:r w:rsidR="00C90DDA">
        <w:t>frequently inconsequential</w:t>
      </w:r>
      <w:r w:rsidR="00F63327">
        <w:t xml:space="preserve"> in the context of their targets or the footprint of their cities</w:t>
      </w:r>
      <w:r w:rsidR="00C505A1">
        <w:t xml:space="preserve"> </w:t>
      </w:r>
      <w:r w:rsidR="000C60F7">
        <w:t>(CCCAP paper?).</w:t>
      </w:r>
      <w:r w:rsidR="006A282C">
        <w:t xml:space="preserve">   </w:t>
      </w:r>
    </w:p>
    <w:p w14:paraId="372308B9" w14:textId="776AF181" w:rsidR="00FD0245" w:rsidRDefault="00FD0245" w:rsidP="00611BF9"/>
    <w:p w14:paraId="5CBFDA92" w14:textId="473104DB" w:rsidR="00C90DDA" w:rsidRDefault="00C90DDA" w:rsidP="00611BF9"/>
    <w:p w14:paraId="3E941C07" w14:textId="77777777" w:rsidR="00C90DDA" w:rsidRDefault="00C90DDA" w:rsidP="00611BF9"/>
    <w:p w14:paraId="09381F21" w14:textId="490EE923" w:rsidR="00106354" w:rsidRDefault="00106354" w:rsidP="004B74D6"/>
    <w:p w14:paraId="571D3120" w14:textId="4798202E" w:rsidR="00495504" w:rsidRDefault="00495504" w:rsidP="00495504">
      <w:r>
        <w:t>The relative focus between barriers to action (financia</w:t>
      </w:r>
      <w:r w:rsidR="00B44739">
        <w:t xml:space="preserve">l </w:t>
      </w:r>
      <w:r w:rsidR="00FF6CFE">
        <w:t>versus</w:t>
      </w:r>
      <w:r>
        <w:t xml:space="preserve"> non-financial) and between </w:t>
      </w:r>
      <w:r w:rsidR="00F63327">
        <w:t>types</w:t>
      </w:r>
      <w:r>
        <w:t xml:space="preserve"> of action (</w:t>
      </w:r>
      <w:r w:rsidR="00B44739">
        <w:t>direct</w:t>
      </w:r>
      <w:r w:rsidR="00F63327">
        <w:t xml:space="preserve"> action</w:t>
      </w:r>
      <w:r w:rsidR="00B44739">
        <w:t xml:space="preserve"> </w:t>
      </w:r>
      <w:r w:rsidR="00F63327">
        <w:t>versus</w:t>
      </w:r>
      <w:r w:rsidR="00B44739">
        <w:t xml:space="preserve"> </w:t>
      </w:r>
      <w:r w:rsidR="00F63327">
        <w:t xml:space="preserve">indirect </w:t>
      </w:r>
      <w:r w:rsidR="00B44739">
        <w:t>act</w:t>
      </w:r>
      <w:r w:rsidR="00F63327">
        <w:t>ion</w:t>
      </w:r>
      <w:r>
        <w:t>) ha</w:t>
      </w:r>
      <w:r w:rsidR="00B44739">
        <w:t>ve</w:t>
      </w:r>
      <w:r>
        <w:t xml:space="preserve"> significant consequences. Alternative policy approaches compete, not only for financial resources and technical capacities, but public acceptance and space on the political agenda </w:t>
      </w:r>
      <w:r w:rsidRPr="00F7240F">
        <w:t>(</w:t>
      </w:r>
      <w:proofErr w:type="spellStart"/>
      <w:r w:rsidRPr="00F7240F">
        <w:t>Weible</w:t>
      </w:r>
      <w:proofErr w:type="spellEnd"/>
      <w:r w:rsidRPr="00F7240F">
        <w:t xml:space="preserve"> and Jenkins-Smith 2016</w:t>
      </w:r>
      <w:r>
        <w:t xml:space="preserve">; </w:t>
      </w:r>
      <w:proofErr w:type="spellStart"/>
      <w:r w:rsidRPr="00027F93">
        <w:t>Howlett</w:t>
      </w:r>
      <w:proofErr w:type="spellEnd"/>
      <w:r w:rsidRPr="00027F93">
        <w:t xml:space="preserve"> et al. 2016</w:t>
      </w:r>
      <w:r>
        <w:t xml:space="preserve">; Sabatier 1988). In a contested political environment – as is frequently the case around both urban and climate change issues – the opportunity for comprehensive policy approaches can be limited, and the incentive for narrowly defined policies </w:t>
      </w:r>
      <w:r w:rsidR="00427943">
        <w:t xml:space="preserve">to be </w:t>
      </w:r>
      <w:r>
        <w:t xml:space="preserve">framed as ‘solutions’, such carbon taxes </w:t>
      </w:r>
      <w:r w:rsidR="001341BB">
        <w:t xml:space="preserve">or </w:t>
      </w:r>
      <w:r w:rsidR="00427943">
        <w:t>the conversion of a municipal bus fleet</w:t>
      </w:r>
      <w:r>
        <w:t xml:space="preserve">, can be high. </w:t>
      </w:r>
      <w:r w:rsidR="00427943">
        <w:t xml:space="preserve">As a consequence, urban areas may find themselves taking approaches that </w:t>
      </w:r>
      <w:r>
        <w:t>that leads to only ‘mild’ decarbonisation (</w:t>
      </w:r>
      <w:proofErr w:type="spellStart"/>
      <w:r>
        <w:t>Gouldson</w:t>
      </w:r>
      <w:proofErr w:type="spellEnd"/>
      <w:r>
        <w:t xml:space="preserve"> 2015), and to missed opportunities for low and negative net cost options (</w:t>
      </w:r>
      <w:proofErr w:type="spellStart"/>
      <w:r>
        <w:t>Sudmant</w:t>
      </w:r>
      <w:proofErr w:type="spellEnd"/>
      <w:r>
        <w:t xml:space="preserve"> 2016). Or more concerning, focus on </w:t>
      </w:r>
      <w:r w:rsidR="001341BB">
        <w:t>the wrong approaches</w:t>
      </w:r>
      <w:r>
        <w:t xml:space="preserve"> may lead to actions that lead to structural and institutional carbon lock-in (Grubb 2014). In other words, a </w:t>
      </w:r>
      <w:r w:rsidR="00921C0E">
        <w:t>focus on the wrong approaches by urban governments</w:t>
      </w:r>
      <w:r>
        <w:t xml:space="preserve"> may prevent us from addressing the deeper structural issues tying our economies and societies to fossil fuels.</w:t>
      </w:r>
    </w:p>
    <w:p w14:paraId="14BF35E7" w14:textId="0683A4FB" w:rsidR="005805EE" w:rsidRDefault="005805EE" w:rsidP="00EB7847"/>
    <w:p w14:paraId="0EE141B2" w14:textId="37AEC8F2" w:rsidR="00EB7847" w:rsidRPr="000D2261" w:rsidRDefault="00EB7847" w:rsidP="000D2261">
      <w:pPr>
        <w:rPr>
          <w:b/>
        </w:rPr>
      </w:pPr>
      <w:r w:rsidRPr="000D2261">
        <w:rPr>
          <w:b/>
        </w:rPr>
        <w:t>Conclusion</w:t>
      </w:r>
    </w:p>
    <w:p w14:paraId="60DB755F" w14:textId="29D9622D" w:rsidR="00D26AB5" w:rsidRDefault="00D26AB5"/>
    <w:p w14:paraId="1398271A" w14:textId="7AC7ED80" w:rsidR="00FF6CFE" w:rsidRDefault="00FF6CFE">
      <w:r>
        <w:t xml:space="preserve">As climate action is increasingly decentralised - progressing from local initiatives and bottom-up processes </w:t>
      </w:r>
      <w:bookmarkStart w:id="0" w:name="_GoBack"/>
      <w:bookmarkEnd w:id="0"/>
      <w:r>
        <w:t xml:space="preserve">– and action is increasingly led by new and innovative form of governance, urban </w:t>
      </w:r>
      <w:r w:rsidR="00C7366C">
        <w:t xml:space="preserve">policymaker’s </w:t>
      </w:r>
      <w:r>
        <w:t xml:space="preserve">relevance to </w:t>
      </w:r>
      <w:r w:rsidR="00921C0E">
        <w:t>climate action may only be increasingly. Assuming that urban area’s relevance to climate action should translate into responsibility for action, however, may</w:t>
      </w:r>
      <w:r w:rsidR="00C7366C">
        <w:t xml:space="preserve"> prevent urban governments from maximising their impact. Rather than leading action, urban areas </w:t>
      </w:r>
    </w:p>
    <w:p w14:paraId="367C2CBE" w14:textId="77777777" w:rsidR="00FF6CFE" w:rsidRDefault="00FF6CFE"/>
    <w:p w14:paraId="1566EF5B" w14:textId="77777777" w:rsidR="00AC4269" w:rsidRDefault="00AC4269"/>
    <w:p w14:paraId="0591A7FC" w14:textId="77777777" w:rsidR="002A1FCE" w:rsidRPr="002A1FCE" w:rsidRDefault="002A1FCE"/>
    <w:p w14:paraId="6708DA78" w14:textId="77777777" w:rsidR="008901CA" w:rsidRPr="005016D7" w:rsidRDefault="008901CA"/>
    <w:p w14:paraId="59B21A50" w14:textId="77777777" w:rsidR="008901CA" w:rsidRDefault="008901CA"/>
    <w:p w14:paraId="28102D8C" w14:textId="77777777" w:rsidR="00D46BB2" w:rsidRDefault="00D46BB2"/>
    <w:p w14:paraId="0FB01234" w14:textId="77777777" w:rsidR="00D46BB2" w:rsidRDefault="00D46BB2"/>
    <w:p w14:paraId="5B4111F6" w14:textId="77777777" w:rsidR="009A5F11" w:rsidRDefault="009A5F11"/>
    <w:p w14:paraId="0AF78E23" w14:textId="77777777" w:rsidR="00A5317E" w:rsidRDefault="00A5317E"/>
    <w:p w14:paraId="561488A4" w14:textId="77777777" w:rsidR="00A5317E" w:rsidRDefault="00A5317E"/>
    <w:p w14:paraId="6CCAD0B2" w14:textId="77777777" w:rsidR="00A5317E" w:rsidRDefault="00A5317E"/>
    <w:p w14:paraId="3BB523B1" w14:textId="77777777" w:rsidR="00A5317E" w:rsidRDefault="00A5317E"/>
    <w:p w14:paraId="2F270DDA" w14:textId="77777777" w:rsidR="00A5317E" w:rsidRDefault="00A5317E"/>
    <w:p w14:paraId="084B21CA" w14:textId="77777777" w:rsidR="00A5317E" w:rsidRDefault="00A5317E"/>
    <w:p w14:paraId="455C01B2" w14:textId="77777777" w:rsidR="00A5317E" w:rsidRDefault="00A5317E"/>
    <w:p w14:paraId="70B70D29" w14:textId="77777777" w:rsidR="00D46BB2" w:rsidRDefault="00D46BB2"/>
    <w:p w14:paraId="3980C78B" w14:textId="77777777" w:rsidR="00D46BB2" w:rsidRDefault="00D46BB2"/>
    <w:p w14:paraId="6F8B6E2C" w14:textId="77777777" w:rsidR="005C6D5E" w:rsidRPr="005016D7" w:rsidRDefault="005C6D5E"/>
    <w:sectPr w:rsidR="005C6D5E" w:rsidRPr="005016D7" w:rsidSect="003313F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370F4" w14:textId="77777777" w:rsidR="008B0B87" w:rsidRDefault="008B0B87" w:rsidP="003C2E8F">
      <w:r>
        <w:separator/>
      </w:r>
    </w:p>
  </w:endnote>
  <w:endnote w:type="continuationSeparator" w:id="0">
    <w:p w14:paraId="6BF7001E" w14:textId="77777777" w:rsidR="008B0B87" w:rsidRDefault="008B0B87" w:rsidP="003C2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05A44" w14:textId="77777777" w:rsidR="008B0B87" w:rsidRDefault="008B0B87" w:rsidP="003C2E8F">
      <w:r>
        <w:separator/>
      </w:r>
    </w:p>
  </w:footnote>
  <w:footnote w:type="continuationSeparator" w:id="0">
    <w:p w14:paraId="08BFCE2B" w14:textId="77777777" w:rsidR="008B0B87" w:rsidRDefault="008B0B87" w:rsidP="003C2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D2A48"/>
    <w:multiLevelType w:val="multilevel"/>
    <w:tmpl w:val="74BE40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42A3471"/>
    <w:multiLevelType w:val="hybridMultilevel"/>
    <w:tmpl w:val="D614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5F3F0E"/>
    <w:multiLevelType w:val="hybridMultilevel"/>
    <w:tmpl w:val="7892F12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26017"/>
    <w:multiLevelType w:val="hybridMultilevel"/>
    <w:tmpl w:val="6C5C7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C5659"/>
    <w:multiLevelType w:val="hybridMultilevel"/>
    <w:tmpl w:val="E0DAC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E5E0A"/>
    <w:multiLevelType w:val="hybridMultilevel"/>
    <w:tmpl w:val="83D6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321274"/>
    <w:multiLevelType w:val="hybridMultilevel"/>
    <w:tmpl w:val="A426B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1CA"/>
    <w:rsid w:val="0000390C"/>
    <w:rsid w:val="00010DE3"/>
    <w:rsid w:val="00012EB4"/>
    <w:rsid w:val="00013192"/>
    <w:rsid w:val="0002331E"/>
    <w:rsid w:val="00027F93"/>
    <w:rsid w:val="00036C98"/>
    <w:rsid w:val="0004083E"/>
    <w:rsid w:val="00045344"/>
    <w:rsid w:val="00045BEB"/>
    <w:rsid w:val="000468AC"/>
    <w:rsid w:val="00055A0B"/>
    <w:rsid w:val="000605D7"/>
    <w:rsid w:val="00061009"/>
    <w:rsid w:val="0006454A"/>
    <w:rsid w:val="000671D3"/>
    <w:rsid w:val="0007569A"/>
    <w:rsid w:val="00075D3E"/>
    <w:rsid w:val="00081870"/>
    <w:rsid w:val="00081919"/>
    <w:rsid w:val="00082E8D"/>
    <w:rsid w:val="00084F8B"/>
    <w:rsid w:val="00085764"/>
    <w:rsid w:val="000862CA"/>
    <w:rsid w:val="00090E66"/>
    <w:rsid w:val="000911BA"/>
    <w:rsid w:val="00092459"/>
    <w:rsid w:val="000924A7"/>
    <w:rsid w:val="000926BB"/>
    <w:rsid w:val="00093F9E"/>
    <w:rsid w:val="000957E7"/>
    <w:rsid w:val="000959AA"/>
    <w:rsid w:val="00096CC7"/>
    <w:rsid w:val="000A17AB"/>
    <w:rsid w:val="000A398E"/>
    <w:rsid w:val="000A41CF"/>
    <w:rsid w:val="000A62F1"/>
    <w:rsid w:val="000A6488"/>
    <w:rsid w:val="000A6656"/>
    <w:rsid w:val="000B0D88"/>
    <w:rsid w:val="000B33BF"/>
    <w:rsid w:val="000B3955"/>
    <w:rsid w:val="000B62C5"/>
    <w:rsid w:val="000B797D"/>
    <w:rsid w:val="000C60F7"/>
    <w:rsid w:val="000C6760"/>
    <w:rsid w:val="000D1736"/>
    <w:rsid w:val="000D1E82"/>
    <w:rsid w:val="000D2261"/>
    <w:rsid w:val="000D4B7B"/>
    <w:rsid w:val="000E19CE"/>
    <w:rsid w:val="000E223F"/>
    <w:rsid w:val="000F2D37"/>
    <w:rsid w:val="000F4833"/>
    <w:rsid w:val="0010011B"/>
    <w:rsid w:val="00105FA7"/>
    <w:rsid w:val="00106354"/>
    <w:rsid w:val="00107E48"/>
    <w:rsid w:val="00110B5B"/>
    <w:rsid w:val="00116896"/>
    <w:rsid w:val="00116C57"/>
    <w:rsid w:val="001212D6"/>
    <w:rsid w:val="00123F89"/>
    <w:rsid w:val="00125C37"/>
    <w:rsid w:val="001274F3"/>
    <w:rsid w:val="0012777C"/>
    <w:rsid w:val="0013089B"/>
    <w:rsid w:val="00132A8E"/>
    <w:rsid w:val="00132C17"/>
    <w:rsid w:val="001341BB"/>
    <w:rsid w:val="001352BC"/>
    <w:rsid w:val="00135319"/>
    <w:rsid w:val="00136267"/>
    <w:rsid w:val="00136462"/>
    <w:rsid w:val="00140A78"/>
    <w:rsid w:val="00147DCA"/>
    <w:rsid w:val="001534F4"/>
    <w:rsid w:val="00154C0C"/>
    <w:rsid w:val="00155C15"/>
    <w:rsid w:val="00156077"/>
    <w:rsid w:val="001656C7"/>
    <w:rsid w:val="001669BD"/>
    <w:rsid w:val="001671D5"/>
    <w:rsid w:val="00167756"/>
    <w:rsid w:val="0017047C"/>
    <w:rsid w:val="00172AA0"/>
    <w:rsid w:val="00173E8E"/>
    <w:rsid w:val="001744A9"/>
    <w:rsid w:val="00181D03"/>
    <w:rsid w:val="001842EC"/>
    <w:rsid w:val="00190B3D"/>
    <w:rsid w:val="0019321C"/>
    <w:rsid w:val="0019395A"/>
    <w:rsid w:val="00193C5E"/>
    <w:rsid w:val="00194DA4"/>
    <w:rsid w:val="001A0C64"/>
    <w:rsid w:val="001A14D5"/>
    <w:rsid w:val="001A17BE"/>
    <w:rsid w:val="001A3195"/>
    <w:rsid w:val="001A739C"/>
    <w:rsid w:val="001B29F5"/>
    <w:rsid w:val="001B52B8"/>
    <w:rsid w:val="001B5E76"/>
    <w:rsid w:val="001B5FA2"/>
    <w:rsid w:val="001B6B9A"/>
    <w:rsid w:val="001C2745"/>
    <w:rsid w:val="001C393F"/>
    <w:rsid w:val="001C6BF4"/>
    <w:rsid w:val="001D675F"/>
    <w:rsid w:val="001D6F42"/>
    <w:rsid w:val="001D7180"/>
    <w:rsid w:val="001D7897"/>
    <w:rsid w:val="001E0FAB"/>
    <w:rsid w:val="001E191D"/>
    <w:rsid w:val="001E5A75"/>
    <w:rsid w:val="001E6DD4"/>
    <w:rsid w:val="001E6EA4"/>
    <w:rsid w:val="001F2D25"/>
    <w:rsid w:val="001F4892"/>
    <w:rsid w:val="001F7D39"/>
    <w:rsid w:val="001F7F27"/>
    <w:rsid w:val="00200C0E"/>
    <w:rsid w:val="00203015"/>
    <w:rsid w:val="00206D33"/>
    <w:rsid w:val="00207247"/>
    <w:rsid w:val="00212B1A"/>
    <w:rsid w:val="00213D4E"/>
    <w:rsid w:val="002211DA"/>
    <w:rsid w:val="00225D40"/>
    <w:rsid w:val="0022737B"/>
    <w:rsid w:val="00227B7A"/>
    <w:rsid w:val="00231990"/>
    <w:rsid w:val="00232935"/>
    <w:rsid w:val="00234656"/>
    <w:rsid w:val="00236F4A"/>
    <w:rsid w:val="00241D97"/>
    <w:rsid w:val="002421A3"/>
    <w:rsid w:val="00250745"/>
    <w:rsid w:val="00252313"/>
    <w:rsid w:val="00254E09"/>
    <w:rsid w:val="0026203C"/>
    <w:rsid w:val="00263093"/>
    <w:rsid w:val="00265FB0"/>
    <w:rsid w:val="00266802"/>
    <w:rsid w:val="002677AB"/>
    <w:rsid w:val="00267E0B"/>
    <w:rsid w:val="002718E7"/>
    <w:rsid w:val="0027240A"/>
    <w:rsid w:val="00273F77"/>
    <w:rsid w:val="00274AFE"/>
    <w:rsid w:val="00276BA3"/>
    <w:rsid w:val="00280D3F"/>
    <w:rsid w:val="00280F34"/>
    <w:rsid w:val="00282D0A"/>
    <w:rsid w:val="00287C80"/>
    <w:rsid w:val="00292BF3"/>
    <w:rsid w:val="00293C99"/>
    <w:rsid w:val="002979B9"/>
    <w:rsid w:val="00297B4C"/>
    <w:rsid w:val="002A007F"/>
    <w:rsid w:val="002A00A5"/>
    <w:rsid w:val="002A1FCE"/>
    <w:rsid w:val="002A2074"/>
    <w:rsid w:val="002A4495"/>
    <w:rsid w:val="002B11CC"/>
    <w:rsid w:val="002B408D"/>
    <w:rsid w:val="002B4538"/>
    <w:rsid w:val="002B5E15"/>
    <w:rsid w:val="002C3212"/>
    <w:rsid w:val="002C402F"/>
    <w:rsid w:val="002D10F9"/>
    <w:rsid w:val="002D1437"/>
    <w:rsid w:val="002D1463"/>
    <w:rsid w:val="002D16C1"/>
    <w:rsid w:val="002D1701"/>
    <w:rsid w:val="002D1F20"/>
    <w:rsid w:val="002D426C"/>
    <w:rsid w:val="002D57F9"/>
    <w:rsid w:val="002E00F8"/>
    <w:rsid w:val="002E0687"/>
    <w:rsid w:val="002E2D98"/>
    <w:rsid w:val="002E49EB"/>
    <w:rsid w:val="002F0826"/>
    <w:rsid w:val="002F2856"/>
    <w:rsid w:val="002F430D"/>
    <w:rsid w:val="002F7639"/>
    <w:rsid w:val="003006AE"/>
    <w:rsid w:val="00302677"/>
    <w:rsid w:val="00302BCD"/>
    <w:rsid w:val="00304475"/>
    <w:rsid w:val="00304A70"/>
    <w:rsid w:val="00304FCA"/>
    <w:rsid w:val="00312F40"/>
    <w:rsid w:val="0031551C"/>
    <w:rsid w:val="00316908"/>
    <w:rsid w:val="00321672"/>
    <w:rsid w:val="00324CA7"/>
    <w:rsid w:val="00325818"/>
    <w:rsid w:val="003313F3"/>
    <w:rsid w:val="00333234"/>
    <w:rsid w:val="00334780"/>
    <w:rsid w:val="0033554F"/>
    <w:rsid w:val="00335A81"/>
    <w:rsid w:val="00340F17"/>
    <w:rsid w:val="00340F9F"/>
    <w:rsid w:val="0034539C"/>
    <w:rsid w:val="00346382"/>
    <w:rsid w:val="003473DB"/>
    <w:rsid w:val="003476F9"/>
    <w:rsid w:val="003525E9"/>
    <w:rsid w:val="00352FA0"/>
    <w:rsid w:val="00354E90"/>
    <w:rsid w:val="00361F83"/>
    <w:rsid w:val="00363C6F"/>
    <w:rsid w:val="00365318"/>
    <w:rsid w:val="00365C32"/>
    <w:rsid w:val="00375F0F"/>
    <w:rsid w:val="003853F7"/>
    <w:rsid w:val="00392BDB"/>
    <w:rsid w:val="00394C32"/>
    <w:rsid w:val="003B0147"/>
    <w:rsid w:val="003B019E"/>
    <w:rsid w:val="003B5431"/>
    <w:rsid w:val="003B64BD"/>
    <w:rsid w:val="003B7220"/>
    <w:rsid w:val="003C0960"/>
    <w:rsid w:val="003C2E8F"/>
    <w:rsid w:val="003C30F8"/>
    <w:rsid w:val="003C3106"/>
    <w:rsid w:val="003C4997"/>
    <w:rsid w:val="003C51B8"/>
    <w:rsid w:val="003C5A5B"/>
    <w:rsid w:val="003C5CA3"/>
    <w:rsid w:val="003C6606"/>
    <w:rsid w:val="003D4017"/>
    <w:rsid w:val="003E01DF"/>
    <w:rsid w:val="003E2EBD"/>
    <w:rsid w:val="003E3632"/>
    <w:rsid w:val="003E4BEA"/>
    <w:rsid w:val="003E7B9E"/>
    <w:rsid w:val="003F09FD"/>
    <w:rsid w:val="003F5753"/>
    <w:rsid w:val="003F633A"/>
    <w:rsid w:val="003F6A91"/>
    <w:rsid w:val="003F7C74"/>
    <w:rsid w:val="004026BC"/>
    <w:rsid w:val="00407EB1"/>
    <w:rsid w:val="0041559A"/>
    <w:rsid w:val="00420CD3"/>
    <w:rsid w:val="00420D06"/>
    <w:rsid w:val="00427943"/>
    <w:rsid w:val="00427BC2"/>
    <w:rsid w:val="00440943"/>
    <w:rsid w:val="00443686"/>
    <w:rsid w:val="00444791"/>
    <w:rsid w:val="00447266"/>
    <w:rsid w:val="00451807"/>
    <w:rsid w:val="00454794"/>
    <w:rsid w:val="00461937"/>
    <w:rsid w:val="004652DA"/>
    <w:rsid w:val="00466D48"/>
    <w:rsid w:val="004755BE"/>
    <w:rsid w:val="00477431"/>
    <w:rsid w:val="0048297D"/>
    <w:rsid w:val="00485C66"/>
    <w:rsid w:val="00486493"/>
    <w:rsid w:val="0048674F"/>
    <w:rsid w:val="004876C8"/>
    <w:rsid w:val="00493EC0"/>
    <w:rsid w:val="00495504"/>
    <w:rsid w:val="004A18CA"/>
    <w:rsid w:val="004A7D4B"/>
    <w:rsid w:val="004B009F"/>
    <w:rsid w:val="004B349F"/>
    <w:rsid w:val="004B5575"/>
    <w:rsid w:val="004B5E72"/>
    <w:rsid w:val="004B74D6"/>
    <w:rsid w:val="004C1540"/>
    <w:rsid w:val="004C1BB8"/>
    <w:rsid w:val="004C2F05"/>
    <w:rsid w:val="004C3699"/>
    <w:rsid w:val="004C54A9"/>
    <w:rsid w:val="004D056C"/>
    <w:rsid w:val="004D1851"/>
    <w:rsid w:val="004D1BC6"/>
    <w:rsid w:val="004D1CA8"/>
    <w:rsid w:val="004D20EA"/>
    <w:rsid w:val="004D36EF"/>
    <w:rsid w:val="004D41C1"/>
    <w:rsid w:val="004E488C"/>
    <w:rsid w:val="004F0770"/>
    <w:rsid w:val="005000C3"/>
    <w:rsid w:val="00500DFB"/>
    <w:rsid w:val="00500EB1"/>
    <w:rsid w:val="005016D7"/>
    <w:rsid w:val="00501722"/>
    <w:rsid w:val="00503F89"/>
    <w:rsid w:val="0050473F"/>
    <w:rsid w:val="00504C52"/>
    <w:rsid w:val="00505001"/>
    <w:rsid w:val="00505604"/>
    <w:rsid w:val="00505695"/>
    <w:rsid w:val="005060BF"/>
    <w:rsid w:val="00507209"/>
    <w:rsid w:val="00507785"/>
    <w:rsid w:val="00515400"/>
    <w:rsid w:val="00515910"/>
    <w:rsid w:val="00516AA6"/>
    <w:rsid w:val="005204FC"/>
    <w:rsid w:val="00521BC1"/>
    <w:rsid w:val="005233A4"/>
    <w:rsid w:val="00526A81"/>
    <w:rsid w:val="00527A03"/>
    <w:rsid w:val="00532664"/>
    <w:rsid w:val="005334DB"/>
    <w:rsid w:val="00543ED0"/>
    <w:rsid w:val="0054452B"/>
    <w:rsid w:val="00550F51"/>
    <w:rsid w:val="005576A6"/>
    <w:rsid w:val="005609B7"/>
    <w:rsid w:val="00571C48"/>
    <w:rsid w:val="00573391"/>
    <w:rsid w:val="00574928"/>
    <w:rsid w:val="00576B7E"/>
    <w:rsid w:val="005805EE"/>
    <w:rsid w:val="00590C1D"/>
    <w:rsid w:val="0059155C"/>
    <w:rsid w:val="00595F30"/>
    <w:rsid w:val="005A67A3"/>
    <w:rsid w:val="005A702D"/>
    <w:rsid w:val="005B18CF"/>
    <w:rsid w:val="005B1AE7"/>
    <w:rsid w:val="005B57A3"/>
    <w:rsid w:val="005B5E54"/>
    <w:rsid w:val="005B7A38"/>
    <w:rsid w:val="005C0876"/>
    <w:rsid w:val="005C1EA8"/>
    <w:rsid w:val="005C224B"/>
    <w:rsid w:val="005C560D"/>
    <w:rsid w:val="005C5BC4"/>
    <w:rsid w:val="005C6D5E"/>
    <w:rsid w:val="005D0240"/>
    <w:rsid w:val="005D27D4"/>
    <w:rsid w:val="005D3AD5"/>
    <w:rsid w:val="005D69E1"/>
    <w:rsid w:val="005D7807"/>
    <w:rsid w:val="005E6B8F"/>
    <w:rsid w:val="0060339B"/>
    <w:rsid w:val="00603476"/>
    <w:rsid w:val="00606B2A"/>
    <w:rsid w:val="00610553"/>
    <w:rsid w:val="00611BF9"/>
    <w:rsid w:val="00620A1F"/>
    <w:rsid w:val="00620BF0"/>
    <w:rsid w:val="00624719"/>
    <w:rsid w:val="00624F54"/>
    <w:rsid w:val="00630D34"/>
    <w:rsid w:val="006316D6"/>
    <w:rsid w:val="00632543"/>
    <w:rsid w:val="00632F3A"/>
    <w:rsid w:val="0064221B"/>
    <w:rsid w:val="0064428B"/>
    <w:rsid w:val="0064581D"/>
    <w:rsid w:val="006506B7"/>
    <w:rsid w:val="00650731"/>
    <w:rsid w:val="00652237"/>
    <w:rsid w:val="0065333C"/>
    <w:rsid w:val="00654676"/>
    <w:rsid w:val="00655C99"/>
    <w:rsid w:val="00657806"/>
    <w:rsid w:val="006607BC"/>
    <w:rsid w:val="00660923"/>
    <w:rsid w:val="006625DE"/>
    <w:rsid w:val="00663FBF"/>
    <w:rsid w:val="0066789F"/>
    <w:rsid w:val="00671209"/>
    <w:rsid w:val="00674234"/>
    <w:rsid w:val="00674556"/>
    <w:rsid w:val="00676B3D"/>
    <w:rsid w:val="00677D3A"/>
    <w:rsid w:val="00687B16"/>
    <w:rsid w:val="00687B73"/>
    <w:rsid w:val="00694CD7"/>
    <w:rsid w:val="00696C41"/>
    <w:rsid w:val="006A0D80"/>
    <w:rsid w:val="006A0FF7"/>
    <w:rsid w:val="006A282C"/>
    <w:rsid w:val="006A3460"/>
    <w:rsid w:val="006A36EE"/>
    <w:rsid w:val="006A36F8"/>
    <w:rsid w:val="006A4496"/>
    <w:rsid w:val="006A7B44"/>
    <w:rsid w:val="006B05E3"/>
    <w:rsid w:val="006B4F1A"/>
    <w:rsid w:val="006B6497"/>
    <w:rsid w:val="006C331B"/>
    <w:rsid w:val="006C4DC8"/>
    <w:rsid w:val="006C63AE"/>
    <w:rsid w:val="006D0413"/>
    <w:rsid w:val="006D153B"/>
    <w:rsid w:val="006D40EF"/>
    <w:rsid w:val="006D78A1"/>
    <w:rsid w:val="006E21A8"/>
    <w:rsid w:val="006E2F0F"/>
    <w:rsid w:val="006F1AEA"/>
    <w:rsid w:val="006F35CE"/>
    <w:rsid w:val="006F6BDA"/>
    <w:rsid w:val="007065AC"/>
    <w:rsid w:val="0071001D"/>
    <w:rsid w:val="007124D0"/>
    <w:rsid w:val="0071252A"/>
    <w:rsid w:val="00714C79"/>
    <w:rsid w:val="00716AB7"/>
    <w:rsid w:val="00721AED"/>
    <w:rsid w:val="00725608"/>
    <w:rsid w:val="007360E4"/>
    <w:rsid w:val="007419EF"/>
    <w:rsid w:val="00743CC6"/>
    <w:rsid w:val="00747327"/>
    <w:rsid w:val="00747C54"/>
    <w:rsid w:val="007506EC"/>
    <w:rsid w:val="0075325A"/>
    <w:rsid w:val="00755D75"/>
    <w:rsid w:val="007574AA"/>
    <w:rsid w:val="00757971"/>
    <w:rsid w:val="00763610"/>
    <w:rsid w:val="00764721"/>
    <w:rsid w:val="00773883"/>
    <w:rsid w:val="00775FC3"/>
    <w:rsid w:val="00776CE5"/>
    <w:rsid w:val="007871F5"/>
    <w:rsid w:val="00795A69"/>
    <w:rsid w:val="00796486"/>
    <w:rsid w:val="007A3E7A"/>
    <w:rsid w:val="007A7B37"/>
    <w:rsid w:val="007B26A5"/>
    <w:rsid w:val="007C3845"/>
    <w:rsid w:val="007D2889"/>
    <w:rsid w:val="007D2F1D"/>
    <w:rsid w:val="007D2F7B"/>
    <w:rsid w:val="007E2A0B"/>
    <w:rsid w:val="007E4AA7"/>
    <w:rsid w:val="007E6C37"/>
    <w:rsid w:val="007F39DE"/>
    <w:rsid w:val="007F68F7"/>
    <w:rsid w:val="00807711"/>
    <w:rsid w:val="00811139"/>
    <w:rsid w:val="00816794"/>
    <w:rsid w:val="00816ABC"/>
    <w:rsid w:val="00816F00"/>
    <w:rsid w:val="008209A3"/>
    <w:rsid w:val="008217B4"/>
    <w:rsid w:val="008279AD"/>
    <w:rsid w:val="00827F2D"/>
    <w:rsid w:val="00833D1F"/>
    <w:rsid w:val="0084023F"/>
    <w:rsid w:val="008450E0"/>
    <w:rsid w:val="0085272E"/>
    <w:rsid w:val="00853BE0"/>
    <w:rsid w:val="0085449B"/>
    <w:rsid w:val="00862F3D"/>
    <w:rsid w:val="008714DF"/>
    <w:rsid w:val="00871E32"/>
    <w:rsid w:val="00872A3B"/>
    <w:rsid w:val="00882ACD"/>
    <w:rsid w:val="00886B54"/>
    <w:rsid w:val="008901CA"/>
    <w:rsid w:val="0089198C"/>
    <w:rsid w:val="00894C98"/>
    <w:rsid w:val="00895B0A"/>
    <w:rsid w:val="00895EE0"/>
    <w:rsid w:val="008A2136"/>
    <w:rsid w:val="008A30ED"/>
    <w:rsid w:val="008A3792"/>
    <w:rsid w:val="008B0B87"/>
    <w:rsid w:val="008B11B0"/>
    <w:rsid w:val="008B6835"/>
    <w:rsid w:val="008C25D2"/>
    <w:rsid w:val="008C3780"/>
    <w:rsid w:val="008C483C"/>
    <w:rsid w:val="008D0FF2"/>
    <w:rsid w:val="008D4DFF"/>
    <w:rsid w:val="008D7094"/>
    <w:rsid w:val="008E4BEC"/>
    <w:rsid w:val="008E6BC0"/>
    <w:rsid w:val="008F6EC1"/>
    <w:rsid w:val="008F7F01"/>
    <w:rsid w:val="009045D9"/>
    <w:rsid w:val="00905F8C"/>
    <w:rsid w:val="0090608B"/>
    <w:rsid w:val="00912907"/>
    <w:rsid w:val="0091399F"/>
    <w:rsid w:val="009158BB"/>
    <w:rsid w:val="00920CAC"/>
    <w:rsid w:val="0092149F"/>
    <w:rsid w:val="00921505"/>
    <w:rsid w:val="00921C0E"/>
    <w:rsid w:val="0092633D"/>
    <w:rsid w:val="00936FDC"/>
    <w:rsid w:val="00943CEA"/>
    <w:rsid w:val="009445DD"/>
    <w:rsid w:val="0094532C"/>
    <w:rsid w:val="00945894"/>
    <w:rsid w:val="00951FE8"/>
    <w:rsid w:val="00963010"/>
    <w:rsid w:val="00964CE0"/>
    <w:rsid w:val="009668E5"/>
    <w:rsid w:val="00967228"/>
    <w:rsid w:val="00967930"/>
    <w:rsid w:val="00970BB0"/>
    <w:rsid w:val="00971C09"/>
    <w:rsid w:val="0097460D"/>
    <w:rsid w:val="00983FBD"/>
    <w:rsid w:val="00984B92"/>
    <w:rsid w:val="009853DC"/>
    <w:rsid w:val="00986485"/>
    <w:rsid w:val="00992FF6"/>
    <w:rsid w:val="00997817"/>
    <w:rsid w:val="009A5F11"/>
    <w:rsid w:val="009A6B96"/>
    <w:rsid w:val="009A7926"/>
    <w:rsid w:val="009B13A2"/>
    <w:rsid w:val="009B1A86"/>
    <w:rsid w:val="009B2806"/>
    <w:rsid w:val="009B57B3"/>
    <w:rsid w:val="009C0B58"/>
    <w:rsid w:val="009C2EA3"/>
    <w:rsid w:val="009C44BC"/>
    <w:rsid w:val="009C7177"/>
    <w:rsid w:val="009C7366"/>
    <w:rsid w:val="009D0A3A"/>
    <w:rsid w:val="009D1067"/>
    <w:rsid w:val="009D3688"/>
    <w:rsid w:val="009D46C7"/>
    <w:rsid w:val="009D640F"/>
    <w:rsid w:val="009E1226"/>
    <w:rsid w:val="009E2E39"/>
    <w:rsid w:val="009E6724"/>
    <w:rsid w:val="009E701B"/>
    <w:rsid w:val="009E7561"/>
    <w:rsid w:val="009F033B"/>
    <w:rsid w:val="009F24D9"/>
    <w:rsid w:val="009F5D4F"/>
    <w:rsid w:val="00A006E3"/>
    <w:rsid w:val="00A0189B"/>
    <w:rsid w:val="00A02BDA"/>
    <w:rsid w:val="00A16689"/>
    <w:rsid w:val="00A2407A"/>
    <w:rsid w:val="00A26519"/>
    <w:rsid w:val="00A30BF4"/>
    <w:rsid w:val="00A31CF9"/>
    <w:rsid w:val="00A34768"/>
    <w:rsid w:val="00A35348"/>
    <w:rsid w:val="00A40589"/>
    <w:rsid w:val="00A47C92"/>
    <w:rsid w:val="00A52AF5"/>
    <w:rsid w:val="00A5302A"/>
    <w:rsid w:val="00A5317E"/>
    <w:rsid w:val="00A5439B"/>
    <w:rsid w:val="00A60322"/>
    <w:rsid w:val="00A6187A"/>
    <w:rsid w:val="00A61905"/>
    <w:rsid w:val="00A66D7E"/>
    <w:rsid w:val="00A713E9"/>
    <w:rsid w:val="00A72E15"/>
    <w:rsid w:val="00A764A3"/>
    <w:rsid w:val="00A814E0"/>
    <w:rsid w:val="00A81CE2"/>
    <w:rsid w:val="00A84C8D"/>
    <w:rsid w:val="00A86EB9"/>
    <w:rsid w:val="00A9660B"/>
    <w:rsid w:val="00AA3EFD"/>
    <w:rsid w:val="00AB69B7"/>
    <w:rsid w:val="00AC4269"/>
    <w:rsid w:val="00AD752B"/>
    <w:rsid w:val="00AE1981"/>
    <w:rsid w:val="00AE4F43"/>
    <w:rsid w:val="00AF0366"/>
    <w:rsid w:val="00AF2537"/>
    <w:rsid w:val="00AF26FB"/>
    <w:rsid w:val="00B0567B"/>
    <w:rsid w:val="00B0676F"/>
    <w:rsid w:val="00B24465"/>
    <w:rsid w:val="00B25E95"/>
    <w:rsid w:val="00B32B9E"/>
    <w:rsid w:val="00B343CA"/>
    <w:rsid w:val="00B36C14"/>
    <w:rsid w:val="00B3760B"/>
    <w:rsid w:val="00B37B19"/>
    <w:rsid w:val="00B42C3C"/>
    <w:rsid w:val="00B44739"/>
    <w:rsid w:val="00B470B6"/>
    <w:rsid w:val="00B50C20"/>
    <w:rsid w:val="00B636E9"/>
    <w:rsid w:val="00B65333"/>
    <w:rsid w:val="00B7299A"/>
    <w:rsid w:val="00B741C6"/>
    <w:rsid w:val="00B76618"/>
    <w:rsid w:val="00B76A81"/>
    <w:rsid w:val="00B77941"/>
    <w:rsid w:val="00B82ED3"/>
    <w:rsid w:val="00B84FD0"/>
    <w:rsid w:val="00B875C9"/>
    <w:rsid w:val="00B90D35"/>
    <w:rsid w:val="00B91C4A"/>
    <w:rsid w:val="00B97613"/>
    <w:rsid w:val="00BA11D9"/>
    <w:rsid w:val="00BA2F3A"/>
    <w:rsid w:val="00BA39FD"/>
    <w:rsid w:val="00BB3F6F"/>
    <w:rsid w:val="00BB7BC1"/>
    <w:rsid w:val="00BC0B29"/>
    <w:rsid w:val="00BC19D0"/>
    <w:rsid w:val="00BC38A2"/>
    <w:rsid w:val="00BD2BEE"/>
    <w:rsid w:val="00BE2B57"/>
    <w:rsid w:val="00BE4299"/>
    <w:rsid w:val="00BE75ED"/>
    <w:rsid w:val="00BF200B"/>
    <w:rsid w:val="00BF3E62"/>
    <w:rsid w:val="00C078F8"/>
    <w:rsid w:val="00C156F3"/>
    <w:rsid w:val="00C207FB"/>
    <w:rsid w:val="00C222F7"/>
    <w:rsid w:val="00C27AD5"/>
    <w:rsid w:val="00C30030"/>
    <w:rsid w:val="00C32F16"/>
    <w:rsid w:val="00C35628"/>
    <w:rsid w:val="00C35ED2"/>
    <w:rsid w:val="00C40422"/>
    <w:rsid w:val="00C423A5"/>
    <w:rsid w:val="00C42696"/>
    <w:rsid w:val="00C4655A"/>
    <w:rsid w:val="00C46E32"/>
    <w:rsid w:val="00C505A1"/>
    <w:rsid w:val="00C5225C"/>
    <w:rsid w:val="00C52973"/>
    <w:rsid w:val="00C56935"/>
    <w:rsid w:val="00C57630"/>
    <w:rsid w:val="00C625FA"/>
    <w:rsid w:val="00C62640"/>
    <w:rsid w:val="00C651D3"/>
    <w:rsid w:val="00C652A7"/>
    <w:rsid w:val="00C7366C"/>
    <w:rsid w:val="00C7516A"/>
    <w:rsid w:val="00C90903"/>
    <w:rsid w:val="00C90DDA"/>
    <w:rsid w:val="00C9498D"/>
    <w:rsid w:val="00C95DF8"/>
    <w:rsid w:val="00CA271D"/>
    <w:rsid w:val="00CA2CB0"/>
    <w:rsid w:val="00CA3B6F"/>
    <w:rsid w:val="00CA478D"/>
    <w:rsid w:val="00CB3861"/>
    <w:rsid w:val="00CC39C9"/>
    <w:rsid w:val="00CC505A"/>
    <w:rsid w:val="00CC6EBA"/>
    <w:rsid w:val="00CD52AC"/>
    <w:rsid w:val="00CE20DA"/>
    <w:rsid w:val="00CE36D9"/>
    <w:rsid w:val="00CE49CB"/>
    <w:rsid w:val="00CE5A73"/>
    <w:rsid w:val="00CE6462"/>
    <w:rsid w:val="00CE7AE7"/>
    <w:rsid w:val="00CF55C7"/>
    <w:rsid w:val="00D038A7"/>
    <w:rsid w:val="00D046D5"/>
    <w:rsid w:val="00D0542F"/>
    <w:rsid w:val="00D0671A"/>
    <w:rsid w:val="00D128CB"/>
    <w:rsid w:val="00D140C6"/>
    <w:rsid w:val="00D14623"/>
    <w:rsid w:val="00D14BA3"/>
    <w:rsid w:val="00D208CD"/>
    <w:rsid w:val="00D20E22"/>
    <w:rsid w:val="00D212F1"/>
    <w:rsid w:val="00D22202"/>
    <w:rsid w:val="00D23AFD"/>
    <w:rsid w:val="00D26AB5"/>
    <w:rsid w:val="00D34C24"/>
    <w:rsid w:val="00D36298"/>
    <w:rsid w:val="00D37D5F"/>
    <w:rsid w:val="00D4018C"/>
    <w:rsid w:val="00D42234"/>
    <w:rsid w:val="00D436B4"/>
    <w:rsid w:val="00D43E84"/>
    <w:rsid w:val="00D46BB2"/>
    <w:rsid w:val="00D470F1"/>
    <w:rsid w:val="00D52D70"/>
    <w:rsid w:val="00D5535D"/>
    <w:rsid w:val="00D571F6"/>
    <w:rsid w:val="00D609FA"/>
    <w:rsid w:val="00D611B8"/>
    <w:rsid w:val="00D7152B"/>
    <w:rsid w:val="00D75801"/>
    <w:rsid w:val="00D853AF"/>
    <w:rsid w:val="00D93003"/>
    <w:rsid w:val="00D93D88"/>
    <w:rsid w:val="00D95F13"/>
    <w:rsid w:val="00D96699"/>
    <w:rsid w:val="00D97649"/>
    <w:rsid w:val="00D979CB"/>
    <w:rsid w:val="00DA3BDF"/>
    <w:rsid w:val="00DA48AC"/>
    <w:rsid w:val="00DA6E50"/>
    <w:rsid w:val="00DB3D01"/>
    <w:rsid w:val="00DC1957"/>
    <w:rsid w:val="00DC51C2"/>
    <w:rsid w:val="00DD2529"/>
    <w:rsid w:val="00DD4975"/>
    <w:rsid w:val="00DD5AE2"/>
    <w:rsid w:val="00DE4706"/>
    <w:rsid w:val="00DE5331"/>
    <w:rsid w:val="00DE768F"/>
    <w:rsid w:val="00DF4478"/>
    <w:rsid w:val="00DF4711"/>
    <w:rsid w:val="00DF544D"/>
    <w:rsid w:val="00DF63B6"/>
    <w:rsid w:val="00DF6715"/>
    <w:rsid w:val="00E010C1"/>
    <w:rsid w:val="00E11A17"/>
    <w:rsid w:val="00E12BFB"/>
    <w:rsid w:val="00E21CD0"/>
    <w:rsid w:val="00E2337B"/>
    <w:rsid w:val="00E234BA"/>
    <w:rsid w:val="00E23D21"/>
    <w:rsid w:val="00E259B0"/>
    <w:rsid w:val="00E400EE"/>
    <w:rsid w:val="00E410A0"/>
    <w:rsid w:val="00E55EF1"/>
    <w:rsid w:val="00E55F09"/>
    <w:rsid w:val="00E5744E"/>
    <w:rsid w:val="00E57F58"/>
    <w:rsid w:val="00E73E98"/>
    <w:rsid w:val="00E806A7"/>
    <w:rsid w:val="00E84A4D"/>
    <w:rsid w:val="00E86384"/>
    <w:rsid w:val="00E905B2"/>
    <w:rsid w:val="00E915D6"/>
    <w:rsid w:val="00E915E9"/>
    <w:rsid w:val="00E92CD0"/>
    <w:rsid w:val="00E9365A"/>
    <w:rsid w:val="00E938DF"/>
    <w:rsid w:val="00EA2204"/>
    <w:rsid w:val="00EA5F8F"/>
    <w:rsid w:val="00EA729B"/>
    <w:rsid w:val="00EB4E60"/>
    <w:rsid w:val="00EB7847"/>
    <w:rsid w:val="00EC0912"/>
    <w:rsid w:val="00EC6039"/>
    <w:rsid w:val="00ED4C45"/>
    <w:rsid w:val="00EE2601"/>
    <w:rsid w:val="00EE773C"/>
    <w:rsid w:val="00EF0199"/>
    <w:rsid w:val="00EF4144"/>
    <w:rsid w:val="00EF4B21"/>
    <w:rsid w:val="00EF6A8F"/>
    <w:rsid w:val="00F008A4"/>
    <w:rsid w:val="00F03635"/>
    <w:rsid w:val="00F03656"/>
    <w:rsid w:val="00F07858"/>
    <w:rsid w:val="00F14654"/>
    <w:rsid w:val="00F17B54"/>
    <w:rsid w:val="00F202E0"/>
    <w:rsid w:val="00F2268C"/>
    <w:rsid w:val="00F43917"/>
    <w:rsid w:val="00F45CC1"/>
    <w:rsid w:val="00F5243B"/>
    <w:rsid w:val="00F540C3"/>
    <w:rsid w:val="00F61843"/>
    <w:rsid w:val="00F63327"/>
    <w:rsid w:val="00F65E2A"/>
    <w:rsid w:val="00F65F54"/>
    <w:rsid w:val="00F7240F"/>
    <w:rsid w:val="00F72832"/>
    <w:rsid w:val="00F74D2B"/>
    <w:rsid w:val="00F75985"/>
    <w:rsid w:val="00F7770A"/>
    <w:rsid w:val="00F83DE0"/>
    <w:rsid w:val="00F9024F"/>
    <w:rsid w:val="00F91D8D"/>
    <w:rsid w:val="00F9573D"/>
    <w:rsid w:val="00F969CE"/>
    <w:rsid w:val="00F96C3A"/>
    <w:rsid w:val="00FA1557"/>
    <w:rsid w:val="00FA439B"/>
    <w:rsid w:val="00FA5BDE"/>
    <w:rsid w:val="00FA6332"/>
    <w:rsid w:val="00FA6B34"/>
    <w:rsid w:val="00FA7227"/>
    <w:rsid w:val="00FB00B3"/>
    <w:rsid w:val="00FB1950"/>
    <w:rsid w:val="00FB295B"/>
    <w:rsid w:val="00FB5159"/>
    <w:rsid w:val="00FB780B"/>
    <w:rsid w:val="00FC4AE8"/>
    <w:rsid w:val="00FD0245"/>
    <w:rsid w:val="00FD33B6"/>
    <w:rsid w:val="00FD4A39"/>
    <w:rsid w:val="00FD5771"/>
    <w:rsid w:val="00FD6296"/>
    <w:rsid w:val="00FE2867"/>
    <w:rsid w:val="00FE5A03"/>
    <w:rsid w:val="00FF34C8"/>
    <w:rsid w:val="00FF4C52"/>
    <w:rsid w:val="00FF6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DAE4B"/>
  <w15:chartTrackingRefBased/>
  <w15:docId w15:val="{346066AA-F13C-4E48-8754-73EEDC37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12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FC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061009"/>
    <w:pPr>
      <w:spacing w:before="100" w:beforeAutospacing="1" w:after="100" w:afterAutospacing="1"/>
    </w:pPr>
  </w:style>
  <w:style w:type="paragraph" w:styleId="Caption">
    <w:name w:val="caption"/>
    <w:basedOn w:val="Normal"/>
    <w:next w:val="Normal"/>
    <w:uiPriority w:val="35"/>
    <w:unhideWhenUsed/>
    <w:qFormat/>
    <w:rsid w:val="000A398E"/>
    <w:pPr>
      <w:spacing w:after="200"/>
    </w:pPr>
    <w:rPr>
      <w:i/>
      <w:iCs/>
      <w:color w:val="44546A" w:themeColor="text2"/>
      <w:sz w:val="18"/>
      <w:szCs w:val="18"/>
    </w:rPr>
  </w:style>
  <w:style w:type="table" w:styleId="TableGrid">
    <w:name w:val="Table Grid"/>
    <w:basedOn w:val="TableNormal"/>
    <w:uiPriority w:val="39"/>
    <w:rsid w:val="000A39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D2529"/>
    <w:rPr>
      <w:sz w:val="16"/>
      <w:szCs w:val="16"/>
    </w:rPr>
  </w:style>
  <w:style w:type="paragraph" w:styleId="CommentText">
    <w:name w:val="annotation text"/>
    <w:basedOn w:val="Normal"/>
    <w:link w:val="CommentTextChar"/>
    <w:uiPriority w:val="99"/>
    <w:semiHidden/>
    <w:unhideWhenUsed/>
    <w:rsid w:val="00DD2529"/>
    <w:rPr>
      <w:sz w:val="20"/>
      <w:szCs w:val="20"/>
    </w:rPr>
  </w:style>
  <w:style w:type="character" w:customStyle="1" w:styleId="CommentTextChar">
    <w:name w:val="Comment Text Char"/>
    <w:basedOn w:val="DefaultParagraphFont"/>
    <w:link w:val="CommentText"/>
    <w:uiPriority w:val="99"/>
    <w:semiHidden/>
    <w:rsid w:val="00DD252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D2529"/>
    <w:rPr>
      <w:b/>
      <w:bCs/>
    </w:rPr>
  </w:style>
  <w:style w:type="character" w:customStyle="1" w:styleId="CommentSubjectChar">
    <w:name w:val="Comment Subject Char"/>
    <w:basedOn w:val="CommentTextChar"/>
    <w:link w:val="CommentSubject"/>
    <w:uiPriority w:val="99"/>
    <w:semiHidden/>
    <w:rsid w:val="00DD252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D2529"/>
    <w:rPr>
      <w:sz w:val="18"/>
      <w:szCs w:val="18"/>
    </w:rPr>
  </w:style>
  <w:style w:type="character" w:customStyle="1" w:styleId="BalloonTextChar">
    <w:name w:val="Balloon Text Char"/>
    <w:basedOn w:val="DefaultParagraphFont"/>
    <w:link w:val="BalloonText"/>
    <w:uiPriority w:val="99"/>
    <w:semiHidden/>
    <w:rsid w:val="00DD2529"/>
    <w:rPr>
      <w:rFonts w:ascii="Times New Roman" w:eastAsia="Times New Roman" w:hAnsi="Times New Roman" w:cs="Times New Roman"/>
      <w:sz w:val="18"/>
      <w:szCs w:val="18"/>
    </w:rPr>
  </w:style>
  <w:style w:type="character" w:styleId="Hyperlink">
    <w:name w:val="Hyperlink"/>
    <w:basedOn w:val="DefaultParagraphFont"/>
    <w:uiPriority w:val="99"/>
    <w:unhideWhenUsed/>
    <w:rsid w:val="00D979CB"/>
    <w:rPr>
      <w:color w:val="0563C1" w:themeColor="hyperlink"/>
      <w:u w:val="single"/>
    </w:rPr>
  </w:style>
  <w:style w:type="character" w:styleId="UnresolvedMention">
    <w:name w:val="Unresolved Mention"/>
    <w:basedOn w:val="DefaultParagraphFont"/>
    <w:uiPriority w:val="99"/>
    <w:semiHidden/>
    <w:unhideWhenUsed/>
    <w:rsid w:val="00D979CB"/>
    <w:rPr>
      <w:color w:val="605E5C"/>
      <w:shd w:val="clear" w:color="auto" w:fill="E1DFDD"/>
    </w:rPr>
  </w:style>
  <w:style w:type="character" w:styleId="FollowedHyperlink">
    <w:name w:val="FollowedHyperlink"/>
    <w:basedOn w:val="DefaultParagraphFont"/>
    <w:uiPriority w:val="99"/>
    <w:semiHidden/>
    <w:unhideWhenUsed/>
    <w:rsid w:val="00D979CB"/>
    <w:rPr>
      <w:color w:val="954F72" w:themeColor="followedHyperlink"/>
      <w:u w:val="single"/>
    </w:rPr>
  </w:style>
  <w:style w:type="paragraph" w:styleId="FootnoteText">
    <w:name w:val="footnote text"/>
    <w:basedOn w:val="Normal"/>
    <w:link w:val="FootnoteTextChar"/>
    <w:uiPriority w:val="99"/>
    <w:semiHidden/>
    <w:unhideWhenUsed/>
    <w:rsid w:val="003C2E8F"/>
    <w:rPr>
      <w:sz w:val="20"/>
      <w:szCs w:val="20"/>
    </w:rPr>
  </w:style>
  <w:style w:type="character" w:customStyle="1" w:styleId="FootnoteTextChar">
    <w:name w:val="Footnote Text Char"/>
    <w:basedOn w:val="DefaultParagraphFont"/>
    <w:link w:val="FootnoteText"/>
    <w:uiPriority w:val="99"/>
    <w:semiHidden/>
    <w:rsid w:val="003C2E8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C2E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75743">
      <w:bodyDiv w:val="1"/>
      <w:marLeft w:val="0"/>
      <w:marRight w:val="0"/>
      <w:marTop w:val="0"/>
      <w:marBottom w:val="0"/>
      <w:divBdr>
        <w:top w:val="none" w:sz="0" w:space="0" w:color="auto"/>
        <w:left w:val="none" w:sz="0" w:space="0" w:color="auto"/>
        <w:bottom w:val="none" w:sz="0" w:space="0" w:color="auto"/>
        <w:right w:val="none" w:sz="0" w:space="0" w:color="auto"/>
      </w:divBdr>
      <w:divsChild>
        <w:div w:id="11037654">
          <w:marLeft w:val="0"/>
          <w:marRight w:val="0"/>
          <w:marTop w:val="0"/>
          <w:marBottom w:val="0"/>
          <w:divBdr>
            <w:top w:val="none" w:sz="0" w:space="0" w:color="auto"/>
            <w:left w:val="none" w:sz="0" w:space="0" w:color="auto"/>
            <w:bottom w:val="none" w:sz="0" w:space="0" w:color="auto"/>
            <w:right w:val="none" w:sz="0" w:space="0" w:color="auto"/>
          </w:divBdr>
          <w:divsChild>
            <w:div w:id="582419937">
              <w:marLeft w:val="0"/>
              <w:marRight w:val="0"/>
              <w:marTop w:val="0"/>
              <w:marBottom w:val="0"/>
              <w:divBdr>
                <w:top w:val="none" w:sz="0" w:space="0" w:color="auto"/>
                <w:left w:val="none" w:sz="0" w:space="0" w:color="auto"/>
                <w:bottom w:val="none" w:sz="0" w:space="0" w:color="auto"/>
                <w:right w:val="none" w:sz="0" w:space="0" w:color="auto"/>
              </w:divBdr>
              <w:divsChild>
                <w:div w:id="106125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7540">
      <w:bodyDiv w:val="1"/>
      <w:marLeft w:val="0"/>
      <w:marRight w:val="0"/>
      <w:marTop w:val="0"/>
      <w:marBottom w:val="0"/>
      <w:divBdr>
        <w:top w:val="none" w:sz="0" w:space="0" w:color="auto"/>
        <w:left w:val="none" w:sz="0" w:space="0" w:color="auto"/>
        <w:bottom w:val="none" w:sz="0" w:space="0" w:color="auto"/>
        <w:right w:val="none" w:sz="0" w:space="0" w:color="auto"/>
      </w:divBdr>
      <w:divsChild>
        <w:div w:id="1547067075">
          <w:marLeft w:val="0"/>
          <w:marRight w:val="0"/>
          <w:marTop w:val="0"/>
          <w:marBottom w:val="0"/>
          <w:divBdr>
            <w:top w:val="none" w:sz="0" w:space="0" w:color="auto"/>
            <w:left w:val="none" w:sz="0" w:space="0" w:color="auto"/>
            <w:bottom w:val="none" w:sz="0" w:space="0" w:color="auto"/>
            <w:right w:val="none" w:sz="0" w:space="0" w:color="auto"/>
          </w:divBdr>
          <w:divsChild>
            <w:div w:id="1101753791">
              <w:marLeft w:val="0"/>
              <w:marRight w:val="0"/>
              <w:marTop w:val="0"/>
              <w:marBottom w:val="0"/>
              <w:divBdr>
                <w:top w:val="none" w:sz="0" w:space="0" w:color="auto"/>
                <w:left w:val="none" w:sz="0" w:space="0" w:color="auto"/>
                <w:bottom w:val="none" w:sz="0" w:space="0" w:color="auto"/>
                <w:right w:val="none" w:sz="0" w:space="0" w:color="auto"/>
              </w:divBdr>
              <w:divsChild>
                <w:div w:id="19351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3284">
      <w:bodyDiv w:val="1"/>
      <w:marLeft w:val="0"/>
      <w:marRight w:val="0"/>
      <w:marTop w:val="0"/>
      <w:marBottom w:val="0"/>
      <w:divBdr>
        <w:top w:val="none" w:sz="0" w:space="0" w:color="auto"/>
        <w:left w:val="none" w:sz="0" w:space="0" w:color="auto"/>
        <w:bottom w:val="none" w:sz="0" w:space="0" w:color="auto"/>
        <w:right w:val="none" w:sz="0" w:space="0" w:color="auto"/>
      </w:divBdr>
      <w:divsChild>
        <w:div w:id="326329525">
          <w:marLeft w:val="0"/>
          <w:marRight w:val="0"/>
          <w:marTop w:val="0"/>
          <w:marBottom w:val="0"/>
          <w:divBdr>
            <w:top w:val="none" w:sz="0" w:space="0" w:color="auto"/>
            <w:left w:val="none" w:sz="0" w:space="0" w:color="auto"/>
            <w:bottom w:val="none" w:sz="0" w:space="0" w:color="auto"/>
            <w:right w:val="none" w:sz="0" w:space="0" w:color="auto"/>
          </w:divBdr>
          <w:divsChild>
            <w:div w:id="2028292048">
              <w:marLeft w:val="0"/>
              <w:marRight w:val="0"/>
              <w:marTop w:val="0"/>
              <w:marBottom w:val="0"/>
              <w:divBdr>
                <w:top w:val="none" w:sz="0" w:space="0" w:color="auto"/>
                <w:left w:val="none" w:sz="0" w:space="0" w:color="auto"/>
                <w:bottom w:val="none" w:sz="0" w:space="0" w:color="auto"/>
                <w:right w:val="none" w:sz="0" w:space="0" w:color="auto"/>
              </w:divBdr>
              <w:divsChild>
                <w:div w:id="12257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674673">
      <w:bodyDiv w:val="1"/>
      <w:marLeft w:val="0"/>
      <w:marRight w:val="0"/>
      <w:marTop w:val="0"/>
      <w:marBottom w:val="0"/>
      <w:divBdr>
        <w:top w:val="none" w:sz="0" w:space="0" w:color="auto"/>
        <w:left w:val="none" w:sz="0" w:space="0" w:color="auto"/>
        <w:bottom w:val="none" w:sz="0" w:space="0" w:color="auto"/>
        <w:right w:val="none" w:sz="0" w:space="0" w:color="auto"/>
      </w:divBdr>
      <w:divsChild>
        <w:div w:id="98913806">
          <w:marLeft w:val="0"/>
          <w:marRight w:val="0"/>
          <w:marTop w:val="0"/>
          <w:marBottom w:val="0"/>
          <w:divBdr>
            <w:top w:val="none" w:sz="0" w:space="0" w:color="auto"/>
            <w:left w:val="none" w:sz="0" w:space="0" w:color="auto"/>
            <w:bottom w:val="none" w:sz="0" w:space="0" w:color="auto"/>
            <w:right w:val="none" w:sz="0" w:space="0" w:color="auto"/>
          </w:divBdr>
          <w:divsChild>
            <w:div w:id="1781680226">
              <w:marLeft w:val="0"/>
              <w:marRight w:val="0"/>
              <w:marTop w:val="0"/>
              <w:marBottom w:val="0"/>
              <w:divBdr>
                <w:top w:val="none" w:sz="0" w:space="0" w:color="auto"/>
                <w:left w:val="none" w:sz="0" w:space="0" w:color="auto"/>
                <w:bottom w:val="none" w:sz="0" w:space="0" w:color="auto"/>
                <w:right w:val="none" w:sz="0" w:space="0" w:color="auto"/>
              </w:divBdr>
              <w:divsChild>
                <w:div w:id="14884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165593">
      <w:bodyDiv w:val="1"/>
      <w:marLeft w:val="0"/>
      <w:marRight w:val="0"/>
      <w:marTop w:val="0"/>
      <w:marBottom w:val="0"/>
      <w:divBdr>
        <w:top w:val="none" w:sz="0" w:space="0" w:color="auto"/>
        <w:left w:val="none" w:sz="0" w:space="0" w:color="auto"/>
        <w:bottom w:val="none" w:sz="0" w:space="0" w:color="auto"/>
        <w:right w:val="none" w:sz="0" w:space="0" w:color="auto"/>
      </w:divBdr>
    </w:div>
    <w:div w:id="371424987">
      <w:bodyDiv w:val="1"/>
      <w:marLeft w:val="0"/>
      <w:marRight w:val="0"/>
      <w:marTop w:val="0"/>
      <w:marBottom w:val="0"/>
      <w:divBdr>
        <w:top w:val="none" w:sz="0" w:space="0" w:color="auto"/>
        <w:left w:val="none" w:sz="0" w:space="0" w:color="auto"/>
        <w:bottom w:val="none" w:sz="0" w:space="0" w:color="auto"/>
        <w:right w:val="none" w:sz="0" w:space="0" w:color="auto"/>
      </w:divBdr>
    </w:div>
    <w:div w:id="553543613">
      <w:bodyDiv w:val="1"/>
      <w:marLeft w:val="0"/>
      <w:marRight w:val="0"/>
      <w:marTop w:val="0"/>
      <w:marBottom w:val="0"/>
      <w:divBdr>
        <w:top w:val="none" w:sz="0" w:space="0" w:color="auto"/>
        <w:left w:val="none" w:sz="0" w:space="0" w:color="auto"/>
        <w:bottom w:val="none" w:sz="0" w:space="0" w:color="auto"/>
        <w:right w:val="none" w:sz="0" w:space="0" w:color="auto"/>
      </w:divBdr>
    </w:div>
    <w:div w:id="588152245">
      <w:bodyDiv w:val="1"/>
      <w:marLeft w:val="0"/>
      <w:marRight w:val="0"/>
      <w:marTop w:val="0"/>
      <w:marBottom w:val="0"/>
      <w:divBdr>
        <w:top w:val="none" w:sz="0" w:space="0" w:color="auto"/>
        <w:left w:val="none" w:sz="0" w:space="0" w:color="auto"/>
        <w:bottom w:val="none" w:sz="0" w:space="0" w:color="auto"/>
        <w:right w:val="none" w:sz="0" w:space="0" w:color="auto"/>
      </w:divBdr>
      <w:divsChild>
        <w:div w:id="59983668">
          <w:marLeft w:val="0"/>
          <w:marRight w:val="0"/>
          <w:marTop w:val="0"/>
          <w:marBottom w:val="0"/>
          <w:divBdr>
            <w:top w:val="none" w:sz="0" w:space="0" w:color="auto"/>
            <w:left w:val="none" w:sz="0" w:space="0" w:color="auto"/>
            <w:bottom w:val="none" w:sz="0" w:space="0" w:color="auto"/>
            <w:right w:val="none" w:sz="0" w:space="0" w:color="auto"/>
          </w:divBdr>
          <w:divsChild>
            <w:div w:id="580337138">
              <w:marLeft w:val="0"/>
              <w:marRight w:val="0"/>
              <w:marTop w:val="0"/>
              <w:marBottom w:val="0"/>
              <w:divBdr>
                <w:top w:val="none" w:sz="0" w:space="0" w:color="auto"/>
                <w:left w:val="none" w:sz="0" w:space="0" w:color="auto"/>
                <w:bottom w:val="none" w:sz="0" w:space="0" w:color="auto"/>
                <w:right w:val="none" w:sz="0" w:space="0" w:color="auto"/>
              </w:divBdr>
              <w:divsChild>
                <w:div w:id="16698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965141">
      <w:bodyDiv w:val="1"/>
      <w:marLeft w:val="0"/>
      <w:marRight w:val="0"/>
      <w:marTop w:val="0"/>
      <w:marBottom w:val="0"/>
      <w:divBdr>
        <w:top w:val="none" w:sz="0" w:space="0" w:color="auto"/>
        <w:left w:val="none" w:sz="0" w:space="0" w:color="auto"/>
        <w:bottom w:val="none" w:sz="0" w:space="0" w:color="auto"/>
        <w:right w:val="none" w:sz="0" w:space="0" w:color="auto"/>
      </w:divBdr>
      <w:divsChild>
        <w:div w:id="449782327">
          <w:marLeft w:val="0"/>
          <w:marRight w:val="0"/>
          <w:marTop w:val="0"/>
          <w:marBottom w:val="0"/>
          <w:divBdr>
            <w:top w:val="none" w:sz="0" w:space="0" w:color="auto"/>
            <w:left w:val="none" w:sz="0" w:space="0" w:color="auto"/>
            <w:bottom w:val="none" w:sz="0" w:space="0" w:color="auto"/>
            <w:right w:val="none" w:sz="0" w:space="0" w:color="auto"/>
          </w:divBdr>
          <w:divsChild>
            <w:div w:id="474954994">
              <w:marLeft w:val="0"/>
              <w:marRight w:val="0"/>
              <w:marTop w:val="0"/>
              <w:marBottom w:val="0"/>
              <w:divBdr>
                <w:top w:val="none" w:sz="0" w:space="0" w:color="auto"/>
                <w:left w:val="none" w:sz="0" w:space="0" w:color="auto"/>
                <w:bottom w:val="none" w:sz="0" w:space="0" w:color="auto"/>
                <w:right w:val="none" w:sz="0" w:space="0" w:color="auto"/>
              </w:divBdr>
              <w:divsChild>
                <w:div w:id="106306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370705">
      <w:bodyDiv w:val="1"/>
      <w:marLeft w:val="0"/>
      <w:marRight w:val="0"/>
      <w:marTop w:val="0"/>
      <w:marBottom w:val="0"/>
      <w:divBdr>
        <w:top w:val="none" w:sz="0" w:space="0" w:color="auto"/>
        <w:left w:val="none" w:sz="0" w:space="0" w:color="auto"/>
        <w:bottom w:val="none" w:sz="0" w:space="0" w:color="auto"/>
        <w:right w:val="none" w:sz="0" w:space="0" w:color="auto"/>
      </w:divBdr>
    </w:div>
    <w:div w:id="688023412">
      <w:bodyDiv w:val="1"/>
      <w:marLeft w:val="0"/>
      <w:marRight w:val="0"/>
      <w:marTop w:val="0"/>
      <w:marBottom w:val="0"/>
      <w:divBdr>
        <w:top w:val="none" w:sz="0" w:space="0" w:color="auto"/>
        <w:left w:val="none" w:sz="0" w:space="0" w:color="auto"/>
        <w:bottom w:val="none" w:sz="0" w:space="0" w:color="auto"/>
        <w:right w:val="none" w:sz="0" w:space="0" w:color="auto"/>
      </w:divBdr>
      <w:divsChild>
        <w:div w:id="1322268357">
          <w:marLeft w:val="0"/>
          <w:marRight w:val="0"/>
          <w:marTop w:val="0"/>
          <w:marBottom w:val="0"/>
          <w:divBdr>
            <w:top w:val="none" w:sz="0" w:space="0" w:color="auto"/>
            <w:left w:val="none" w:sz="0" w:space="0" w:color="auto"/>
            <w:bottom w:val="none" w:sz="0" w:space="0" w:color="auto"/>
            <w:right w:val="none" w:sz="0" w:space="0" w:color="auto"/>
          </w:divBdr>
          <w:divsChild>
            <w:div w:id="371542103">
              <w:marLeft w:val="0"/>
              <w:marRight w:val="0"/>
              <w:marTop w:val="0"/>
              <w:marBottom w:val="0"/>
              <w:divBdr>
                <w:top w:val="none" w:sz="0" w:space="0" w:color="auto"/>
                <w:left w:val="none" w:sz="0" w:space="0" w:color="auto"/>
                <w:bottom w:val="none" w:sz="0" w:space="0" w:color="auto"/>
                <w:right w:val="none" w:sz="0" w:space="0" w:color="auto"/>
              </w:divBdr>
              <w:divsChild>
                <w:div w:id="182511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23437">
      <w:bodyDiv w:val="1"/>
      <w:marLeft w:val="0"/>
      <w:marRight w:val="0"/>
      <w:marTop w:val="0"/>
      <w:marBottom w:val="0"/>
      <w:divBdr>
        <w:top w:val="none" w:sz="0" w:space="0" w:color="auto"/>
        <w:left w:val="none" w:sz="0" w:space="0" w:color="auto"/>
        <w:bottom w:val="none" w:sz="0" w:space="0" w:color="auto"/>
        <w:right w:val="none" w:sz="0" w:space="0" w:color="auto"/>
      </w:divBdr>
    </w:div>
    <w:div w:id="740715843">
      <w:bodyDiv w:val="1"/>
      <w:marLeft w:val="0"/>
      <w:marRight w:val="0"/>
      <w:marTop w:val="0"/>
      <w:marBottom w:val="0"/>
      <w:divBdr>
        <w:top w:val="none" w:sz="0" w:space="0" w:color="auto"/>
        <w:left w:val="none" w:sz="0" w:space="0" w:color="auto"/>
        <w:bottom w:val="none" w:sz="0" w:space="0" w:color="auto"/>
        <w:right w:val="none" w:sz="0" w:space="0" w:color="auto"/>
      </w:divBdr>
    </w:div>
    <w:div w:id="749273961">
      <w:bodyDiv w:val="1"/>
      <w:marLeft w:val="0"/>
      <w:marRight w:val="0"/>
      <w:marTop w:val="0"/>
      <w:marBottom w:val="0"/>
      <w:divBdr>
        <w:top w:val="none" w:sz="0" w:space="0" w:color="auto"/>
        <w:left w:val="none" w:sz="0" w:space="0" w:color="auto"/>
        <w:bottom w:val="none" w:sz="0" w:space="0" w:color="auto"/>
        <w:right w:val="none" w:sz="0" w:space="0" w:color="auto"/>
      </w:divBdr>
    </w:div>
    <w:div w:id="778371863">
      <w:bodyDiv w:val="1"/>
      <w:marLeft w:val="0"/>
      <w:marRight w:val="0"/>
      <w:marTop w:val="0"/>
      <w:marBottom w:val="0"/>
      <w:divBdr>
        <w:top w:val="none" w:sz="0" w:space="0" w:color="auto"/>
        <w:left w:val="none" w:sz="0" w:space="0" w:color="auto"/>
        <w:bottom w:val="none" w:sz="0" w:space="0" w:color="auto"/>
        <w:right w:val="none" w:sz="0" w:space="0" w:color="auto"/>
      </w:divBdr>
      <w:divsChild>
        <w:div w:id="1433085202">
          <w:marLeft w:val="0"/>
          <w:marRight w:val="0"/>
          <w:marTop w:val="0"/>
          <w:marBottom w:val="0"/>
          <w:divBdr>
            <w:top w:val="none" w:sz="0" w:space="0" w:color="auto"/>
            <w:left w:val="none" w:sz="0" w:space="0" w:color="auto"/>
            <w:bottom w:val="none" w:sz="0" w:space="0" w:color="auto"/>
            <w:right w:val="none" w:sz="0" w:space="0" w:color="auto"/>
          </w:divBdr>
          <w:divsChild>
            <w:div w:id="1341856505">
              <w:marLeft w:val="0"/>
              <w:marRight w:val="0"/>
              <w:marTop w:val="0"/>
              <w:marBottom w:val="0"/>
              <w:divBdr>
                <w:top w:val="none" w:sz="0" w:space="0" w:color="auto"/>
                <w:left w:val="none" w:sz="0" w:space="0" w:color="auto"/>
                <w:bottom w:val="none" w:sz="0" w:space="0" w:color="auto"/>
                <w:right w:val="none" w:sz="0" w:space="0" w:color="auto"/>
              </w:divBdr>
              <w:divsChild>
                <w:div w:id="13720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40466">
      <w:bodyDiv w:val="1"/>
      <w:marLeft w:val="0"/>
      <w:marRight w:val="0"/>
      <w:marTop w:val="0"/>
      <w:marBottom w:val="0"/>
      <w:divBdr>
        <w:top w:val="none" w:sz="0" w:space="0" w:color="auto"/>
        <w:left w:val="none" w:sz="0" w:space="0" w:color="auto"/>
        <w:bottom w:val="none" w:sz="0" w:space="0" w:color="auto"/>
        <w:right w:val="none" w:sz="0" w:space="0" w:color="auto"/>
      </w:divBdr>
      <w:divsChild>
        <w:div w:id="1655722628">
          <w:marLeft w:val="0"/>
          <w:marRight w:val="0"/>
          <w:marTop w:val="0"/>
          <w:marBottom w:val="0"/>
          <w:divBdr>
            <w:top w:val="none" w:sz="0" w:space="0" w:color="auto"/>
            <w:left w:val="none" w:sz="0" w:space="0" w:color="auto"/>
            <w:bottom w:val="none" w:sz="0" w:space="0" w:color="auto"/>
            <w:right w:val="none" w:sz="0" w:space="0" w:color="auto"/>
          </w:divBdr>
          <w:divsChild>
            <w:div w:id="518204361">
              <w:marLeft w:val="0"/>
              <w:marRight w:val="0"/>
              <w:marTop w:val="0"/>
              <w:marBottom w:val="0"/>
              <w:divBdr>
                <w:top w:val="none" w:sz="0" w:space="0" w:color="auto"/>
                <w:left w:val="none" w:sz="0" w:space="0" w:color="auto"/>
                <w:bottom w:val="none" w:sz="0" w:space="0" w:color="auto"/>
                <w:right w:val="none" w:sz="0" w:space="0" w:color="auto"/>
              </w:divBdr>
              <w:divsChild>
                <w:div w:id="7923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6699">
      <w:bodyDiv w:val="1"/>
      <w:marLeft w:val="0"/>
      <w:marRight w:val="0"/>
      <w:marTop w:val="0"/>
      <w:marBottom w:val="0"/>
      <w:divBdr>
        <w:top w:val="none" w:sz="0" w:space="0" w:color="auto"/>
        <w:left w:val="none" w:sz="0" w:space="0" w:color="auto"/>
        <w:bottom w:val="none" w:sz="0" w:space="0" w:color="auto"/>
        <w:right w:val="none" w:sz="0" w:space="0" w:color="auto"/>
      </w:divBdr>
      <w:divsChild>
        <w:div w:id="1161382963">
          <w:marLeft w:val="0"/>
          <w:marRight w:val="0"/>
          <w:marTop w:val="0"/>
          <w:marBottom w:val="0"/>
          <w:divBdr>
            <w:top w:val="none" w:sz="0" w:space="0" w:color="auto"/>
            <w:left w:val="none" w:sz="0" w:space="0" w:color="auto"/>
            <w:bottom w:val="none" w:sz="0" w:space="0" w:color="auto"/>
            <w:right w:val="none" w:sz="0" w:space="0" w:color="auto"/>
          </w:divBdr>
          <w:divsChild>
            <w:div w:id="801727586">
              <w:marLeft w:val="0"/>
              <w:marRight w:val="0"/>
              <w:marTop w:val="0"/>
              <w:marBottom w:val="0"/>
              <w:divBdr>
                <w:top w:val="none" w:sz="0" w:space="0" w:color="auto"/>
                <w:left w:val="none" w:sz="0" w:space="0" w:color="auto"/>
                <w:bottom w:val="none" w:sz="0" w:space="0" w:color="auto"/>
                <w:right w:val="none" w:sz="0" w:space="0" w:color="auto"/>
              </w:divBdr>
              <w:divsChild>
                <w:div w:id="1816340137">
                  <w:marLeft w:val="0"/>
                  <w:marRight w:val="0"/>
                  <w:marTop w:val="0"/>
                  <w:marBottom w:val="0"/>
                  <w:divBdr>
                    <w:top w:val="none" w:sz="0" w:space="0" w:color="auto"/>
                    <w:left w:val="none" w:sz="0" w:space="0" w:color="auto"/>
                    <w:bottom w:val="none" w:sz="0" w:space="0" w:color="auto"/>
                    <w:right w:val="none" w:sz="0" w:space="0" w:color="auto"/>
                  </w:divBdr>
                </w:div>
              </w:divsChild>
            </w:div>
            <w:div w:id="172190512">
              <w:marLeft w:val="0"/>
              <w:marRight w:val="0"/>
              <w:marTop w:val="0"/>
              <w:marBottom w:val="0"/>
              <w:divBdr>
                <w:top w:val="none" w:sz="0" w:space="0" w:color="auto"/>
                <w:left w:val="none" w:sz="0" w:space="0" w:color="auto"/>
                <w:bottom w:val="none" w:sz="0" w:space="0" w:color="auto"/>
                <w:right w:val="none" w:sz="0" w:space="0" w:color="auto"/>
              </w:divBdr>
              <w:divsChild>
                <w:div w:id="8455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1968">
          <w:marLeft w:val="0"/>
          <w:marRight w:val="0"/>
          <w:marTop w:val="0"/>
          <w:marBottom w:val="0"/>
          <w:divBdr>
            <w:top w:val="none" w:sz="0" w:space="0" w:color="auto"/>
            <w:left w:val="none" w:sz="0" w:space="0" w:color="auto"/>
            <w:bottom w:val="none" w:sz="0" w:space="0" w:color="auto"/>
            <w:right w:val="none" w:sz="0" w:space="0" w:color="auto"/>
          </w:divBdr>
          <w:divsChild>
            <w:div w:id="1065252553">
              <w:marLeft w:val="0"/>
              <w:marRight w:val="0"/>
              <w:marTop w:val="0"/>
              <w:marBottom w:val="0"/>
              <w:divBdr>
                <w:top w:val="none" w:sz="0" w:space="0" w:color="auto"/>
                <w:left w:val="none" w:sz="0" w:space="0" w:color="auto"/>
                <w:bottom w:val="none" w:sz="0" w:space="0" w:color="auto"/>
                <w:right w:val="none" w:sz="0" w:space="0" w:color="auto"/>
              </w:divBdr>
              <w:divsChild>
                <w:div w:id="156298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36123">
      <w:bodyDiv w:val="1"/>
      <w:marLeft w:val="0"/>
      <w:marRight w:val="0"/>
      <w:marTop w:val="0"/>
      <w:marBottom w:val="0"/>
      <w:divBdr>
        <w:top w:val="none" w:sz="0" w:space="0" w:color="auto"/>
        <w:left w:val="none" w:sz="0" w:space="0" w:color="auto"/>
        <w:bottom w:val="none" w:sz="0" w:space="0" w:color="auto"/>
        <w:right w:val="none" w:sz="0" w:space="0" w:color="auto"/>
      </w:divBdr>
    </w:div>
    <w:div w:id="924921127">
      <w:bodyDiv w:val="1"/>
      <w:marLeft w:val="0"/>
      <w:marRight w:val="0"/>
      <w:marTop w:val="0"/>
      <w:marBottom w:val="0"/>
      <w:divBdr>
        <w:top w:val="none" w:sz="0" w:space="0" w:color="auto"/>
        <w:left w:val="none" w:sz="0" w:space="0" w:color="auto"/>
        <w:bottom w:val="none" w:sz="0" w:space="0" w:color="auto"/>
        <w:right w:val="none" w:sz="0" w:space="0" w:color="auto"/>
      </w:divBdr>
    </w:div>
    <w:div w:id="939608600">
      <w:bodyDiv w:val="1"/>
      <w:marLeft w:val="0"/>
      <w:marRight w:val="0"/>
      <w:marTop w:val="0"/>
      <w:marBottom w:val="0"/>
      <w:divBdr>
        <w:top w:val="none" w:sz="0" w:space="0" w:color="auto"/>
        <w:left w:val="none" w:sz="0" w:space="0" w:color="auto"/>
        <w:bottom w:val="none" w:sz="0" w:space="0" w:color="auto"/>
        <w:right w:val="none" w:sz="0" w:space="0" w:color="auto"/>
      </w:divBdr>
      <w:divsChild>
        <w:div w:id="1911504375">
          <w:marLeft w:val="0"/>
          <w:marRight w:val="0"/>
          <w:marTop w:val="0"/>
          <w:marBottom w:val="0"/>
          <w:divBdr>
            <w:top w:val="none" w:sz="0" w:space="0" w:color="auto"/>
            <w:left w:val="none" w:sz="0" w:space="0" w:color="auto"/>
            <w:bottom w:val="none" w:sz="0" w:space="0" w:color="auto"/>
            <w:right w:val="none" w:sz="0" w:space="0" w:color="auto"/>
          </w:divBdr>
          <w:divsChild>
            <w:div w:id="1427847478">
              <w:marLeft w:val="0"/>
              <w:marRight w:val="0"/>
              <w:marTop w:val="0"/>
              <w:marBottom w:val="0"/>
              <w:divBdr>
                <w:top w:val="none" w:sz="0" w:space="0" w:color="auto"/>
                <w:left w:val="none" w:sz="0" w:space="0" w:color="auto"/>
                <w:bottom w:val="none" w:sz="0" w:space="0" w:color="auto"/>
                <w:right w:val="none" w:sz="0" w:space="0" w:color="auto"/>
              </w:divBdr>
              <w:divsChild>
                <w:div w:id="18580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618389">
      <w:bodyDiv w:val="1"/>
      <w:marLeft w:val="0"/>
      <w:marRight w:val="0"/>
      <w:marTop w:val="0"/>
      <w:marBottom w:val="0"/>
      <w:divBdr>
        <w:top w:val="none" w:sz="0" w:space="0" w:color="auto"/>
        <w:left w:val="none" w:sz="0" w:space="0" w:color="auto"/>
        <w:bottom w:val="none" w:sz="0" w:space="0" w:color="auto"/>
        <w:right w:val="none" w:sz="0" w:space="0" w:color="auto"/>
      </w:divBdr>
    </w:div>
    <w:div w:id="1002001990">
      <w:bodyDiv w:val="1"/>
      <w:marLeft w:val="0"/>
      <w:marRight w:val="0"/>
      <w:marTop w:val="0"/>
      <w:marBottom w:val="0"/>
      <w:divBdr>
        <w:top w:val="none" w:sz="0" w:space="0" w:color="auto"/>
        <w:left w:val="none" w:sz="0" w:space="0" w:color="auto"/>
        <w:bottom w:val="none" w:sz="0" w:space="0" w:color="auto"/>
        <w:right w:val="none" w:sz="0" w:space="0" w:color="auto"/>
      </w:divBdr>
    </w:div>
    <w:div w:id="1030571740">
      <w:bodyDiv w:val="1"/>
      <w:marLeft w:val="0"/>
      <w:marRight w:val="0"/>
      <w:marTop w:val="0"/>
      <w:marBottom w:val="0"/>
      <w:divBdr>
        <w:top w:val="none" w:sz="0" w:space="0" w:color="auto"/>
        <w:left w:val="none" w:sz="0" w:space="0" w:color="auto"/>
        <w:bottom w:val="none" w:sz="0" w:space="0" w:color="auto"/>
        <w:right w:val="none" w:sz="0" w:space="0" w:color="auto"/>
      </w:divBdr>
    </w:div>
    <w:div w:id="1217546099">
      <w:bodyDiv w:val="1"/>
      <w:marLeft w:val="0"/>
      <w:marRight w:val="0"/>
      <w:marTop w:val="0"/>
      <w:marBottom w:val="0"/>
      <w:divBdr>
        <w:top w:val="none" w:sz="0" w:space="0" w:color="auto"/>
        <w:left w:val="none" w:sz="0" w:space="0" w:color="auto"/>
        <w:bottom w:val="none" w:sz="0" w:space="0" w:color="auto"/>
        <w:right w:val="none" w:sz="0" w:space="0" w:color="auto"/>
      </w:divBdr>
      <w:divsChild>
        <w:div w:id="1452481650">
          <w:marLeft w:val="0"/>
          <w:marRight w:val="0"/>
          <w:marTop w:val="0"/>
          <w:marBottom w:val="0"/>
          <w:divBdr>
            <w:top w:val="none" w:sz="0" w:space="0" w:color="auto"/>
            <w:left w:val="none" w:sz="0" w:space="0" w:color="auto"/>
            <w:bottom w:val="none" w:sz="0" w:space="0" w:color="auto"/>
            <w:right w:val="none" w:sz="0" w:space="0" w:color="auto"/>
          </w:divBdr>
          <w:divsChild>
            <w:div w:id="1366515734">
              <w:marLeft w:val="0"/>
              <w:marRight w:val="0"/>
              <w:marTop w:val="0"/>
              <w:marBottom w:val="0"/>
              <w:divBdr>
                <w:top w:val="none" w:sz="0" w:space="0" w:color="auto"/>
                <w:left w:val="none" w:sz="0" w:space="0" w:color="auto"/>
                <w:bottom w:val="none" w:sz="0" w:space="0" w:color="auto"/>
                <w:right w:val="none" w:sz="0" w:space="0" w:color="auto"/>
              </w:divBdr>
              <w:divsChild>
                <w:div w:id="2385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66594">
      <w:bodyDiv w:val="1"/>
      <w:marLeft w:val="0"/>
      <w:marRight w:val="0"/>
      <w:marTop w:val="0"/>
      <w:marBottom w:val="0"/>
      <w:divBdr>
        <w:top w:val="none" w:sz="0" w:space="0" w:color="auto"/>
        <w:left w:val="none" w:sz="0" w:space="0" w:color="auto"/>
        <w:bottom w:val="none" w:sz="0" w:space="0" w:color="auto"/>
        <w:right w:val="none" w:sz="0" w:space="0" w:color="auto"/>
      </w:divBdr>
    </w:div>
    <w:div w:id="1254390410">
      <w:bodyDiv w:val="1"/>
      <w:marLeft w:val="0"/>
      <w:marRight w:val="0"/>
      <w:marTop w:val="0"/>
      <w:marBottom w:val="0"/>
      <w:divBdr>
        <w:top w:val="none" w:sz="0" w:space="0" w:color="auto"/>
        <w:left w:val="none" w:sz="0" w:space="0" w:color="auto"/>
        <w:bottom w:val="none" w:sz="0" w:space="0" w:color="auto"/>
        <w:right w:val="none" w:sz="0" w:space="0" w:color="auto"/>
      </w:divBdr>
    </w:div>
    <w:div w:id="1307323934">
      <w:bodyDiv w:val="1"/>
      <w:marLeft w:val="0"/>
      <w:marRight w:val="0"/>
      <w:marTop w:val="0"/>
      <w:marBottom w:val="0"/>
      <w:divBdr>
        <w:top w:val="none" w:sz="0" w:space="0" w:color="auto"/>
        <w:left w:val="none" w:sz="0" w:space="0" w:color="auto"/>
        <w:bottom w:val="none" w:sz="0" w:space="0" w:color="auto"/>
        <w:right w:val="none" w:sz="0" w:space="0" w:color="auto"/>
      </w:divBdr>
      <w:divsChild>
        <w:div w:id="4869761">
          <w:marLeft w:val="0"/>
          <w:marRight w:val="0"/>
          <w:marTop w:val="0"/>
          <w:marBottom w:val="0"/>
          <w:divBdr>
            <w:top w:val="none" w:sz="0" w:space="0" w:color="auto"/>
            <w:left w:val="none" w:sz="0" w:space="0" w:color="auto"/>
            <w:bottom w:val="none" w:sz="0" w:space="0" w:color="auto"/>
            <w:right w:val="none" w:sz="0" w:space="0" w:color="auto"/>
          </w:divBdr>
          <w:divsChild>
            <w:div w:id="1555659251">
              <w:marLeft w:val="0"/>
              <w:marRight w:val="0"/>
              <w:marTop w:val="0"/>
              <w:marBottom w:val="0"/>
              <w:divBdr>
                <w:top w:val="none" w:sz="0" w:space="0" w:color="auto"/>
                <w:left w:val="none" w:sz="0" w:space="0" w:color="auto"/>
                <w:bottom w:val="none" w:sz="0" w:space="0" w:color="auto"/>
                <w:right w:val="none" w:sz="0" w:space="0" w:color="auto"/>
              </w:divBdr>
              <w:divsChild>
                <w:div w:id="135726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5533">
      <w:bodyDiv w:val="1"/>
      <w:marLeft w:val="0"/>
      <w:marRight w:val="0"/>
      <w:marTop w:val="0"/>
      <w:marBottom w:val="0"/>
      <w:divBdr>
        <w:top w:val="none" w:sz="0" w:space="0" w:color="auto"/>
        <w:left w:val="none" w:sz="0" w:space="0" w:color="auto"/>
        <w:bottom w:val="none" w:sz="0" w:space="0" w:color="auto"/>
        <w:right w:val="none" w:sz="0" w:space="0" w:color="auto"/>
      </w:divBdr>
    </w:div>
    <w:div w:id="1376808478">
      <w:bodyDiv w:val="1"/>
      <w:marLeft w:val="0"/>
      <w:marRight w:val="0"/>
      <w:marTop w:val="0"/>
      <w:marBottom w:val="0"/>
      <w:divBdr>
        <w:top w:val="none" w:sz="0" w:space="0" w:color="auto"/>
        <w:left w:val="none" w:sz="0" w:space="0" w:color="auto"/>
        <w:bottom w:val="none" w:sz="0" w:space="0" w:color="auto"/>
        <w:right w:val="none" w:sz="0" w:space="0" w:color="auto"/>
      </w:divBdr>
      <w:divsChild>
        <w:div w:id="2111005652">
          <w:marLeft w:val="0"/>
          <w:marRight w:val="0"/>
          <w:marTop w:val="0"/>
          <w:marBottom w:val="0"/>
          <w:divBdr>
            <w:top w:val="none" w:sz="0" w:space="0" w:color="auto"/>
            <w:left w:val="none" w:sz="0" w:space="0" w:color="auto"/>
            <w:bottom w:val="none" w:sz="0" w:space="0" w:color="auto"/>
            <w:right w:val="none" w:sz="0" w:space="0" w:color="auto"/>
          </w:divBdr>
          <w:divsChild>
            <w:div w:id="1360550605">
              <w:marLeft w:val="0"/>
              <w:marRight w:val="0"/>
              <w:marTop w:val="0"/>
              <w:marBottom w:val="0"/>
              <w:divBdr>
                <w:top w:val="none" w:sz="0" w:space="0" w:color="auto"/>
                <w:left w:val="none" w:sz="0" w:space="0" w:color="auto"/>
                <w:bottom w:val="none" w:sz="0" w:space="0" w:color="auto"/>
                <w:right w:val="none" w:sz="0" w:space="0" w:color="auto"/>
              </w:divBdr>
              <w:divsChild>
                <w:div w:id="8785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7949">
      <w:bodyDiv w:val="1"/>
      <w:marLeft w:val="0"/>
      <w:marRight w:val="0"/>
      <w:marTop w:val="0"/>
      <w:marBottom w:val="0"/>
      <w:divBdr>
        <w:top w:val="none" w:sz="0" w:space="0" w:color="auto"/>
        <w:left w:val="none" w:sz="0" w:space="0" w:color="auto"/>
        <w:bottom w:val="none" w:sz="0" w:space="0" w:color="auto"/>
        <w:right w:val="none" w:sz="0" w:space="0" w:color="auto"/>
      </w:divBdr>
    </w:div>
    <w:div w:id="1410039076">
      <w:bodyDiv w:val="1"/>
      <w:marLeft w:val="0"/>
      <w:marRight w:val="0"/>
      <w:marTop w:val="0"/>
      <w:marBottom w:val="0"/>
      <w:divBdr>
        <w:top w:val="none" w:sz="0" w:space="0" w:color="auto"/>
        <w:left w:val="none" w:sz="0" w:space="0" w:color="auto"/>
        <w:bottom w:val="none" w:sz="0" w:space="0" w:color="auto"/>
        <w:right w:val="none" w:sz="0" w:space="0" w:color="auto"/>
      </w:divBdr>
    </w:div>
    <w:div w:id="1485899884">
      <w:bodyDiv w:val="1"/>
      <w:marLeft w:val="0"/>
      <w:marRight w:val="0"/>
      <w:marTop w:val="0"/>
      <w:marBottom w:val="0"/>
      <w:divBdr>
        <w:top w:val="none" w:sz="0" w:space="0" w:color="auto"/>
        <w:left w:val="none" w:sz="0" w:space="0" w:color="auto"/>
        <w:bottom w:val="none" w:sz="0" w:space="0" w:color="auto"/>
        <w:right w:val="none" w:sz="0" w:space="0" w:color="auto"/>
      </w:divBdr>
      <w:divsChild>
        <w:div w:id="1992977608">
          <w:marLeft w:val="0"/>
          <w:marRight w:val="0"/>
          <w:marTop w:val="0"/>
          <w:marBottom w:val="0"/>
          <w:divBdr>
            <w:top w:val="none" w:sz="0" w:space="0" w:color="auto"/>
            <w:left w:val="none" w:sz="0" w:space="0" w:color="auto"/>
            <w:bottom w:val="none" w:sz="0" w:space="0" w:color="auto"/>
            <w:right w:val="none" w:sz="0" w:space="0" w:color="auto"/>
          </w:divBdr>
          <w:divsChild>
            <w:div w:id="628977545">
              <w:marLeft w:val="0"/>
              <w:marRight w:val="0"/>
              <w:marTop w:val="0"/>
              <w:marBottom w:val="0"/>
              <w:divBdr>
                <w:top w:val="none" w:sz="0" w:space="0" w:color="auto"/>
                <w:left w:val="none" w:sz="0" w:space="0" w:color="auto"/>
                <w:bottom w:val="none" w:sz="0" w:space="0" w:color="auto"/>
                <w:right w:val="none" w:sz="0" w:space="0" w:color="auto"/>
              </w:divBdr>
              <w:divsChild>
                <w:div w:id="151160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65503">
      <w:bodyDiv w:val="1"/>
      <w:marLeft w:val="0"/>
      <w:marRight w:val="0"/>
      <w:marTop w:val="0"/>
      <w:marBottom w:val="0"/>
      <w:divBdr>
        <w:top w:val="none" w:sz="0" w:space="0" w:color="auto"/>
        <w:left w:val="none" w:sz="0" w:space="0" w:color="auto"/>
        <w:bottom w:val="none" w:sz="0" w:space="0" w:color="auto"/>
        <w:right w:val="none" w:sz="0" w:space="0" w:color="auto"/>
      </w:divBdr>
      <w:divsChild>
        <w:div w:id="2074888092">
          <w:marLeft w:val="0"/>
          <w:marRight w:val="0"/>
          <w:marTop w:val="0"/>
          <w:marBottom w:val="0"/>
          <w:divBdr>
            <w:top w:val="none" w:sz="0" w:space="0" w:color="auto"/>
            <w:left w:val="none" w:sz="0" w:space="0" w:color="auto"/>
            <w:bottom w:val="none" w:sz="0" w:space="0" w:color="auto"/>
            <w:right w:val="none" w:sz="0" w:space="0" w:color="auto"/>
          </w:divBdr>
          <w:divsChild>
            <w:div w:id="1377008371">
              <w:marLeft w:val="0"/>
              <w:marRight w:val="0"/>
              <w:marTop w:val="0"/>
              <w:marBottom w:val="0"/>
              <w:divBdr>
                <w:top w:val="none" w:sz="0" w:space="0" w:color="auto"/>
                <w:left w:val="none" w:sz="0" w:space="0" w:color="auto"/>
                <w:bottom w:val="none" w:sz="0" w:space="0" w:color="auto"/>
                <w:right w:val="none" w:sz="0" w:space="0" w:color="auto"/>
              </w:divBdr>
              <w:divsChild>
                <w:div w:id="17575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34679">
      <w:bodyDiv w:val="1"/>
      <w:marLeft w:val="0"/>
      <w:marRight w:val="0"/>
      <w:marTop w:val="0"/>
      <w:marBottom w:val="0"/>
      <w:divBdr>
        <w:top w:val="none" w:sz="0" w:space="0" w:color="auto"/>
        <w:left w:val="none" w:sz="0" w:space="0" w:color="auto"/>
        <w:bottom w:val="none" w:sz="0" w:space="0" w:color="auto"/>
        <w:right w:val="none" w:sz="0" w:space="0" w:color="auto"/>
      </w:divBdr>
    </w:div>
    <w:div w:id="1538932062">
      <w:bodyDiv w:val="1"/>
      <w:marLeft w:val="0"/>
      <w:marRight w:val="0"/>
      <w:marTop w:val="0"/>
      <w:marBottom w:val="0"/>
      <w:divBdr>
        <w:top w:val="none" w:sz="0" w:space="0" w:color="auto"/>
        <w:left w:val="none" w:sz="0" w:space="0" w:color="auto"/>
        <w:bottom w:val="none" w:sz="0" w:space="0" w:color="auto"/>
        <w:right w:val="none" w:sz="0" w:space="0" w:color="auto"/>
      </w:divBdr>
      <w:divsChild>
        <w:div w:id="875895752">
          <w:marLeft w:val="0"/>
          <w:marRight w:val="0"/>
          <w:marTop w:val="0"/>
          <w:marBottom w:val="0"/>
          <w:divBdr>
            <w:top w:val="none" w:sz="0" w:space="0" w:color="auto"/>
            <w:left w:val="none" w:sz="0" w:space="0" w:color="auto"/>
            <w:bottom w:val="none" w:sz="0" w:space="0" w:color="auto"/>
            <w:right w:val="none" w:sz="0" w:space="0" w:color="auto"/>
          </w:divBdr>
          <w:divsChild>
            <w:div w:id="1068961110">
              <w:marLeft w:val="0"/>
              <w:marRight w:val="0"/>
              <w:marTop w:val="0"/>
              <w:marBottom w:val="0"/>
              <w:divBdr>
                <w:top w:val="none" w:sz="0" w:space="0" w:color="auto"/>
                <w:left w:val="none" w:sz="0" w:space="0" w:color="auto"/>
                <w:bottom w:val="none" w:sz="0" w:space="0" w:color="auto"/>
                <w:right w:val="none" w:sz="0" w:space="0" w:color="auto"/>
              </w:divBdr>
              <w:divsChild>
                <w:div w:id="14436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4802">
      <w:bodyDiv w:val="1"/>
      <w:marLeft w:val="0"/>
      <w:marRight w:val="0"/>
      <w:marTop w:val="0"/>
      <w:marBottom w:val="0"/>
      <w:divBdr>
        <w:top w:val="none" w:sz="0" w:space="0" w:color="auto"/>
        <w:left w:val="none" w:sz="0" w:space="0" w:color="auto"/>
        <w:bottom w:val="none" w:sz="0" w:space="0" w:color="auto"/>
        <w:right w:val="none" w:sz="0" w:space="0" w:color="auto"/>
      </w:divBdr>
      <w:divsChild>
        <w:div w:id="471406916">
          <w:marLeft w:val="0"/>
          <w:marRight w:val="0"/>
          <w:marTop w:val="0"/>
          <w:marBottom w:val="0"/>
          <w:divBdr>
            <w:top w:val="none" w:sz="0" w:space="0" w:color="auto"/>
            <w:left w:val="none" w:sz="0" w:space="0" w:color="auto"/>
            <w:bottom w:val="none" w:sz="0" w:space="0" w:color="auto"/>
            <w:right w:val="none" w:sz="0" w:space="0" w:color="auto"/>
          </w:divBdr>
          <w:divsChild>
            <w:div w:id="1248272450">
              <w:marLeft w:val="0"/>
              <w:marRight w:val="0"/>
              <w:marTop w:val="0"/>
              <w:marBottom w:val="0"/>
              <w:divBdr>
                <w:top w:val="none" w:sz="0" w:space="0" w:color="auto"/>
                <w:left w:val="none" w:sz="0" w:space="0" w:color="auto"/>
                <w:bottom w:val="none" w:sz="0" w:space="0" w:color="auto"/>
                <w:right w:val="none" w:sz="0" w:space="0" w:color="auto"/>
              </w:divBdr>
              <w:divsChild>
                <w:div w:id="20817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5492">
      <w:bodyDiv w:val="1"/>
      <w:marLeft w:val="0"/>
      <w:marRight w:val="0"/>
      <w:marTop w:val="0"/>
      <w:marBottom w:val="0"/>
      <w:divBdr>
        <w:top w:val="none" w:sz="0" w:space="0" w:color="auto"/>
        <w:left w:val="none" w:sz="0" w:space="0" w:color="auto"/>
        <w:bottom w:val="none" w:sz="0" w:space="0" w:color="auto"/>
        <w:right w:val="none" w:sz="0" w:space="0" w:color="auto"/>
      </w:divBdr>
    </w:div>
    <w:div w:id="1582906437">
      <w:bodyDiv w:val="1"/>
      <w:marLeft w:val="0"/>
      <w:marRight w:val="0"/>
      <w:marTop w:val="0"/>
      <w:marBottom w:val="0"/>
      <w:divBdr>
        <w:top w:val="none" w:sz="0" w:space="0" w:color="auto"/>
        <w:left w:val="none" w:sz="0" w:space="0" w:color="auto"/>
        <w:bottom w:val="none" w:sz="0" w:space="0" w:color="auto"/>
        <w:right w:val="none" w:sz="0" w:space="0" w:color="auto"/>
      </w:divBdr>
    </w:div>
    <w:div w:id="1643927506">
      <w:bodyDiv w:val="1"/>
      <w:marLeft w:val="0"/>
      <w:marRight w:val="0"/>
      <w:marTop w:val="0"/>
      <w:marBottom w:val="0"/>
      <w:divBdr>
        <w:top w:val="none" w:sz="0" w:space="0" w:color="auto"/>
        <w:left w:val="none" w:sz="0" w:space="0" w:color="auto"/>
        <w:bottom w:val="none" w:sz="0" w:space="0" w:color="auto"/>
        <w:right w:val="none" w:sz="0" w:space="0" w:color="auto"/>
      </w:divBdr>
      <w:divsChild>
        <w:div w:id="1665160544">
          <w:marLeft w:val="0"/>
          <w:marRight w:val="0"/>
          <w:marTop w:val="0"/>
          <w:marBottom w:val="0"/>
          <w:divBdr>
            <w:top w:val="none" w:sz="0" w:space="0" w:color="auto"/>
            <w:left w:val="none" w:sz="0" w:space="0" w:color="auto"/>
            <w:bottom w:val="none" w:sz="0" w:space="0" w:color="auto"/>
            <w:right w:val="none" w:sz="0" w:space="0" w:color="auto"/>
          </w:divBdr>
          <w:divsChild>
            <w:div w:id="209878491">
              <w:marLeft w:val="0"/>
              <w:marRight w:val="0"/>
              <w:marTop w:val="0"/>
              <w:marBottom w:val="0"/>
              <w:divBdr>
                <w:top w:val="none" w:sz="0" w:space="0" w:color="auto"/>
                <w:left w:val="none" w:sz="0" w:space="0" w:color="auto"/>
                <w:bottom w:val="none" w:sz="0" w:space="0" w:color="auto"/>
                <w:right w:val="none" w:sz="0" w:space="0" w:color="auto"/>
              </w:divBdr>
              <w:divsChild>
                <w:div w:id="7184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197433">
      <w:bodyDiv w:val="1"/>
      <w:marLeft w:val="0"/>
      <w:marRight w:val="0"/>
      <w:marTop w:val="0"/>
      <w:marBottom w:val="0"/>
      <w:divBdr>
        <w:top w:val="none" w:sz="0" w:space="0" w:color="auto"/>
        <w:left w:val="none" w:sz="0" w:space="0" w:color="auto"/>
        <w:bottom w:val="none" w:sz="0" w:space="0" w:color="auto"/>
        <w:right w:val="none" w:sz="0" w:space="0" w:color="auto"/>
      </w:divBdr>
    </w:div>
    <w:div w:id="1688214290">
      <w:bodyDiv w:val="1"/>
      <w:marLeft w:val="0"/>
      <w:marRight w:val="0"/>
      <w:marTop w:val="0"/>
      <w:marBottom w:val="0"/>
      <w:divBdr>
        <w:top w:val="none" w:sz="0" w:space="0" w:color="auto"/>
        <w:left w:val="none" w:sz="0" w:space="0" w:color="auto"/>
        <w:bottom w:val="none" w:sz="0" w:space="0" w:color="auto"/>
        <w:right w:val="none" w:sz="0" w:space="0" w:color="auto"/>
      </w:divBdr>
    </w:div>
    <w:div w:id="1694379393">
      <w:bodyDiv w:val="1"/>
      <w:marLeft w:val="0"/>
      <w:marRight w:val="0"/>
      <w:marTop w:val="0"/>
      <w:marBottom w:val="0"/>
      <w:divBdr>
        <w:top w:val="none" w:sz="0" w:space="0" w:color="auto"/>
        <w:left w:val="none" w:sz="0" w:space="0" w:color="auto"/>
        <w:bottom w:val="none" w:sz="0" w:space="0" w:color="auto"/>
        <w:right w:val="none" w:sz="0" w:space="0" w:color="auto"/>
      </w:divBdr>
    </w:div>
    <w:div w:id="1707634151">
      <w:bodyDiv w:val="1"/>
      <w:marLeft w:val="0"/>
      <w:marRight w:val="0"/>
      <w:marTop w:val="0"/>
      <w:marBottom w:val="0"/>
      <w:divBdr>
        <w:top w:val="none" w:sz="0" w:space="0" w:color="auto"/>
        <w:left w:val="none" w:sz="0" w:space="0" w:color="auto"/>
        <w:bottom w:val="none" w:sz="0" w:space="0" w:color="auto"/>
        <w:right w:val="none" w:sz="0" w:space="0" w:color="auto"/>
      </w:divBdr>
      <w:divsChild>
        <w:div w:id="1303735800">
          <w:marLeft w:val="0"/>
          <w:marRight w:val="0"/>
          <w:marTop w:val="0"/>
          <w:marBottom w:val="0"/>
          <w:divBdr>
            <w:top w:val="none" w:sz="0" w:space="0" w:color="auto"/>
            <w:left w:val="none" w:sz="0" w:space="0" w:color="auto"/>
            <w:bottom w:val="none" w:sz="0" w:space="0" w:color="auto"/>
            <w:right w:val="none" w:sz="0" w:space="0" w:color="auto"/>
          </w:divBdr>
          <w:divsChild>
            <w:div w:id="1330787607">
              <w:marLeft w:val="0"/>
              <w:marRight w:val="0"/>
              <w:marTop w:val="0"/>
              <w:marBottom w:val="0"/>
              <w:divBdr>
                <w:top w:val="none" w:sz="0" w:space="0" w:color="auto"/>
                <w:left w:val="none" w:sz="0" w:space="0" w:color="auto"/>
                <w:bottom w:val="none" w:sz="0" w:space="0" w:color="auto"/>
                <w:right w:val="none" w:sz="0" w:space="0" w:color="auto"/>
              </w:divBdr>
              <w:divsChild>
                <w:div w:id="6945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066882">
      <w:bodyDiv w:val="1"/>
      <w:marLeft w:val="0"/>
      <w:marRight w:val="0"/>
      <w:marTop w:val="0"/>
      <w:marBottom w:val="0"/>
      <w:divBdr>
        <w:top w:val="none" w:sz="0" w:space="0" w:color="auto"/>
        <w:left w:val="none" w:sz="0" w:space="0" w:color="auto"/>
        <w:bottom w:val="none" w:sz="0" w:space="0" w:color="auto"/>
        <w:right w:val="none" w:sz="0" w:space="0" w:color="auto"/>
      </w:divBdr>
      <w:divsChild>
        <w:div w:id="2060742823">
          <w:marLeft w:val="0"/>
          <w:marRight w:val="0"/>
          <w:marTop w:val="0"/>
          <w:marBottom w:val="0"/>
          <w:divBdr>
            <w:top w:val="none" w:sz="0" w:space="0" w:color="auto"/>
            <w:left w:val="none" w:sz="0" w:space="0" w:color="auto"/>
            <w:bottom w:val="none" w:sz="0" w:space="0" w:color="auto"/>
            <w:right w:val="none" w:sz="0" w:space="0" w:color="auto"/>
          </w:divBdr>
          <w:divsChild>
            <w:div w:id="721947488">
              <w:marLeft w:val="0"/>
              <w:marRight w:val="0"/>
              <w:marTop w:val="0"/>
              <w:marBottom w:val="0"/>
              <w:divBdr>
                <w:top w:val="none" w:sz="0" w:space="0" w:color="auto"/>
                <w:left w:val="none" w:sz="0" w:space="0" w:color="auto"/>
                <w:bottom w:val="none" w:sz="0" w:space="0" w:color="auto"/>
                <w:right w:val="none" w:sz="0" w:space="0" w:color="auto"/>
              </w:divBdr>
              <w:divsChild>
                <w:div w:id="13563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9814">
      <w:bodyDiv w:val="1"/>
      <w:marLeft w:val="0"/>
      <w:marRight w:val="0"/>
      <w:marTop w:val="0"/>
      <w:marBottom w:val="0"/>
      <w:divBdr>
        <w:top w:val="none" w:sz="0" w:space="0" w:color="auto"/>
        <w:left w:val="none" w:sz="0" w:space="0" w:color="auto"/>
        <w:bottom w:val="none" w:sz="0" w:space="0" w:color="auto"/>
        <w:right w:val="none" w:sz="0" w:space="0" w:color="auto"/>
      </w:divBdr>
    </w:div>
    <w:div w:id="1724715130">
      <w:bodyDiv w:val="1"/>
      <w:marLeft w:val="0"/>
      <w:marRight w:val="0"/>
      <w:marTop w:val="0"/>
      <w:marBottom w:val="0"/>
      <w:divBdr>
        <w:top w:val="none" w:sz="0" w:space="0" w:color="auto"/>
        <w:left w:val="none" w:sz="0" w:space="0" w:color="auto"/>
        <w:bottom w:val="none" w:sz="0" w:space="0" w:color="auto"/>
        <w:right w:val="none" w:sz="0" w:space="0" w:color="auto"/>
      </w:divBdr>
      <w:divsChild>
        <w:div w:id="1392384271">
          <w:marLeft w:val="0"/>
          <w:marRight w:val="0"/>
          <w:marTop w:val="0"/>
          <w:marBottom w:val="0"/>
          <w:divBdr>
            <w:top w:val="none" w:sz="0" w:space="0" w:color="auto"/>
            <w:left w:val="none" w:sz="0" w:space="0" w:color="auto"/>
            <w:bottom w:val="none" w:sz="0" w:space="0" w:color="auto"/>
            <w:right w:val="none" w:sz="0" w:space="0" w:color="auto"/>
          </w:divBdr>
          <w:divsChild>
            <w:div w:id="1679700240">
              <w:marLeft w:val="0"/>
              <w:marRight w:val="0"/>
              <w:marTop w:val="0"/>
              <w:marBottom w:val="0"/>
              <w:divBdr>
                <w:top w:val="none" w:sz="0" w:space="0" w:color="auto"/>
                <w:left w:val="none" w:sz="0" w:space="0" w:color="auto"/>
                <w:bottom w:val="none" w:sz="0" w:space="0" w:color="auto"/>
                <w:right w:val="none" w:sz="0" w:space="0" w:color="auto"/>
              </w:divBdr>
              <w:divsChild>
                <w:div w:id="16501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22195">
      <w:bodyDiv w:val="1"/>
      <w:marLeft w:val="0"/>
      <w:marRight w:val="0"/>
      <w:marTop w:val="0"/>
      <w:marBottom w:val="0"/>
      <w:divBdr>
        <w:top w:val="none" w:sz="0" w:space="0" w:color="auto"/>
        <w:left w:val="none" w:sz="0" w:space="0" w:color="auto"/>
        <w:bottom w:val="none" w:sz="0" w:space="0" w:color="auto"/>
        <w:right w:val="none" w:sz="0" w:space="0" w:color="auto"/>
      </w:divBdr>
    </w:div>
    <w:div w:id="1761871355">
      <w:bodyDiv w:val="1"/>
      <w:marLeft w:val="0"/>
      <w:marRight w:val="0"/>
      <w:marTop w:val="0"/>
      <w:marBottom w:val="0"/>
      <w:divBdr>
        <w:top w:val="none" w:sz="0" w:space="0" w:color="auto"/>
        <w:left w:val="none" w:sz="0" w:space="0" w:color="auto"/>
        <w:bottom w:val="none" w:sz="0" w:space="0" w:color="auto"/>
        <w:right w:val="none" w:sz="0" w:space="0" w:color="auto"/>
      </w:divBdr>
    </w:div>
    <w:div w:id="1809782082">
      <w:bodyDiv w:val="1"/>
      <w:marLeft w:val="0"/>
      <w:marRight w:val="0"/>
      <w:marTop w:val="0"/>
      <w:marBottom w:val="0"/>
      <w:divBdr>
        <w:top w:val="none" w:sz="0" w:space="0" w:color="auto"/>
        <w:left w:val="none" w:sz="0" w:space="0" w:color="auto"/>
        <w:bottom w:val="none" w:sz="0" w:space="0" w:color="auto"/>
        <w:right w:val="none" w:sz="0" w:space="0" w:color="auto"/>
      </w:divBdr>
    </w:div>
    <w:div w:id="1813517269">
      <w:bodyDiv w:val="1"/>
      <w:marLeft w:val="0"/>
      <w:marRight w:val="0"/>
      <w:marTop w:val="0"/>
      <w:marBottom w:val="0"/>
      <w:divBdr>
        <w:top w:val="none" w:sz="0" w:space="0" w:color="auto"/>
        <w:left w:val="none" w:sz="0" w:space="0" w:color="auto"/>
        <w:bottom w:val="none" w:sz="0" w:space="0" w:color="auto"/>
        <w:right w:val="none" w:sz="0" w:space="0" w:color="auto"/>
      </w:divBdr>
      <w:divsChild>
        <w:div w:id="275647144">
          <w:marLeft w:val="0"/>
          <w:marRight w:val="0"/>
          <w:marTop w:val="0"/>
          <w:marBottom w:val="0"/>
          <w:divBdr>
            <w:top w:val="none" w:sz="0" w:space="0" w:color="auto"/>
            <w:left w:val="none" w:sz="0" w:space="0" w:color="auto"/>
            <w:bottom w:val="none" w:sz="0" w:space="0" w:color="auto"/>
            <w:right w:val="none" w:sz="0" w:space="0" w:color="auto"/>
          </w:divBdr>
          <w:divsChild>
            <w:div w:id="2132822849">
              <w:marLeft w:val="0"/>
              <w:marRight w:val="0"/>
              <w:marTop w:val="0"/>
              <w:marBottom w:val="0"/>
              <w:divBdr>
                <w:top w:val="none" w:sz="0" w:space="0" w:color="auto"/>
                <w:left w:val="none" w:sz="0" w:space="0" w:color="auto"/>
                <w:bottom w:val="none" w:sz="0" w:space="0" w:color="auto"/>
                <w:right w:val="none" w:sz="0" w:space="0" w:color="auto"/>
              </w:divBdr>
              <w:divsChild>
                <w:div w:id="199474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97403">
      <w:bodyDiv w:val="1"/>
      <w:marLeft w:val="0"/>
      <w:marRight w:val="0"/>
      <w:marTop w:val="0"/>
      <w:marBottom w:val="0"/>
      <w:divBdr>
        <w:top w:val="none" w:sz="0" w:space="0" w:color="auto"/>
        <w:left w:val="none" w:sz="0" w:space="0" w:color="auto"/>
        <w:bottom w:val="none" w:sz="0" w:space="0" w:color="auto"/>
        <w:right w:val="none" w:sz="0" w:space="0" w:color="auto"/>
      </w:divBdr>
      <w:divsChild>
        <w:div w:id="1935819877">
          <w:marLeft w:val="0"/>
          <w:marRight w:val="0"/>
          <w:marTop w:val="0"/>
          <w:marBottom w:val="0"/>
          <w:divBdr>
            <w:top w:val="none" w:sz="0" w:space="0" w:color="auto"/>
            <w:left w:val="none" w:sz="0" w:space="0" w:color="auto"/>
            <w:bottom w:val="none" w:sz="0" w:space="0" w:color="auto"/>
            <w:right w:val="none" w:sz="0" w:space="0" w:color="auto"/>
          </w:divBdr>
          <w:divsChild>
            <w:div w:id="386346964">
              <w:marLeft w:val="0"/>
              <w:marRight w:val="0"/>
              <w:marTop w:val="0"/>
              <w:marBottom w:val="0"/>
              <w:divBdr>
                <w:top w:val="none" w:sz="0" w:space="0" w:color="auto"/>
                <w:left w:val="none" w:sz="0" w:space="0" w:color="auto"/>
                <w:bottom w:val="none" w:sz="0" w:space="0" w:color="auto"/>
                <w:right w:val="none" w:sz="0" w:space="0" w:color="auto"/>
              </w:divBdr>
              <w:divsChild>
                <w:div w:id="12231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641066">
      <w:bodyDiv w:val="1"/>
      <w:marLeft w:val="0"/>
      <w:marRight w:val="0"/>
      <w:marTop w:val="0"/>
      <w:marBottom w:val="0"/>
      <w:divBdr>
        <w:top w:val="none" w:sz="0" w:space="0" w:color="auto"/>
        <w:left w:val="none" w:sz="0" w:space="0" w:color="auto"/>
        <w:bottom w:val="none" w:sz="0" w:space="0" w:color="auto"/>
        <w:right w:val="none" w:sz="0" w:space="0" w:color="auto"/>
      </w:divBdr>
    </w:div>
    <w:div w:id="1948543450">
      <w:bodyDiv w:val="1"/>
      <w:marLeft w:val="0"/>
      <w:marRight w:val="0"/>
      <w:marTop w:val="0"/>
      <w:marBottom w:val="0"/>
      <w:divBdr>
        <w:top w:val="none" w:sz="0" w:space="0" w:color="auto"/>
        <w:left w:val="none" w:sz="0" w:space="0" w:color="auto"/>
        <w:bottom w:val="none" w:sz="0" w:space="0" w:color="auto"/>
        <w:right w:val="none" w:sz="0" w:space="0" w:color="auto"/>
      </w:divBdr>
      <w:divsChild>
        <w:div w:id="1389646106">
          <w:marLeft w:val="0"/>
          <w:marRight w:val="0"/>
          <w:marTop w:val="0"/>
          <w:marBottom w:val="0"/>
          <w:divBdr>
            <w:top w:val="none" w:sz="0" w:space="0" w:color="auto"/>
            <w:left w:val="none" w:sz="0" w:space="0" w:color="auto"/>
            <w:bottom w:val="none" w:sz="0" w:space="0" w:color="auto"/>
            <w:right w:val="none" w:sz="0" w:space="0" w:color="auto"/>
          </w:divBdr>
          <w:divsChild>
            <w:div w:id="655843834">
              <w:marLeft w:val="0"/>
              <w:marRight w:val="0"/>
              <w:marTop w:val="0"/>
              <w:marBottom w:val="0"/>
              <w:divBdr>
                <w:top w:val="none" w:sz="0" w:space="0" w:color="auto"/>
                <w:left w:val="none" w:sz="0" w:space="0" w:color="auto"/>
                <w:bottom w:val="none" w:sz="0" w:space="0" w:color="auto"/>
                <w:right w:val="none" w:sz="0" w:space="0" w:color="auto"/>
              </w:divBdr>
              <w:divsChild>
                <w:div w:id="2144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059414">
      <w:bodyDiv w:val="1"/>
      <w:marLeft w:val="0"/>
      <w:marRight w:val="0"/>
      <w:marTop w:val="0"/>
      <w:marBottom w:val="0"/>
      <w:divBdr>
        <w:top w:val="none" w:sz="0" w:space="0" w:color="auto"/>
        <w:left w:val="none" w:sz="0" w:space="0" w:color="auto"/>
        <w:bottom w:val="none" w:sz="0" w:space="0" w:color="auto"/>
        <w:right w:val="none" w:sz="0" w:space="0" w:color="auto"/>
      </w:divBdr>
    </w:div>
    <w:div w:id="1968849300">
      <w:bodyDiv w:val="1"/>
      <w:marLeft w:val="0"/>
      <w:marRight w:val="0"/>
      <w:marTop w:val="0"/>
      <w:marBottom w:val="0"/>
      <w:divBdr>
        <w:top w:val="none" w:sz="0" w:space="0" w:color="auto"/>
        <w:left w:val="none" w:sz="0" w:space="0" w:color="auto"/>
        <w:bottom w:val="none" w:sz="0" w:space="0" w:color="auto"/>
        <w:right w:val="none" w:sz="0" w:space="0" w:color="auto"/>
      </w:divBdr>
      <w:divsChild>
        <w:div w:id="1230191303">
          <w:marLeft w:val="0"/>
          <w:marRight w:val="0"/>
          <w:marTop w:val="0"/>
          <w:marBottom w:val="0"/>
          <w:divBdr>
            <w:top w:val="none" w:sz="0" w:space="0" w:color="auto"/>
            <w:left w:val="none" w:sz="0" w:space="0" w:color="auto"/>
            <w:bottom w:val="none" w:sz="0" w:space="0" w:color="auto"/>
            <w:right w:val="none" w:sz="0" w:space="0" w:color="auto"/>
          </w:divBdr>
          <w:divsChild>
            <w:div w:id="790366647">
              <w:marLeft w:val="0"/>
              <w:marRight w:val="0"/>
              <w:marTop w:val="0"/>
              <w:marBottom w:val="0"/>
              <w:divBdr>
                <w:top w:val="none" w:sz="0" w:space="0" w:color="auto"/>
                <w:left w:val="none" w:sz="0" w:space="0" w:color="auto"/>
                <w:bottom w:val="none" w:sz="0" w:space="0" w:color="auto"/>
                <w:right w:val="none" w:sz="0" w:space="0" w:color="auto"/>
              </w:divBdr>
              <w:divsChild>
                <w:div w:id="82728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764577">
      <w:bodyDiv w:val="1"/>
      <w:marLeft w:val="0"/>
      <w:marRight w:val="0"/>
      <w:marTop w:val="0"/>
      <w:marBottom w:val="0"/>
      <w:divBdr>
        <w:top w:val="none" w:sz="0" w:space="0" w:color="auto"/>
        <w:left w:val="none" w:sz="0" w:space="0" w:color="auto"/>
        <w:bottom w:val="none" w:sz="0" w:space="0" w:color="auto"/>
        <w:right w:val="none" w:sz="0" w:space="0" w:color="auto"/>
      </w:divBdr>
    </w:div>
    <w:div w:id="1981880083">
      <w:bodyDiv w:val="1"/>
      <w:marLeft w:val="0"/>
      <w:marRight w:val="0"/>
      <w:marTop w:val="0"/>
      <w:marBottom w:val="0"/>
      <w:divBdr>
        <w:top w:val="none" w:sz="0" w:space="0" w:color="auto"/>
        <w:left w:val="none" w:sz="0" w:space="0" w:color="auto"/>
        <w:bottom w:val="none" w:sz="0" w:space="0" w:color="auto"/>
        <w:right w:val="none" w:sz="0" w:space="0" w:color="auto"/>
      </w:divBdr>
      <w:divsChild>
        <w:div w:id="1939437196">
          <w:marLeft w:val="0"/>
          <w:marRight w:val="0"/>
          <w:marTop w:val="0"/>
          <w:marBottom w:val="0"/>
          <w:divBdr>
            <w:top w:val="none" w:sz="0" w:space="0" w:color="auto"/>
            <w:left w:val="none" w:sz="0" w:space="0" w:color="auto"/>
            <w:bottom w:val="none" w:sz="0" w:space="0" w:color="auto"/>
            <w:right w:val="none" w:sz="0" w:space="0" w:color="auto"/>
          </w:divBdr>
          <w:divsChild>
            <w:div w:id="6518829">
              <w:marLeft w:val="0"/>
              <w:marRight w:val="0"/>
              <w:marTop w:val="0"/>
              <w:marBottom w:val="0"/>
              <w:divBdr>
                <w:top w:val="none" w:sz="0" w:space="0" w:color="auto"/>
                <w:left w:val="none" w:sz="0" w:space="0" w:color="auto"/>
                <w:bottom w:val="none" w:sz="0" w:space="0" w:color="auto"/>
                <w:right w:val="none" w:sz="0" w:space="0" w:color="auto"/>
              </w:divBdr>
              <w:divsChild>
                <w:div w:id="69318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42521">
      <w:bodyDiv w:val="1"/>
      <w:marLeft w:val="0"/>
      <w:marRight w:val="0"/>
      <w:marTop w:val="0"/>
      <w:marBottom w:val="0"/>
      <w:divBdr>
        <w:top w:val="none" w:sz="0" w:space="0" w:color="auto"/>
        <w:left w:val="none" w:sz="0" w:space="0" w:color="auto"/>
        <w:bottom w:val="none" w:sz="0" w:space="0" w:color="auto"/>
        <w:right w:val="none" w:sz="0" w:space="0" w:color="auto"/>
      </w:divBdr>
    </w:div>
    <w:div w:id="2023776111">
      <w:bodyDiv w:val="1"/>
      <w:marLeft w:val="0"/>
      <w:marRight w:val="0"/>
      <w:marTop w:val="0"/>
      <w:marBottom w:val="0"/>
      <w:divBdr>
        <w:top w:val="none" w:sz="0" w:space="0" w:color="auto"/>
        <w:left w:val="none" w:sz="0" w:space="0" w:color="auto"/>
        <w:bottom w:val="none" w:sz="0" w:space="0" w:color="auto"/>
        <w:right w:val="none" w:sz="0" w:space="0" w:color="auto"/>
      </w:divBdr>
    </w:div>
    <w:div w:id="2071732367">
      <w:bodyDiv w:val="1"/>
      <w:marLeft w:val="0"/>
      <w:marRight w:val="0"/>
      <w:marTop w:val="0"/>
      <w:marBottom w:val="0"/>
      <w:divBdr>
        <w:top w:val="none" w:sz="0" w:space="0" w:color="auto"/>
        <w:left w:val="none" w:sz="0" w:space="0" w:color="auto"/>
        <w:bottom w:val="none" w:sz="0" w:space="0" w:color="auto"/>
        <w:right w:val="none" w:sz="0" w:space="0" w:color="auto"/>
      </w:divBdr>
    </w:div>
    <w:div w:id="209616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7758</Words>
  <Characters>44221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Sudmant</dc:creator>
  <cp:keywords/>
  <dc:description/>
  <cp:lastModifiedBy>Microsoft Office User</cp:lastModifiedBy>
  <cp:revision>2</cp:revision>
  <dcterms:created xsi:type="dcterms:W3CDTF">2019-05-06T09:12:00Z</dcterms:created>
  <dcterms:modified xsi:type="dcterms:W3CDTF">2019-05-06T09:12:00Z</dcterms:modified>
</cp:coreProperties>
</file>