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298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l8om2el8om2el8o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Title"/>
        <w:jc w:val="left"/>
      </w:pPr>
      <w:r>
        <w:t>Brief creativo</w:t>
        <w:br/>
        <w:t>Campaña editorial tipo OOH</w:t>
        <w:br/>
        <w:t>Día Internacional del Libro</w:t>
      </w:r>
    </w:p>
    <w:p>
      <w:pPr>
        <w:pStyle w:val="SMSubtitle"/>
        <w:jc w:val="left"/>
      </w:pPr>
      <w:r>
        <w:t>Sinergia M · Guía rápida para solicitar medidas de protección</w:t>
      </w:r>
    </w:p>
    <w:p>
      <w:pPr>
        <w:pStyle w:val="SMBody"/>
      </w:pPr>
      <w:r>
        <w:t>Documento base para diseño de posteos y adaptaciones visuales en redes sociales.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D5C8"/>
          <w:left w:val="single" w:sz="6" w:space="0" w:color="E0D5C8"/>
          <w:bottom w:val="single" w:sz="6" w:space="0" w:color="E0D5C8"/>
          <w:right w:val="single" w:sz="6" w:space="0" w:color="E0D5C8"/>
          <w:insideH w:val="single" w:sz="6" w:space="0" w:color="E0D5C8"/>
          <w:insideV w:val="single" w:sz="6" w:space="0" w:color="E0D5C8"/>
        </w:tblBorders>
      </w:tblPr>
      <w:tblGrid>
        <w:gridCol w:w="2835"/>
        <w:gridCol w:w="3572"/>
        <w:gridCol w:w="2835"/>
      </w:tblGrid>
      <w:tr>
        <w:tc>
          <w:tcPr>
            <w:tcW w:type="dxa" w:w="3324"/>
            <w:shd w:fill="F3EDE4"/>
            <w:vAlign w:val="center"/>
          </w:tcPr>
          <w:p>
            <w:r>
              <w:rPr>
                <w:b/>
                <w:color w:val="362754"/>
                <w:sz w:val="20"/>
              </w:rPr>
              <w:t>Objetivo</w:t>
              <w:br/>
            </w:r>
            <w:r>
              <w:rPr>
                <w:sz w:val="19"/>
              </w:rPr>
              <w:t>Posicionar la Guía como una lectura útil, compartible y accionable.</w:t>
            </w:r>
          </w:p>
        </w:tc>
        <w:tc>
          <w:tcPr>
            <w:tcW w:type="dxa" w:w="3324"/>
            <w:shd w:fill="F3EDE4"/>
            <w:vAlign w:val="center"/>
          </w:tcPr>
          <w:p>
            <w:r>
              <w:rPr>
                <w:b/>
                <w:color w:val="362754"/>
                <w:sz w:val="20"/>
              </w:rPr>
              <w:t>Tono</w:t>
              <w:br/>
            </w:r>
            <w:r>
              <w:rPr>
                <w:sz w:val="19"/>
              </w:rPr>
              <w:t>Ingenioso, sutil, editorial, digno, nunca frívolo.</w:t>
            </w:r>
          </w:p>
        </w:tc>
        <w:tc>
          <w:tcPr>
            <w:tcW w:type="dxa" w:w="3324"/>
            <w:shd w:fill="F3EDE4"/>
            <w:vAlign w:val="center"/>
          </w:tcPr>
          <w:p>
            <w:r>
              <w:rPr>
                <w:b/>
                <w:color w:val="362754"/>
                <w:sz w:val="20"/>
              </w:rPr>
              <w:t>Formato</w:t>
              <w:br/>
            </w:r>
            <w:r>
              <w:rPr>
                <w:sz w:val="19"/>
              </w:rPr>
              <w:t>Fake OOH / espectacular / cartel editorial para social media.</w:t>
            </w:r>
          </w:p>
        </w:tc>
      </w:tr>
    </w:tbl>
    <w:p>
      <w:pPr>
        <w:pStyle w:val="SMH1"/>
      </w:pPr>
      <w:r>
        <w:t>1. Concepto general</w:t>
      </w:r>
    </w:p>
    <w:p>
      <w:pPr>
        <w:pStyle w:val="SMBody"/>
      </w:pPr>
      <w:r>
        <w:t>La campaña toma como referencia el lenguaje publicitario editorial que hizo reconocible a Gandhi: frases breves, con inteligencia sutil y una lectura aparentemente ligera que, al aterrizar, revela una verdad útil. En este caso, el giro está en vincular la lectura con la posibilidad de informarse, orientarse y dar un primer paso hacia la protección.</w:t>
      </w:r>
    </w:p>
    <w:p>
      <w:pPr>
        <w:pStyle w:val="SMQuote"/>
      </w:pPr>
      <w:r>
        <w:t>Idea rectora: leer también puede ser una forma de cuidado.</w:t>
      </w:r>
    </w:p>
    <w:p>
      <w:pPr>
        <w:pStyle w:val="SMBody"/>
      </w:pPr>
      <w:r>
        <w:t>La ejecución debe sentirse elegante, minimalista y muy cuidada. El humor, cuando aparezca, debe ser fino; jamás debe trivializar la violencia ni convertir la experiencia de las mujeres en un recurso decorativo.</w:t>
      </w:r>
    </w:p>
    <w:p>
      <w:pPr>
        <w:pStyle w:val="SMH1"/>
      </w:pPr>
      <w:r>
        <w:t>2. Principios de tono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Ingenio con contención: frases cortas, con doble lectura, sin sarcasmo agresivo.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Editorial, no panfletario: la pieza debe verse como una campaña cultural con propósito.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Humano y digno: el mensaje acompaña; no regaña, no alarma de forma amarillista.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Accionable: cada pieza debe conducir a descargar la Guía.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Consistente: mantener un sistema visual reconocible en toda la serie.</w:t>
      </w:r>
    </w:p>
    <w:p>
      <w:pPr>
        <w:pStyle w:val="SMH1"/>
      </w:pPr>
      <w:r>
        <w:t>3. Guía de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D5C8"/>
          <w:left w:val="single" w:sz="6" w:space="0" w:color="E0D5C8"/>
          <w:bottom w:val="single" w:sz="6" w:space="0" w:color="E0D5C8"/>
          <w:right w:val="single" w:sz="6" w:space="0" w:color="E0D5C8"/>
          <w:insideH w:val="single" w:sz="6" w:space="0" w:color="E0D5C8"/>
          <w:insideV w:val="single" w:sz="6" w:space="0" w:color="E0D5C8"/>
        </w:tblBorders>
      </w:tblPr>
      <w:tblGrid>
        <w:gridCol w:w="2381"/>
        <w:gridCol w:w="6803"/>
      </w:tblGrid>
      <w:tr>
        <w:tc>
          <w:tcPr>
            <w:tcW w:type="dxa" w:w="4986"/>
            <w:shd w:fill="F3EDE4"/>
            <w:vAlign w:val="center"/>
          </w:tcPr>
          <w:p>
            <w:r>
              <w:rPr>
                <w:b/>
                <w:color w:val="362754"/>
              </w:rPr>
              <w:t>Estética general</w:t>
            </w:r>
          </w:p>
        </w:tc>
        <w:tc>
          <w:tcPr>
            <w:tcW w:type="dxa" w:w="4986"/>
            <w:vAlign w:val="center"/>
          </w:tcPr>
          <w:p>
            <w:r>
              <w:t>Minimalista, editorial y aspiracional. Debe sentirse limpia, premium y muy legible, incluso al primer vistazo.</w:t>
            </w:r>
          </w:p>
        </w:tc>
      </w:tr>
      <w:tr>
        <w:tc>
          <w:tcPr>
            <w:tcW w:type="dxa" w:w="4986"/>
            <w:shd w:fill="F3EDE4"/>
            <w:vAlign w:val="center"/>
          </w:tcPr>
          <w:p>
            <w:r>
              <w:rPr>
                <w:b/>
                <w:color w:val="362754"/>
              </w:rPr>
              <w:t>Composición</w:t>
            </w:r>
          </w:p>
        </w:tc>
        <w:tc>
          <w:tcPr>
            <w:tcW w:type="dxa" w:w="4986"/>
            <w:vAlign w:val="center"/>
          </w:tcPr>
          <w:p>
            <w:r>
              <w:t>Texto protagonista, alineado a la izquierda. Mucho aire. El espectacular o cartel debe ser el foco principal dentro de la escena.</w:t>
            </w:r>
          </w:p>
        </w:tc>
      </w:tr>
      <w:tr>
        <w:tc>
          <w:tcPr>
            <w:tcW w:type="dxa" w:w="4986"/>
            <w:shd w:fill="F3EDE4"/>
            <w:vAlign w:val="center"/>
          </w:tcPr>
          <w:p>
            <w:r>
              <w:rPr>
                <w:b/>
                <w:color w:val="362754"/>
              </w:rPr>
              <w:t>Color</w:t>
            </w:r>
          </w:p>
        </w:tc>
        <w:tc>
          <w:tcPr>
            <w:tcW w:type="dxa" w:w="4986"/>
            <w:vAlign w:val="center"/>
          </w:tcPr>
          <w:p>
            <w:r>
              <w:t>Priorizar morado Sinergia M como fondo principal del copy; tipografía blanca o marfil muy clara. Se pueden explorar versiones crema con tipografía azul petróleo si se busca una atmósfera más ‘libro’.</w:t>
            </w:r>
          </w:p>
        </w:tc>
      </w:tr>
      <w:tr>
        <w:tc>
          <w:tcPr>
            <w:tcW w:type="dxa" w:w="4986"/>
            <w:shd w:fill="F3EDE4"/>
            <w:vAlign w:val="center"/>
          </w:tcPr>
          <w:p>
            <w:r>
              <w:rPr>
                <w:b/>
                <w:color w:val="362754"/>
              </w:rPr>
              <w:t>Tipografía</w:t>
            </w:r>
          </w:p>
        </w:tc>
        <w:tc>
          <w:tcPr>
            <w:tcW w:type="dxa" w:w="4986"/>
            <w:vAlign w:val="center"/>
          </w:tcPr>
          <w:p>
            <w:r>
              <w:t>Serif editorial o una combinación serif + sans de alto contraste. Evitar estilos demasiado tecnológicos o casuales. Jerarquía clara entre frase, remate y CTA.</w:t>
            </w:r>
          </w:p>
        </w:tc>
      </w:tr>
      <w:tr>
        <w:tc>
          <w:tcPr>
            <w:tcW w:type="dxa" w:w="4986"/>
            <w:shd w:fill="F3EDE4"/>
            <w:vAlign w:val="center"/>
          </w:tcPr>
          <w:p>
            <w:r>
              <w:rPr>
                <w:b/>
                <w:color w:val="362754"/>
              </w:rPr>
              <w:t>Escenario</w:t>
            </w:r>
          </w:p>
        </w:tc>
        <w:tc>
          <w:tcPr>
            <w:tcW w:type="dxa" w:w="4986"/>
            <w:vAlign w:val="center"/>
          </w:tcPr>
          <w:p>
            <w:r>
              <w:t>Entornos urbanos estéticos y creíbles: calle amplia, muro limpio, marquesina, espectacular o cartel. La escena debe verse cuidada, no genérica ni descuidada.</w:t>
            </w:r>
          </w:p>
        </w:tc>
      </w:tr>
      <w:tr>
        <w:tc>
          <w:tcPr>
            <w:tcW w:type="dxa" w:w="4986"/>
            <w:shd w:fill="F3EDE4"/>
            <w:vAlign w:val="center"/>
          </w:tcPr>
          <w:p>
            <w:r>
              <w:rPr>
                <w:b/>
                <w:color w:val="362754"/>
              </w:rPr>
              <w:t>Marca</w:t>
            </w:r>
          </w:p>
        </w:tc>
        <w:tc>
          <w:tcPr>
            <w:tcW w:type="dxa" w:w="4986"/>
            <w:vAlign w:val="center"/>
          </w:tcPr>
          <w:p>
            <w:r>
              <w:t>Logo de Sinergia M pequeño, discreto y bien integrado, idealmente en la esquina inferior derecha de la pieza impresa.</w:t>
            </w:r>
          </w:p>
        </w:tc>
      </w:tr>
    </w:tbl>
    <w:p>
      <w:pPr>
        <w:pStyle w:val="SMH1"/>
      </w:pPr>
      <w:r>
        <w:t>4. Estructura recomendada de cada pieza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Frase principal: 1 o 2 líneas máximas; fuerte, limpia, memorable.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Remate opcional: una línea corta que aterrice el sentido sin sobreexplicar.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Hashtag-CTA: usar #DescargaLaGuía como cierre constante de campaña.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Firma: Sinergia M con presencia secundaria.</w:t>
      </w:r>
    </w:p>
    <w:p>
      <w:pPr>
        <w:pStyle w:val="SMH2"/>
      </w:pPr>
      <w:r>
        <w:t>Ejemplo de arquitectura visual</w:t>
      </w:r>
    </w:p>
    <w:p>
      <w:pPr>
        <w:pStyle w:val="SMQuote"/>
      </w:pPr>
      <w:r>
        <w:t>Leer entre líneas ayuda.</w:t>
        <w:br/>
        <w:t>Leer esta Guía, también.</w:t>
        <w:br/>
        <w:br/>
        <w:t>Leer también puede ser un primer paso. #DescargaLaGuía</w:t>
      </w:r>
    </w:p>
    <w:p>
      <w:pPr>
        <w:pStyle w:val="SMH1"/>
      </w:pPr>
      <w:r>
        <w:t>5. Banco de frases sugeridas</w:t>
      </w:r>
    </w:p>
    <w:p>
      <w:pPr>
        <w:pStyle w:val="SMBody"/>
      </w:pPr>
      <w:r>
        <w:t>Se sugiere desarrollar la campaña como serie. A continuación, una selección curada de 20 frases para explorar visualmente: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0D5C8"/>
          <w:left w:val="single" w:sz="6" w:space="0" w:color="E0D5C8"/>
          <w:bottom w:val="single" w:sz="6" w:space="0" w:color="E0D5C8"/>
          <w:right w:val="single" w:sz="6" w:space="0" w:color="E0D5C8"/>
          <w:insideH w:val="single" w:sz="6" w:space="0" w:color="E0D5C8"/>
          <w:insideV w:val="single" w:sz="6" w:space="0" w:color="E0D5C8"/>
        </w:tblBorders>
      </w:tblPr>
      <w:tblGrid>
        <w:gridCol w:w="567"/>
        <w:gridCol w:w="8617"/>
      </w:tblGrid>
      <w:tr>
        <w:tc>
          <w:tcPr>
            <w:tcW w:type="dxa" w:w="4986"/>
            <w:shd w:fill="EDE4F5"/>
          </w:tcPr>
          <w:p>
            <w:r>
              <w:rPr>
                <w:b/>
                <w:color w:val="362754"/>
              </w:rPr>
              <w:t>#</w:t>
            </w:r>
          </w:p>
        </w:tc>
        <w:tc>
          <w:tcPr>
            <w:tcW w:type="dxa" w:w="4986"/>
            <w:shd w:fill="EDE4F5"/>
          </w:tcPr>
          <w:p>
            <w:r>
              <w:rPr>
                <w:b/>
                <w:color w:val="362754"/>
              </w:rPr>
              <w:t>Frase</w:t>
            </w:r>
          </w:p>
        </w:tc>
      </w:tr>
      <w:tr>
        <w:tc>
          <w:tcPr>
            <w:tcW w:type="dxa" w:w="567"/>
            <w:vAlign w:val="center"/>
          </w:tcPr>
          <w:p>
            <w:r>
              <w:t>1</w:t>
            </w:r>
          </w:p>
        </w:tc>
        <w:tc>
          <w:tcPr>
            <w:tcW w:type="dxa" w:w="8617"/>
            <w:vAlign w:val="center"/>
          </w:tcPr>
          <w:p>
            <w:r>
              <w:t>Leer no quita el miedo. Pero a veces sí te muestra la salida.</w:t>
            </w:r>
          </w:p>
        </w:tc>
      </w:tr>
      <w:tr>
        <w:tc>
          <w:tcPr>
            <w:tcW w:type="dxa" w:w="567"/>
            <w:vAlign w:val="center"/>
          </w:tcPr>
          <w:p>
            <w:r>
              <w:t>2</w:t>
            </w:r>
          </w:p>
        </w:tc>
        <w:tc>
          <w:tcPr>
            <w:tcW w:type="dxa" w:w="8617"/>
            <w:vAlign w:val="center"/>
          </w:tcPr>
          <w:p>
            <w:r>
              <w:t>Hay libros para perderte. Y guías para encontrarte.</w:t>
            </w:r>
          </w:p>
        </w:tc>
      </w:tr>
      <w:tr>
        <w:tc>
          <w:tcPr>
            <w:tcW w:type="dxa" w:w="567"/>
            <w:vAlign w:val="center"/>
          </w:tcPr>
          <w:p>
            <w:r>
              <w:t>3</w:t>
            </w:r>
          </w:p>
        </w:tc>
        <w:tc>
          <w:tcPr>
            <w:tcW w:type="dxa" w:w="8617"/>
            <w:vAlign w:val="center"/>
          </w:tcPr>
          <w:p>
            <w:r>
              <w:t>Esta lectura no es ligera. Pero sí puede aligerarte el camino.</w:t>
            </w:r>
          </w:p>
        </w:tc>
      </w:tr>
      <w:tr>
        <w:tc>
          <w:tcPr>
            <w:tcW w:type="dxa" w:w="567"/>
            <w:vAlign w:val="center"/>
          </w:tcPr>
          <w:p>
            <w:r>
              <w:t>4</w:t>
            </w:r>
          </w:p>
        </w:tc>
        <w:tc>
          <w:tcPr>
            <w:tcW w:type="dxa" w:w="8617"/>
            <w:vAlign w:val="center"/>
          </w:tcPr>
          <w:p>
            <w:r>
              <w:t>Un libro te lleva lejos. Esta Guía puede acercarte a ayuda.</w:t>
            </w:r>
          </w:p>
        </w:tc>
      </w:tr>
      <w:tr>
        <w:tc>
          <w:tcPr>
            <w:tcW w:type="dxa" w:w="567"/>
            <w:vAlign w:val="center"/>
          </w:tcPr>
          <w:p>
            <w:r>
              <w:t>5</w:t>
            </w:r>
          </w:p>
        </w:tc>
        <w:tc>
          <w:tcPr>
            <w:tcW w:type="dxa" w:w="8617"/>
            <w:vAlign w:val="center"/>
          </w:tcPr>
          <w:p>
            <w:r>
              <w:t>Leer entre líneas ayuda. Leer esta Guía, también.</w:t>
            </w:r>
          </w:p>
        </w:tc>
      </w:tr>
      <w:tr>
        <w:tc>
          <w:tcPr>
            <w:tcW w:type="dxa" w:w="567"/>
            <w:vAlign w:val="center"/>
          </w:tcPr>
          <w:p>
            <w:r>
              <w:t>6</w:t>
            </w:r>
          </w:p>
        </w:tc>
        <w:tc>
          <w:tcPr>
            <w:tcW w:type="dxa" w:w="8617"/>
            <w:vAlign w:val="center"/>
          </w:tcPr>
          <w:p>
            <w:r>
              <w:t>No todas las lecturas son para pasar el rato.</w:t>
            </w:r>
          </w:p>
        </w:tc>
      </w:tr>
      <w:tr>
        <w:tc>
          <w:tcPr>
            <w:tcW w:type="dxa" w:w="567"/>
            <w:vAlign w:val="center"/>
          </w:tcPr>
          <w:p>
            <w:r>
              <w:t>7</w:t>
            </w:r>
          </w:p>
        </w:tc>
        <w:tc>
          <w:tcPr>
            <w:tcW w:type="dxa" w:w="8617"/>
            <w:vAlign w:val="center"/>
          </w:tcPr>
          <w:p>
            <w:r>
              <w:t>Hay páginas que entretienen. Y páginas que respaldan.</w:t>
            </w:r>
          </w:p>
        </w:tc>
      </w:tr>
      <w:tr>
        <w:tc>
          <w:tcPr>
            <w:tcW w:type="dxa" w:w="567"/>
            <w:vAlign w:val="center"/>
          </w:tcPr>
          <w:p>
            <w:r>
              <w:t>8</w:t>
            </w:r>
          </w:p>
        </w:tc>
        <w:tc>
          <w:tcPr>
            <w:tcW w:type="dxa" w:w="8617"/>
            <w:vAlign w:val="center"/>
          </w:tcPr>
          <w:p>
            <w:r>
              <w:t>Informarte también es una forma de cuidarte.</w:t>
            </w:r>
          </w:p>
        </w:tc>
      </w:tr>
      <w:tr>
        <w:tc>
          <w:tcPr>
            <w:tcW w:type="dxa" w:w="567"/>
            <w:vAlign w:val="center"/>
          </w:tcPr>
          <w:p>
            <w:r>
              <w:t>9</w:t>
            </w:r>
          </w:p>
        </w:tc>
        <w:tc>
          <w:tcPr>
            <w:tcW w:type="dxa" w:w="8617"/>
            <w:vAlign w:val="center"/>
          </w:tcPr>
          <w:p>
            <w:r>
              <w:t>Saber qué hacer puede marcar la diferencia.</w:t>
            </w:r>
          </w:p>
        </w:tc>
      </w:tr>
      <w:tr>
        <w:tc>
          <w:tcPr>
            <w:tcW w:type="dxa" w:w="567"/>
            <w:vAlign w:val="center"/>
          </w:tcPr>
          <w:p>
            <w:r>
              <w:t>10</w:t>
            </w:r>
          </w:p>
        </w:tc>
        <w:tc>
          <w:tcPr>
            <w:tcW w:type="dxa" w:w="8617"/>
            <w:vAlign w:val="center"/>
          </w:tcPr>
          <w:p>
            <w:r>
              <w:t>La información correcta, en el momento correcto, importa.</w:t>
            </w:r>
          </w:p>
        </w:tc>
      </w:tr>
      <w:tr>
        <w:tc>
          <w:tcPr>
            <w:tcW w:type="dxa" w:w="567"/>
            <w:vAlign w:val="center"/>
          </w:tcPr>
          <w:p>
            <w:r>
              <w:t>11</w:t>
            </w:r>
          </w:p>
        </w:tc>
        <w:tc>
          <w:tcPr>
            <w:tcW w:type="dxa" w:w="8617"/>
            <w:vAlign w:val="center"/>
          </w:tcPr>
          <w:p>
            <w:r>
              <w:t>Pedir ayuda empieza por saber que existe.</w:t>
            </w:r>
          </w:p>
        </w:tc>
      </w:tr>
      <w:tr>
        <w:tc>
          <w:tcPr>
            <w:tcW w:type="dxa" w:w="567"/>
            <w:vAlign w:val="center"/>
          </w:tcPr>
          <w:p>
            <w:r>
              <w:t>12</w:t>
            </w:r>
          </w:p>
        </w:tc>
        <w:tc>
          <w:tcPr>
            <w:tcW w:type="dxa" w:w="8617"/>
            <w:vAlign w:val="center"/>
          </w:tcPr>
          <w:p>
            <w:r>
              <w:t>Esta Guía reúne información útil para actuar con más claridad.</w:t>
            </w:r>
          </w:p>
        </w:tc>
      </w:tr>
      <w:tr>
        <w:tc>
          <w:tcPr>
            <w:tcW w:type="dxa" w:w="567"/>
            <w:vAlign w:val="center"/>
          </w:tcPr>
          <w:p>
            <w:r>
              <w:t>13</w:t>
            </w:r>
          </w:p>
        </w:tc>
        <w:tc>
          <w:tcPr>
            <w:tcW w:type="dxa" w:w="8617"/>
            <w:vAlign w:val="center"/>
          </w:tcPr>
          <w:p>
            <w:r>
              <w:t>Conocer tus opciones también es una forma de protección.</w:t>
            </w:r>
          </w:p>
        </w:tc>
      </w:tr>
      <w:tr>
        <w:tc>
          <w:tcPr>
            <w:tcW w:type="dxa" w:w="567"/>
            <w:vAlign w:val="center"/>
          </w:tcPr>
          <w:p>
            <w:r>
              <w:t>14</w:t>
            </w:r>
          </w:p>
        </w:tc>
        <w:tc>
          <w:tcPr>
            <w:tcW w:type="dxa" w:w="8617"/>
            <w:vAlign w:val="center"/>
          </w:tcPr>
          <w:p>
            <w:r>
              <w:t>A veces, el primer paso es entender qué sigue.</w:t>
            </w:r>
          </w:p>
        </w:tc>
      </w:tr>
      <w:tr>
        <w:tc>
          <w:tcPr>
            <w:tcW w:type="dxa" w:w="567"/>
            <w:vAlign w:val="center"/>
          </w:tcPr>
          <w:p>
            <w:r>
              <w:t>15</w:t>
            </w:r>
          </w:p>
        </w:tc>
        <w:tc>
          <w:tcPr>
            <w:tcW w:type="dxa" w:w="8617"/>
            <w:vAlign w:val="center"/>
          </w:tcPr>
          <w:p>
            <w:r>
              <w:t>En el Día Internacional del Libro, compartimos una lectura que puede ser útil cuando más se necesita.</w:t>
            </w:r>
          </w:p>
        </w:tc>
      </w:tr>
      <w:tr>
        <w:tc>
          <w:tcPr>
            <w:tcW w:type="dxa" w:w="567"/>
            <w:vAlign w:val="center"/>
          </w:tcPr>
          <w:p>
            <w:r>
              <w:t>16</w:t>
            </w:r>
          </w:p>
        </w:tc>
        <w:tc>
          <w:tcPr>
            <w:tcW w:type="dxa" w:w="8617"/>
            <w:vAlign w:val="center"/>
          </w:tcPr>
          <w:p>
            <w:r>
              <w:t>Leer también puede ser una herramienta de orientación y cuidado.</w:t>
            </w:r>
          </w:p>
        </w:tc>
      </w:tr>
      <w:tr>
        <w:tc>
          <w:tcPr>
            <w:tcW w:type="dxa" w:w="567"/>
            <w:vAlign w:val="center"/>
          </w:tcPr>
          <w:p>
            <w:r>
              <w:t>17</w:t>
            </w:r>
          </w:p>
        </w:tc>
        <w:tc>
          <w:tcPr>
            <w:tcW w:type="dxa" w:w="8617"/>
            <w:vAlign w:val="center"/>
          </w:tcPr>
          <w:p>
            <w:r>
              <w:t>La información accesible fortalece decisiones importantes.</w:t>
            </w:r>
          </w:p>
        </w:tc>
      </w:tr>
      <w:tr>
        <w:tc>
          <w:tcPr>
            <w:tcW w:type="dxa" w:w="567"/>
            <w:vAlign w:val="center"/>
          </w:tcPr>
          <w:p>
            <w:r>
              <w:t>18</w:t>
            </w:r>
          </w:p>
        </w:tc>
        <w:tc>
          <w:tcPr>
            <w:tcW w:type="dxa" w:w="8617"/>
            <w:vAlign w:val="center"/>
          </w:tcPr>
          <w:p>
            <w:r>
              <w:t>Una Guía puede abrir camino hacia apoyo, acompañamiento y protección.</w:t>
            </w:r>
          </w:p>
        </w:tc>
      </w:tr>
      <w:tr>
        <w:tc>
          <w:tcPr>
            <w:tcW w:type="dxa" w:w="567"/>
            <w:vAlign w:val="center"/>
          </w:tcPr>
          <w:p>
            <w:r>
              <w:t>19</w:t>
            </w:r>
          </w:p>
        </w:tc>
        <w:tc>
          <w:tcPr>
            <w:tcW w:type="dxa" w:w="8617"/>
            <w:vAlign w:val="center"/>
          </w:tcPr>
          <w:p>
            <w:r>
              <w:t>Promover la lectura también es acercar herramientas para la vida.</w:t>
            </w:r>
          </w:p>
        </w:tc>
      </w:tr>
      <w:tr>
        <w:tc>
          <w:tcPr>
            <w:tcW w:type="dxa" w:w="567"/>
            <w:vAlign w:val="center"/>
          </w:tcPr>
          <w:p>
            <w:r>
              <w:t>20</w:t>
            </w:r>
          </w:p>
        </w:tc>
        <w:tc>
          <w:tcPr>
            <w:tcW w:type="dxa" w:w="8617"/>
            <w:vAlign w:val="center"/>
          </w:tcPr>
          <w:p>
            <w:r>
              <w:t>Hoy compartimos una lectura con propósito: informar, orientar y acompañar.</w:t>
            </w:r>
          </w:p>
        </w:tc>
      </w:tr>
    </w:tbl>
    <w:p>
      <w:pPr>
        <w:pStyle w:val="SMH1"/>
      </w:pPr>
      <w:r>
        <w:t>6. Recomendaciones de ejecución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Crear primero 3 rutas visuales y aprobar una antes de producir toda la serie.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Mantener consistencia de encuadre, paleta y sistema tipográfico para que se perciba campaña, no piezas sueltas.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Diseñar una versión principal 4:5 para Instagram/Facebook y adaptar a story y LinkedIn sin sacrificar legibilidad.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Evitar saturar la pieza con demasiada explicación. La inteligencia está en la economía de recursos.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Siempre revisar contraste, tamaño de texto y lectura en móvil.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Cuidar que la escena del fake OOH se vea aspiracional y verosímil; no stock evidente.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La violencia y la necesidad de protección no deben representarse de forma literal ni sensacionalista.</w:t>
      </w:r>
    </w:p>
    <w:p>
      <w:pPr>
        <w:pStyle w:val="SMH1"/>
      </w:pPr>
      <w:r>
        <w:t>7. Entregables sugeridos para la diseñadora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3 propuestas de look &amp; feel inicial.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1 sistema maestro aprobado para serie de posteos.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6 a 10 posteos finales con diferentes frases.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Adaptaciones en formato feed, story y LinkedIn/header.</w:t>
      </w:r>
    </w:p>
    <w:p>
      <w:pPr>
        <w:pStyle w:val="SMBody"/>
        <w:ind w:left="227" w:hanging="198"/>
      </w:pPr>
      <w:r>
        <w:rPr>
          <w:b/>
        </w:rPr>
        <w:t xml:space="preserve">• </w:t>
      </w:r>
      <w:r>
        <w:t>Archivo editable con estilos y retícula definidos.</w:t>
      </w:r>
    </w:p>
    <w:p>
      <w:pPr>
        <w:pStyle w:val="SMH1"/>
      </w:pPr>
      <w:r>
        <w:t>Cierre</w:t>
      </w:r>
    </w:p>
    <w:p>
      <w:pPr>
        <w:pStyle w:val="SMBody"/>
      </w:pPr>
      <w:r>
        <w:t>La meta no es imitar a Gandhi de forma literal, sino capturar aquello que hizo memorables sus campañas: inteligencia, sencillez y contundencia. Aquí, esa fórmula debe ponerse al servicio de una causa útil: que más personas conozcan y descarguen la Guía.</w:t>
      </w:r>
    </w:p>
    <w:p>
      <w:pPr>
        <w:pStyle w:val="SMQuote"/>
        <w:jc w:val="left"/>
      </w:pPr>
      <w:r>
        <w:t>#DescargaLaGuía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Title">
    <w:name w:val="SM Title"/>
    <w:pPr>
      <w:spacing w:after="80"/>
    </w:pPr>
    <w:rPr>
      <w:rFonts w:ascii="Aptos Display" w:hAnsi="Aptos Display"/>
      <w:b/>
      <w:color w:val="362754"/>
      <w:sz w:val="48"/>
    </w:rPr>
  </w:style>
  <w:style w:type="paragraph" w:customStyle="1" w:styleId="SMSubtitle">
    <w:name w:val="SM Subtitle"/>
    <w:pPr>
      <w:spacing w:after="200"/>
    </w:pPr>
    <w:rPr>
      <w:rFonts w:ascii="Aptos" w:hAnsi="Aptos"/>
      <w:color w:val="5B5B5B"/>
      <w:sz w:val="22"/>
    </w:rPr>
  </w:style>
  <w:style w:type="paragraph" w:customStyle="1" w:styleId="SMH1">
    <w:name w:val="SM H1"/>
    <w:pPr>
      <w:spacing w:before="200" w:after="120"/>
    </w:pPr>
    <w:rPr>
      <w:rFonts w:ascii="Aptos Display" w:hAnsi="Aptos Display"/>
      <w:b/>
      <w:color w:val="362754"/>
      <w:sz w:val="30"/>
    </w:rPr>
  </w:style>
  <w:style w:type="paragraph" w:customStyle="1" w:styleId="SMH2">
    <w:name w:val="SM H2"/>
    <w:pPr>
      <w:spacing w:before="160" w:after="80"/>
    </w:pPr>
    <w:rPr>
      <w:rFonts w:ascii="Aptos" w:hAnsi="Aptos"/>
      <w:b/>
      <w:color w:val="534870"/>
      <w:sz w:val="23"/>
    </w:rPr>
  </w:style>
  <w:style w:type="paragraph" w:customStyle="1" w:styleId="SMQuote">
    <w:name w:val="SM Quote"/>
    <w:pPr>
      <w:spacing w:after="160" w:before="80"/>
      <w:ind w:left="170"/>
    </w:pPr>
    <w:rPr>
      <w:rFonts w:ascii="Aptos Display" w:hAnsi="Aptos Display"/>
      <w:i w:val="0"/>
      <w:color w:val="23395C"/>
      <w:sz w:val="36"/>
    </w:rPr>
  </w:style>
  <w:style w:type="paragraph" w:customStyle="1" w:styleId="SMSmall">
    <w:name w:val="SM Small"/>
    <w:pPr>
      <w:spacing w:after="80"/>
    </w:pPr>
    <w:rPr>
      <w:rFonts w:ascii="Aptos" w:hAnsi="Aptos"/>
      <w:color w:val="6E6E6E"/>
      <w:sz w:val="17"/>
    </w:rPr>
  </w:style>
  <w:style w:type="paragraph" w:customStyle="1" w:styleId="SMBody">
    <w:name w:val="SM Body"/>
    <w:pPr>
      <w:spacing w:after="120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