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52"/>
        </w:rPr>
        <w:t>Documentación Técnica</w:t>
      </w:r>
    </w:p>
    <w:p>
      <w:pPr>
        <w:jc w:val="center"/>
      </w:pPr>
      <w:r>
        <w:rPr>
          <w:b/>
          <w:color w:val="1F3864"/>
          <w:sz w:val="32"/>
        </w:rPr>
        <w:t>Módulo ncf_dgii_validation</w:t>
        <w:br/>
        <w:t>Validación de NCF / e-NCF contra DGII — Odoo 19.0</w:t>
      </w:r>
    </w:p>
    <w:p/>
    <w:p/>
    <w:p>
      <w:pPr>
        <w:jc w:val="center"/>
      </w:pPr>
      <w:r>
        <w:rPr>
          <w:b/>
          <w:color w:val="2E74B5"/>
          <w:sz w:val="26"/>
        </w:rPr>
        <w:t>ESPECIFICACIÓN TÉCNICA DE SOFTWARE</w:t>
      </w:r>
    </w:p>
    <w:p/>
    <w:p/>
    <w:p/>
    <w:p/>
    <w:p>
      <w:pPr>
        <w:jc w:val="right"/>
      </w:pPr>
      <w:r>
        <w:rPr>
          <w:color w:val="707070"/>
          <w:sz w:val="16"/>
        </w:rPr>
        <w:t>Documento N.° LFL-TEC-004    |    Confidencial — Uso Interno</w:t>
      </w:r>
    </w:p>
    <w:p>
      <w:r>
        <w:br w:type="page"/>
      </w:r>
    </w:p>
    <w:p>
      <w:pPr>
        <w:pStyle w:val="Heading1"/>
      </w:pPr>
      <w:r>
        <w:rPr>
          <w:color w:val="1F3864"/>
        </w:rPr>
        <w:t>Tabla de Contenido</w:t>
      </w:r>
    </w:p>
    <w:p>
      <w:pPr>
        <w:pStyle w:val="ListBullet"/>
      </w:pPr>
      <w:r>
        <w:t>1. Información General</w:t>
      </w:r>
    </w:p>
    <w:p>
      <w:pPr>
        <w:pStyle w:val="ListBullet"/>
      </w:pPr>
      <w:r>
        <w:t>2. Modelo Extendido</w:t>
      </w:r>
    </w:p>
    <w:p>
      <w:pPr>
        <w:pStyle w:val="ListBullet"/>
      </w:pPr>
      <w:r>
        <w:t>3. Flujo de Validación</w:t>
      </w:r>
    </w:p>
    <w:p>
      <w:pPr>
        <w:pStyle w:val="ListBullet"/>
      </w:pPr>
      <w:r>
        <w:t>4. Vistas y Acciones</w:t>
      </w:r>
    </w:p>
    <w:p>
      <w:pPr>
        <w:pStyle w:val="ListBullet"/>
      </w:pPr>
      <w:r>
        <w:t>5. Consideraciones y Limitaciones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</w:rPr>
              <w:t>Atributo</w:t>
            </w:r>
          </w:p>
        </w:tc>
        <w:tc>
          <w:tcPr>
            <w:tcW w:type="dxa" w:w="5953"/>
            <w:shd w:val="clear" w:color="auto" w:fill="1F3864"/>
          </w:tcPr>
          <w:p>
            <w:r/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t>Nombre técnico</w:t>
            </w:r>
          </w:p>
        </w:tc>
        <w:tc>
          <w:tcPr>
            <w:tcW w:type="dxa" w:w="5953"/>
          </w:tcPr>
          <w:p>
            <w:r/>
            <w:r>
              <w:t>ncf_dgii_validation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t>Nombre visible</w:t>
            </w:r>
          </w:p>
        </w:tc>
        <w:tc>
          <w:tcPr>
            <w:tcW w:type="dxa" w:w="5953"/>
            <w:shd w:val="clear" w:color="auto" w:fill="F2F2F2"/>
          </w:tcPr>
          <w:p>
            <w:r/>
            <w:r>
              <w:t>Validador NCF Y ENCF Contra la dgii</w:t>
            </w:r>
          </w:p>
        </w:tc>
      </w:tr>
      <w:tr>
        <w:tc>
          <w:tcPr>
            <w:tcW w:type="dxa" w:w="3118"/>
          </w:tcPr>
          <w:p>
            <w:r/>
            <w:r>
              <w:t>Versión</w:t>
            </w:r>
          </w:p>
        </w:tc>
        <w:tc>
          <w:tcPr>
            <w:tcW w:type="dxa" w:w="5953"/>
          </w:tcPr>
          <w:p>
            <w:r/>
            <w:r>
              <w:t>19.0.1.0.0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t>Autor</w:t>
            </w:r>
          </w:p>
        </w:tc>
        <w:tc>
          <w:tcPr>
            <w:tcW w:type="dxa" w:w="5953"/>
            <w:shd w:val="clear" w:color="auto" w:fill="F2F2F2"/>
          </w:tcPr>
          <w:p>
            <w:r/>
            <w:r>
              <w:t>lfernandez</w:t>
            </w:r>
          </w:p>
        </w:tc>
      </w:tr>
      <w:tr>
        <w:tc>
          <w:tcPr>
            <w:tcW w:type="dxa" w:w="3118"/>
          </w:tcPr>
          <w:p>
            <w:r/>
            <w:r>
              <w:t>Dependencias</w:t>
            </w:r>
          </w:p>
        </w:tc>
        <w:tc>
          <w:tcPr>
            <w:tcW w:type="dxa" w:w="5953"/>
          </w:tcPr>
          <w:p>
            <w:r/>
            <w:r>
              <w:t>base, account, l10n_do_accounting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t>Dependencias Python</w:t>
            </w:r>
          </w:p>
        </w:tc>
        <w:tc>
          <w:tcPr>
            <w:tcW w:type="dxa" w:w="5953"/>
            <w:shd w:val="clear" w:color="auto" w:fill="F2F2F2"/>
          </w:tcPr>
          <w:p>
            <w:r/>
            <w:r>
              <w:t>requests, beautifulsoup4, html5lib</w:t>
            </w:r>
          </w:p>
        </w:tc>
      </w:tr>
    </w:tbl>
    <w:p>
      <w:r>
        <w:t>Extiende account.move con validación del NCF/e-NCF contra la consulta pública de la DGII. Aplica tanto para NCF tradicionales como para e-NCF (añadiendo RNC comprador y código de seguridad).</w:t>
      </w:r>
    </w:p>
    <w:p>
      <w:pPr>
        <w:pStyle w:val="Heading1"/>
      </w:pPr>
      <w:r>
        <w:rPr>
          <w:color w:val="1F3864"/>
        </w:rPr>
        <w:t>2. Modelo Extendido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268"/>
          </w:tcPr>
          <w:p>
            <w:r/>
            <w:r>
              <w:t>error_message</w:t>
            </w:r>
          </w:p>
        </w:tc>
        <w:tc>
          <w:tcPr>
            <w:tcW w:type="dxa" w:w="1984"/>
          </w:tcPr>
          <w:p>
            <w:r/>
            <w:r>
              <w:t>Char (no store)</w:t>
            </w:r>
          </w:p>
        </w:tc>
        <w:tc>
          <w:tcPr>
            <w:tcW w:type="dxa" w:w="4819"/>
          </w:tcPr>
          <w:p>
            <w:r/>
            <w:r>
              <w:t>Mensaje transitorio para notificaciones de UI.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t>last_ncf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t>Char</w:t>
            </w:r>
          </w:p>
        </w:tc>
        <w:tc>
          <w:tcPr>
            <w:tcW w:type="dxa" w:w="4819"/>
            <w:shd w:val="clear" w:color="auto" w:fill="F2F2F2"/>
          </w:tcPr>
          <w:p>
            <w:r/>
            <w:r>
              <w:t>Último NCF validado; se usa para evitar revalidaciones redundantes.</w:t>
            </w:r>
          </w:p>
        </w:tc>
      </w:tr>
      <w:tr>
        <w:tc>
          <w:tcPr>
            <w:tcW w:type="dxa" w:w="2268"/>
          </w:tcPr>
          <w:p>
            <w:r/>
            <w:r>
              <w:t>is_ncf_validated</w:t>
            </w:r>
          </w:p>
        </w:tc>
        <w:tc>
          <w:tcPr>
            <w:tcW w:type="dxa" w:w="1984"/>
          </w:tcPr>
          <w:p>
            <w:r/>
            <w:r>
              <w:t>Boolean</w:t>
            </w:r>
          </w:p>
        </w:tc>
        <w:tc>
          <w:tcPr>
            <w:tcW w:type="dxa" w:w="4819"/>
          </w:tcPr>
          <w:p>
            <w:r/>
            <w:r>
              <w:t>True si el NCF actual fue validado.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t>msg_valid_ncf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t>Selection</w:t>
            </w:r>
          </w:p>
        </w:tc>
        <w:tc>
          <w:tcPr>
            <w:tcW w:type="dxa" w:w="4819"/>
            <w:shd w:val="clear" w:color="auto" w:fill="F2F2F2"/>
          </w:tcPr>
          <w:p>
            <w:r/>
            <w:r>
              <w:t>Estado: valid | invalid | without_valid | clear.</w:t>
            </w:r>
          </w:p>
        </w:tc>
      </w:tr>
    </w:tbl>
    <w:p>
      <w:pPr>
        <w:pStyle w:val="Heading1"/>
      </w:pPr>
      <w:r>
        <w:rPr>
          <w:color w:val="1F3864"/>
        </w:rPr>
        <w:t>3. Flujo de Validación</w:t>
      </w:r>
    </w:p>
    <w:p>
      <w:pPr>
        <w:pStyle w:val="ListBullet"/>
      </w:pPr>
      <w:r>
        <w:rPr>
          <w:b/>
        </w:rPr>
        <w:t>_inverse_l10n_latam_document_number()</w:t>
      </w:r>
      <w:r>
        <w:t>: onchange sobre l10n_latam_document_type_id y document_number. Para in_invoice, dispara validate_ncf().</w:t>
      </w:r>
    </w:p>
    <w:p>
      <w:pPr>
        <w:pStyle w:val="ListBullet"/>
      </w:pPr>
      <w:r>
        <w:rPr>
          <w:b/>
        </w:rPr>
        <w:t>action_validate_ncf()</w:t>
      </w:r>
      <w:r>
        <w:t>: acción manual disponible desde la vista para forzar la validación.</w:t>
      </w:r>
    </w:p>
    <w:p>
      <w:pPr>
        <w:pStyle w:val="ListBullet"/>
      </w:pPr>
      <w:r>
        <w:rPr>
          <w:b/>
        </w:rPr>
        <w:t>validate_ncf()</w:t>
      </w:r>
      <w:r>
        <w:t>: extrae RNC del proveedor (partner.vat) y NCF (l10n_do_fiscal_number). Si la factura es e-CF, añade RNC comprador y código de seguridad.</w:t>
      </w:r>
    </w:p>
    <w:p>
      <w:pPr>
        <w:pStyle w:val="ListBullet"/>
      </w:pPr>
      <w:r>
        <w:rPr>
          <w:b/>
        </w:rPr>
        <w:t>_get_web_scraping_data()</w:t>
      </w:r>
      <w:r>
        <w:t>: scrape contra consultas.dgii.gov.do/ncf.aspx. Parsea VIEWSTATE, hace POST y extrae la tabla cphMain_pResultado (NCF) o cphMain_PResultadoFE (e-CF).</w:t>
      </w:r>
    </w:p>
    <w:p>
      <w:pPr>
        <w:pStyle w:val="ListBullet"/>
      </w:pPr>
      <w:r>
        <w:t>Interpreta el estado: para NCF tradicionales, VIGENTE → valid; para e-CF, Aceptado → valid.</w:t>
      </w:r>
    </w:p>
    <w:p>
      <w:pPr>
        <w:pStyle w:val="ListBullet"/>
      </w:pPr>
      <w:r>
        <w:t>Si hay error de conexión, marca msg_valid_ncf=without_valid y muestra notificación.</w:t>
      </w:r>
    </w:p>
    <w:p>
      <w:pPr>
        <w:pStyle w:val="Heading1"/>
      </w:pPr>
      <w:r>
        <w:rPr>
          <w:color w:val="1F3864"/>
        </w:rPr>
        <w:t>4. Vistas y Acciones</w:t>
      </w:r>
    </w:p>
    <w:p>
      <w:r>
        <w:t>La vista account_move.xml inserta un badge con color condicional según msg_valid_ncf y un botón manual de validación para facturas de compra.</w:t>
      </w:r>
    </w:p>
    <w:p>
      <w:pPr>
        <w:pStyle w:val="Heading1"/>
      </w:pPr>
      <w:r>
        <w:rPr>
          <w:color w:val="1F3864"/>
        </w:rPr>
        <w:t>5. Consideraciones y Limitaciones</w:t>
      </w:r>
    </w:p>
    <w:p>
      <w:pPr>
        <w:pStyle w:val="ListBullet"/>
      </w:pPr>
      <w:r>
        <w:t>Mismo acoplamiento al portal DGII que dgii_rnc_validation: cualquier cambio en el HTML rompe la validación.</w:t>
      </w:r>
    </w:p>
    <w:p>
      <w:pPr>
        <w:pStyle w:val="ListBullet"/>
      </w:pPr>
      <w:r>
        <w:t>El método se invoca en onchange y podría introducir latencia perceptible durante la edición del NCF en una factura. Timeout 10s.</w:t>
      </w:r>
    </w:p>
    <w:p>
      <w:pPr>
        <w:pStyle w:val="ListBullet"/>
      </w:pPr>
      <w:r>
        <w:t>No persiste un caché: cada validación es una llamada al portal DGII.</w:t>
      </w:r>
    </w:p>
    <w:p>
      <w:pPr>
        <w:pStyle w:val="ListBullet"/>
      </w:pPr>
      <w:r>
        <w:t>Para e-CF, requiere que la compañía tenga RNC configurado; si no, eleva ValidationError.</w:t>
      </w:r>
    </w:p>
    <w:p>
      <w:r>
        <w:br w:type="page"/>
      </w:r>
    </w:p>
    <w:p/>
    <w:p/>
    <w:p/>
    <w:p/>
    <w:p/>
    <w:p/>
    <w:p/>
    <w:p/>
    <w:p/>
    <w:p/>
    <w:p/>
    <w:p/>
    <w:p/>
    <w:p/>
    <w:p/>
    <w:p/>
    <w:p>
      <w:pPr>
        <w:jc w:val="center"/>
      </w:pPr>
      <w:r>
        <w:rPr>
          <w:b/>
          <w:color w:val="1F3864"/>
          <w:sz w:val="21"/>
        </w:rPr>
        <w:t>Manual elaborado por: Erick Daniel Cuesto Mendez</w:t>
      </w:r>
    </w:p>
    <w:p>
      <w:pPr>
        <w:jc w:val="center"/>
      </w:pPr>
      <w:r>
        <w:rPr>
          <w:i/>
          <w:color w:val="707070"/>
          <w:sz w:val="18"/>
        </w:rPr>
        <w:t>Versión 1.0  —  Abril 2026  —  Documento N.° ECM-USR-001</w:t>
      </w:r>
    </w:p>
    <w:p>
      <w:pPr>
        <w:jc w:val="center"/>
      </w:pPr>
      <w:r>
        <w:rPr>
          <w:color w:val="909090"/>
          <w:sz w:val="16"/>
        </w:rPr>
        <w:t>Confidencial</w:t>
      </w:r>
    </w:p>
    <w:sectPr w:rsidR="00FC693F" w:rsidRPr="0006063C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