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038EB8" w14:textId="77777777" w:rsidR="00323AA0" w:rsidRDefault="00323AA0"/>
    <w:p w14:paraId="4486F5CC" w14:textId="77777777" w:rsidR="00323AA0" w:rsidRDefault="00323AA0"/>
    <w:p w14:paraId="08905B7E" w14:textId="77777777" w:rsidR="00323AA0" w:rsidRDefault="00323AA0"/>
    <w:p w14:paraId="2512B616" w14:textId="77777777" w:rsidR="00323AA0" w:rsidRPr="00083976" w:rsidRDefault="00000000">
      <w:pPr>
        <w:jc w:val="center"/>
        <w:rPr>
          <w:lang w:val="es-DO"/>
        </w:rPr>
      </w:pPr>
      <w:r w:rsidRPr="00083976">
        <w:rPr>
          <w:b/>
          <w:color w:val="1F3864"/>
          <w:sz w:val="52"/>
          <w:lang w:val="es-DO"/>
        </w:rPr>
        <w:t>Documentación Técnica</w:t>
      </w:r>
    </w:p>
    <w:p w14:paraId="59E01E24" w14:textId="77777777" w:rsidR="00323AA0" w:rsidRPr="00083976" w:rsidRDefault="00000000">
      <w:pPr>
        <w:jc w:val="center"/>
        <w:rPr>
          <w:lang w:val="es-DO"/>
        </w:rPr>
      </w:pPr>
      <w:r w:rsidRPr="00083976">
        <w:rPr>
          <w:b/>
          <w:color w:val="1F3864"/>
          <w:sz w:val="32"/>
          <w:lang w:val="es-DO"/>
        </w:rPr>
        <w:t>Módulo l10n_do_ecf_accounting</w:t>
      </w:r>
      <w:r w:rsidRPr="00083976">
        <w:rPr>
          <w:b/>
          <w:color w:val="1F3864"/>
          <w:sz w:val="32"/>
          <w:lang w:val="es-DO"/>
        </w:rPr>
        <w:br/>
        <w:t>Facturación Electrónica RD — Odoo 19.0</w:t>
      </w:r>
    </w:p>
    <w:p w14:paraId="05F1351B" w14:textId="77777777" w:rsidR="00323AA0" w:rsidRPr="00083976" w:rsidRDefault="00323AA0">
      <w:pPr>
        <w:rPr>
          <w:lang w:val="es-DO"/>
        </w:rPr>
      </w:pPr>
    </w:p>
    <w:p w14:paraId="118F011D" w14:textId="77777777" w:rsidR="00323AA0" w:rsidRPr="00083976" w:rsidRDefault="00323AA0">
      <w:pPr>
        <w:rPr>
          <w:lang w:val="es-DO"/>
        </w:rPr>
      </w:pPr>
    </w:p>
    <w:p w14:paraId="362A60C5" w14:textId="77777777" w:rsidR="00323AA0" w:rsidRPr="00083976" w:rsidRDefault="00000000">
      <w:pPr>
        <w:jc w:val="center"/>
        <w:rPr>
          <w:lang w:val="es-DO"/>
        </w:rPr>
      </w:pPr>
      <w:r w:rsidRPr="00083976">
        <w:rPr>
          <w:b/>
          <w:color w:val="2E74B5"/>
          <w:sz w:val="26"/>
          <w:lang w:val="es-DO"/>
        </w:rPr>
        <w:t>ESPECIFICACIÓN TÉCNICA DE SOFTWARE</w:t>
      </w:r>
    </w:p>
    <w:p w14:paraId="12CF37FE" w14:textId="77777777" w:rsidR="00323AA0" w:rsidRPr="00083976" w:rsidRDefault="00323AA0">
      <w:pPr>
        <w:rPr>
          <w:lang w:val="es-DO"/>
        </w:rPr>
      </w:pPr>
    </w:p>
    <w:p w14:paraId="32A3B742" w14:textId="77777777" w:rsidR="00323AA0" w:rsidRPr="00083976" w:rsidRDefault="00323AA0">
      <w:pPr>
        <w:rPr>
          <w:lang w:val="es-DO"/>
        </w:rPr>
      </w:pPr>
    </w:p>
    <w:p w14:paraId="4DBA2A5B" w14:textId="77777777" w:rsidR="00323AA0" w:rsidRPr="00083976" w:rsidRDefault="00323AA0">
      <w:pPr>
        <w:rPr>
          <w:lang w:val="es-DO"/>
        </w:rPr>
      </w:pPr>
    </w:p>
    <w:p w14:paraId="79F7B48E" w14:textId="77777777" w:rsidR="00323AA0" w:rsidRPr="00083976" w:rsidRDefault="00323AA0">
      <w:pPr>
        <w:rPr>
          <w:lang w:val="es-DO"/>
        </w:rPr>
      </w:pPr>
    </w:p>
    <w:p w14:paraId="2ED6A113" w14:textId="77777777" w:rsidR="00323AA0" w:rsidRDefault="00000000">
      <w:pPr>
        <w:jc w:val="right"/>
      </w:pPr>
      <w:r>
        <w:rPr>
          <w:color w:val="707070"/>
          <w:sz w:val="16"/>
        </w:rPr>
        <w:t>Documento N.° LFL-TEC-002    |    Confidencial — Uso Interno</w:t>
      </w:r>
    </w:p>
    <w:p w14:paraId="7AEE288C" w14:textId="77777777" w:rsidR="00323AA0" w:rsidRDefault="00000000">
      <w:r>
        <w:br w:type="page"/>
      </w:r>
    </w:p>
    <w:p w14:paraId="1D966A1D" w14:textId="77777777" w:rsidR="00323AA0" w:rsidRDefault="00000000">
      <w:pPr>
        <w:pStyle w:val="Heading1"/>
      </w:pPr>
      <w:r>
        <w:rPr>
          <w:color w:val="1F3864"/>
        </w:rPr>
        <w:lastRenderedPageBreak/>
        <w:t>Tabla de Contenido</w:t>
      </w:r>
    </w:p>
    <w:p w14:paraId="2E7199B3" w14:textId="77777777" w:rsidR="00323AA0" w:rsidRDefault="00000000">
      <w:pPr>
        <w:pStyle w:val="ListBullet"/>
      </w:pPr>
      <w:r>
        <w:t>1. Información General del Módulo</w:t>
      </w:r>
    </w:p>
    <w:p w14:paraId="57224696" w14:textId="77777777" w:rsidR="00323AA0" w:rsidRDefault="00000000">
      <w:pPr>
        <w:pStyle w:val="ListBullet"/>
      </w:pPr>
      <w:r>
        <w:t>2. Estructura de Directorios</w:t>
      </w:r>
    </w:p>
    <w:p w14:paraId="58FACB2C" w14:textId="77777777" w:rsidR="00323AA0" w:rsidRDefault="00000000">
      <w:pPr>
        <w:pStyle w:val="ListBullet"/>
      </w:pPr>
      <w:r>
        <w:t>3. Modelos Principales</w:t>
      </w:r>
    </w:p>
    <w:p w14:paraId="2851394B" w14:textId="77777777" w:rsidR="00323AA0" w:rsidRDefault="00000000">
      <w:pPr>
        <w:pStyle w:val="ListBullet"/>
      </w:pPr>
      <w:r>
        <w:t>4. Composición del Payload eCF</w:t>
      </w:r>
    </w:p>
    <w:p w14:paraId="4F0FB1B6" w14:textId="77777777" w:rsidR="00323AA0" w:rsidRDefault="00000000">
      <w:pPr>
        <w:pStyle w:val="ListBullet"/>
      </w:pPr>
      <w:r>
        <w:t>5. Flujo de Envío a DigiFact</w:t>
      </w:r>
    </w:p>
    <w:p w14:paraId="28216730" w14:textId="77777777" w:rsidR="00323AA0" w:rsidRDefault="00000000">
      <w:pPr>
        <w:pStyle w:val="ListBullet"/>
      </w:pPr>
      <w:r>
        <w:t>6. Ambientes Sandbox y Producción</w:t>
      </w:r>
    </w:p>
    <w:p w14:paraId="24806EA3" w14:textId="77777777" w:rsidR="00323AA0" w:rsidRDefault="00000000">
      <w:pPr>
        <w:pStyle w:val="ListBullet"/>
      </w:pPr>
      <w:r>
        <w:t>7. Tipos de Comprobantes Electrónicos</w:t>
      </w:r>
    </w:p>
    <w:p w14:paraId="6E2120A7" w14:textId="77777777" w:rsidR="00323AA0" w:rsidRDefault="00000000">
      <w:pPr>
        <w:pStyle w:val="ListBullet"/>
      </w:pPr>
      <w:r>
        <w:t>8. Datos Maestros y Cron Jobs</w:t>
      </w:r>
    </w:p>
    <w:p w14:paraId="07EEA4C7" w14:textId="77777777" w:rsidR="00323AA0" w:rsidRDefault="00000000">
      <w:pPr>
        <w:pStyle w:val="ListBullet"/>
      </w:pPr>
      <w:r>
        <w:t>9. Reglas de Negocio Críticas</w:t>
      </w:r>
    </w:p>
    <w:p w14:paraId="69340E61" w14:textId="77777777" w:rsidR="00323AA0" w:rsidRDefault="00000000">
      <w:pPr>
        <w:pStyle w:val="ListBullet"/>
      </w:pPr>
      <w:r>
        <w:t>10. Zona Horaria y Redondeo Fiscal</w:t>
      </w:r>
    </w:p>
    <w:p w14:paraId="0D187FE6" w14:textId="77777777" w:rsidR="00323AA0" w:rsidRDefault="00000000">
      <w:pPr>
        <w:pStyle w:val="ListBullet"/>
      </w:pPr>
      <w:r>
        <w:t>11. Registro de Eventos (ecf.logger)</w:t>
      </w:r>
    </w:p>
    <w:p w14:paraId="7FEF5A2A" w14:textId="77777777" w:rsidR="00323AA0" w:rsidRDefault="00000000">
      <w:pPr>
        <w:pStyle w:val="ListBullet"/>
      </w:pPr>
      <w:r>
        <w:t>12. Pruebas y Validación Manual</w:t>
      </w:r>
    </w:p>
    <w:p w14:paraId="1C6305A1" w14:textId="77777777" w:rsidR="00323AA0" w:rsidRDefault="00000000">
      <w:r>
        <w:br w:type="page"/>
      </w:r>
    </w:p>
    <w:p w14:paraId="1DDBBB72" w14:textId="77777777" w:rsidR="00323AA0" w:rsidRDefault="00000000">
      <w:pPr>
        <w:pStyle w:val="Heading1"/>
      </w:pPr>
      <w:r>
        <w:rPr>
          <w:color w:val="1F3864"/>
        </w:rPr>
        <w:lastRenderedPageBreak/>
        <w:t>1. Información General del Módulo</w:t>
      </w:r>
    </w:p>
    <w:p w14:paraId="11B2C29C" w14:textId="77777777" w:rsidR="00323AA0" w:rsidRPr="00083976" w:rsidRDefault="00000000">
      <w:pPr>
        <w:rPr>
          <w:lang w:val="es-DO"/>
        </w:rPr>
      </w:pPr>
      <w:r w:rsidRPr="00083976">
        <w:rPr>
          <w:lang w:val="es-DO"/>
        </w:rPr>
        <w:t xml:space="preserve">El presente documento constituye la especificación técnica detallada del módulo </w:t>
      </w:r>
      <w:r w:rsidRPr="00083976">
        <w:rPr>
          <w:b/>
          <w:lang w:val="es-DO"/>
        </w:rPr>
        <w:t>l10n_do_ecf_accounting</w:t>
      </w:r>
      <w:r w:rsidRPr="00083976">
        <w:rPr>
          <w:lang w:val="es-DO"/>
        </w:rPr>
        <w:t>, desarrollado para extender la localización dominicana de Odoo 19 con las capacidades necesarias para dar cumplimiento a la norma 32-23 de la Dirección General de Impuestos Internos (DGII), correspondiente a Facturación Electrónica. El módulo orquesta la construcción del documento fiscal electrónico (eCF), su firma y envío al proveedor de servicios DigiFact, así como el procesamiento de la respuesta emitida por la DGII.</w:t>
      </w:r>
    </w:p>
    <w:p w14:paraId="11E08502" w14:textId="77777777" w:rsidR="00323AA0" w:rsidRDefault="00000000">
      <w:pPr>
        <w:pStyle w:val="Heading2"/>
      </w:pPr>
      <w:r>
        <w:rPr>
          <w:color w:val="2E74B5"/>
        </w:rPr>
        <w:t>1.1 Atributos del Módulo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8"/>
        <w:gridCol w:w="5953"/>
      </w:tblGrid>
      <w:tr w:rsidR="00323AA0" w14:paraId="7D9179AD" w14:textId="77777777">
        <w:tc>
          <w:tcPr>
            <w:tcW w:w="3118" w:type="dxa"/>
            <w:shd w:val="clear" w:color="auto" w:fill="1F3864"/>
          </w:tcPr>
          <w:p w14:paraId="6D5B6940" w14:textId="77777777" w:rsidR="00323AA0" w:rsidRDefault="00000000">
            <w:r>
              <w:rPr>
                <w:b/>
                <w:color w:val="FFFFFF"/>
              </w:rPr>
              <w:t>Atributo</w:t>
            </w:r>
          </w:p>
        </w:tc>
        <w:tc>
          <w:tcPr>
            <w:tcW w:w="5953" w:type="dxa"/>
            <w:shd w:val="clear" w:color="auto" w:fill="1F3864"/>
          </w:tcPr>
          <w:p w14:paraId="66E1C00C" w14:textId="77777777" w:rsidR="00323AA0" w:rsidRDefault="00000000">
            <w:r>
              <w:rPr>
                <w:b/>
                <w:color w:val="FFFFFF"/>
              </w:rPr>
              <w:t>Valor</w:t>
            </w:r>
          </w:p>
        </w:tc>
      </w:tr>
      <w:tr w:rsidR="00323AA0" w14:paraId="5B6C470E" w14:textId="77777777">
        <w:tc>
          <w:tcPr>
            <w:tcW w:w="3118" w:type="dxa"/>
          </w:tcPr>
          <w:p w14:paraId="50F5E293" w14:textId="77777777" w:rsidR="00323AA0" w:rsidRDefault="00000000">
            <w:r>
              <w:t>Nombre técnico</w:t>
            </w:r>
          </w:p>
        </w:tc>
        <w:tc>
          <w:tcPr>
            <w:tcW w:w="5953" w:type="dxa"/>
          </w:tcPr>
          <w:p w14:paraId="0401FDA5" w14:textId="77777777" w:rsidR="00323AA0" w:rsidRDefault="00000000">
            <w:r>
              <w:t>l10n_do_ecf_accounting</w:t>
            </w:r>
          </w:p>
        </w:tc>
      </w:tr>
      <w:tr w:rsidR="00323AA0" w14:paraId="5CE34A1F" w14:textId="77777777">
        <w:tc>
          <w:tcPr>
            <w:tcW w:w="3118" w:type="dxa"/>
            <w:shd w:val="clear" w:color="auto" w:fill="F2F2F2"/>
          </w:tcPr>
          <w:p w14:paraId="63EED30E" w14:textId="77777777" w:rsidR="00323AA0" w:rsidRDefault="00000000">
            <w:r>
              <w:t>Nombre visible</w:t>
            </w:r>
          </w:p>
        </w:tc>
        <w:tc>
          <w:tcPr>
            <w:tcW w:w="5953" w:type="dxa"/>
            <w:shd w:val="clear" w:color="auto" w:fill="F2F2F2"/>
          </w:tcPr>
          <w:p w14:paraId="5C239A4C" w14:textId="77777777" w:rsidR="00323AA0" w:rsidRDefault="00000000">
            <w:r>
              <w:t>Electronic Fiscal Accounting (Rep. Dominicana)</w:t>
            </w:r>
          </w:p>
        </w:tc>
      </w:tr>
      <w:tr w:rsidR="00323AA0" w14:paraId="39978908" w14:textId="77777777">
        <w:tc>
          <w:tcPr>
            <w:tcW w:w="3118" w:type="dxa"/>
          </w:tcPr>
          <w:p w14:paraId="169F7269" w14:textId="77777777" w:rsidR="00323AA0" w:rsidRDefault="00000000">
            <w:r>
              <w:t>Versión</w:t>
            </w:r>
          </w:p>
        </w:tc>
        <w:tc>
          <w:tcPr>
            <w:tcW w:w="5953" w:type="dxa"/>
          </w:tcPr>
          <w:p w14:paraId="7DF4F63D" w14:textId="77777777" w:rsidR="00323AA0" w:rsidRDefault="00000000">
            <w:r>
              <w:t>19.0.1.0.0</w:t>
            </w:r>
          </w:p>
        </w:tc>
      </w:tr>
      <w:tr w:rsidR="00323AA0" w14:paraId="482A5176" w14:textId="77777777">
        <w:tc>
          <w:tcPr>
            <w:tcW w:w="3118" w:type="dxa"/>
            <w:shd w:val="clear" w:color="auto" w:fill="F2F2F2"/>
          </w:tcPr>
          <w:p w14:paraId="0570CFF3" w14:textId="77777777" w:rsidR="00323AA0" w:rsidRDefault="00000000">
            <w:r>
              <w:t>Autor original</w:t>
            </w:r>
          </w:p>
        </w:tc>
        <w:tc>
          <w:tcPr>
            <w:tcW w:w="5953" w:type="dxa"/>
            <w:shd w:val="clear" w:color="auto" w:fill="F2F2F2"/>
          </w:tcPr>
          <w:p w14:paraId="53E66129" w14:textId="77777777" w:rsidR="00323AA0" w:rsidRDefault="00000000">
            <w:r>
              <w:t>Erick Cuesto</w:t>
            </w:r>
          </w:p>
        </w:tc>
      </w:tr>
      <w:tr w:rsidR="00323AA0" w14:paraId="06122114" w14:textId="77777777">
        <w:tc>
          <w:tcPr>
            <w:tcW w:w="3118" w:type="dxa"/>
          </w:tcPr>
          <w:p w14:paraId="1A840778" w14:textId="77777777" w:rsidR="00323AA0" w:rsidRDefault="00000000">
            <w:r>
              <w:t>Categoría</w:t>
            </w:r>
          </w:p>
        </w:tc>
        <w:tc>
          <w:tcPr>
            <w:tcW w:w="5953" w:type="dxa"/>
          </w:tcPr>
          <w:p w14:paraId="561F33C6" w14:textId="77777777" w:rsidR="00323AA0" w:rsidRDefault="00000000">
            <w:r>
              <w:t>Localization</w:t>
            </w:r>
          </w:p>
        </w:tc>
      </w:tr>
      <w:tr w:rsidR="00323AA0" w14:paraId="4EA94A66" w14:textId="77777777">
        <w:tc>
          <w:tcPr>
            <w:tcW w:w="3118" w:type="dxa"/>
            <w:shd w:val="clear" w:color="auto" w:fill="F2F2F2"/>
          </w:tcPr>
          <w:p w14:paraId="008BB032" w14:textId="77777777" w:rsidR="00323AA0" w:rsidRDefault="00000000">
            <w:r>
              <w:t>Licencia</w:t>
            </w:r>
          </w:p>
        </w:tc>
        <w:tc>
          <w:tcPr>
            <w:tcW w:w="5953" w:type="dxa"/>
            <w:shd w:val="clear" w:color="auto" w:fill="F2F2F2"/>
          </w:tcPr>
          <w:p w14:paraId="09F31CEC" w14:textId="77777777" w:rsidR="00323AA0" w:rsidRDefault="00000000">
            <w:r>
              <w:t>LGPL-3</w:t>
            </w:r>
          </w:p>
        </w:tc>
      </w:tr>
      <w:tr w:rsidR="00323AA0" w14:paraId="767DCF9F" w14:textId="77777777">
        <w:tc>
          <w:tcPr>
            <w:tcW w:w="3118" w:type="dxa"/>
          </w:tcPr>
          <w:p w14:paraId="4F980707" w14:textId="77777777" w:rsidR="00323AA0" w:rsidRDefault="00000000">
            <w:r>
              <w:t>Aplicación</w:t>
            </w:r>
          </w:p>
        </w:tc>
        <w:tc>
          <w:tcPr>
            <w:tcW w:w="5953" w:type="dxa"/>
          </w:tcPr>
          <w:p w14:paraId="16528325" w14:textId="77777777" w:rsidR="00323AA0" w:rsidRDefault="00000000">
            <w:r>
              <w:t>No (módulo auxiliar)</w:t>
            </w:r>
          </w:p>
        </w:tc>
      </w:tr>
      <w:tr w:rsidR="00323AA0" w14:paraId="356E6FE6" w14:textId="77777777">
        <w:tc>
          <w:tcPr>
            <w:tcW w:w="3118" w:type="dxa"/>
            <w:shd w:val="clear" w:color="auto" w:fill="F2F2F2"/>
          </w:tcPr>
          <w:p w14:paraId="5392F4E8" w14:textId="77777777" w:rsidR="00323AA0" w:rsidRDefault="00000000">
            <w:r>
              <w:t>Auto-instalación</w:t>
            </w:r>
          </w:p>
        </w:tc>
        <w:tc>
          <w:tcPr>
            <w:tcW w:w="5953" w:type="dxa"/>
            <w:shd w:val="clear" w:color="auto" w:fill="F2F2F2"/>
          </w:tcPr>
          <w:p w14:paraId="47CA42B8" w14:textId="77777777" w:rsidR="00323AA0" w:rsidRDefault="00000000">
            <w:r>
              <w:t>No</w:t>
            </w:r>
          </w:p>
        </w:tc>
      </w:tr>
    </w:tbl>
    <w:p w14:paraId="68C7A956" w14:textId="77777777" w:rsidR="00323AA0" w:rsidRDefault="00000000">
      <w:pPr>
        <w:pStyle w:val="Heading2"/>
      </w:pPr>
      <w:r>
        <w:rPr>
          <w:color w:val="2E74B5"/>
        </w:rPr>
        <w:t>1.2 Dependencias del Módulo</w:t>
      </w:r>
    </w:p>
    <w:p w14:paraId="4EB83FD4" w14:textId="77777777" w:rsidR="00323AA0" w:rsidRPr="00083976" w:rsidRDefault="00000000">
      <w:pPr>
        <w:rPr>
          <w:lang w:val="es-DO"/>
        </w:rPr>
      </w:pPr>
      <w:r w:rsidRPr="00083976">
        <w:rPr>
          <w:lang w:val="es-DO"/>
        </w:rPr>
        <w:t>El módulo declara la siguiente dependencia directa en su archivo __manifest__.py: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8"/>
        <w:gridCol w:w="5953"/>
      </w:tblGrid>
      <w:tr w:rsidR="00323AA0" w14:paraId="6B0DAE82" w14:textId="77777777">
        <w:tc>
          <w:tcPr>
            <w:tcW w:w="3118" w:type="dxa"/>
            <w:shd w:val="clear" w:color="auto" w:fill="1F3864"/>
          </w:tcPr>
          <w:p w14:paraId="0D757DF6" w14:textId="77777777" w:rsidR="00323AA0" w:rsidRDefault="00000000">
            <w:r>
              <w:rPr>
                <w:b/>
                <w:color w:val="FFFFFF"/>
              </w:rPr>
              <w:t>Dependencia</w:t>
            </w:r>
          </w:p>
        </w:tc>
        <w:tc>
          <w:tcPr>
            <w:tcW w:w="5953" w:type="dxa"/>
            <w:shd w:val="clear" w:color="auto" w:fill="1F3864"/>
          </w:tcPr>
          <w:p w14:paraId="6F6E06F4" w14:textId="77777777" w:rsidR="00323AA0" w:rsidRDefault="00000000">
            <w:r>
              <w:rPr>
                <w:b/>
                <w:color w:val="FFFFFF"/>
              </w:rPr>
              <w:t>Descripción</w:t>
            </w:r>
          </w:p>
        </w:tc>
      </w:tr>
      <w:tr w:rsidR="00323AA0" w:rsidRPr="00083976" w14:paraId="35DFB361" w14:textId="77777777">
        <w:tc>
          <w:tcPr>
            <w:tcW w:w="3118" w:type="dxa"/>
          </w:tcPr>
          <w:p w14:paraId="06EC926A" w14:textId="77777777" w:rsidR="00323AA0" w:rsidRDefault="00000000">
            <w:r>
              <w:t>l10n_do_accounting</w:t>
            </w:r>
          </w:p>
        </w:tc>
        <w:tc>
          <w:tcPr>
            <w:tcW w:w="5953" w:type="dxa"/>
          </w:tcPr>
          <w:p w14:paraId="3CB99040" w14:textId="77777777" w:rsidR="00323AA0" w:rsidRPr="00083976" w:rsidRDefault="00000000">
            <w:pPr>
              <w:rPr>
                <w:lang w:val="es-DO"/>
              </w:rPr>
            </w:pPr>
            <w:r w:rsidRPr="00083976">
              <w:rPr>
                <w:lang w:val="es-DO"/>
              </w:rPr>
              <w:t>Provee los tipos de documento fiscal dominicanos (NCF y e-NCF), la gestión de lotes de comprobantes, el prefijo de secuencia fiscal (l10n_do_sequence_prefix) y los campos base de facturación fiscal.</w:t>
            </w:r>
          </w:p>
        </w:tc>
      </w:tr>
    </w:tbl>
    <w:p w14:paraId="61F158B1" w14:textId="77777777" w:rsidR="00323AA0" w:rsidRDefault="00000000">
      <w:pPr>
        <w:pStyle w:val="Heading2"/>
      </w:pPr>
      <w:r>
        <w:rPr>
          <w:color w:val="2E74B5"/>
        </w:rPr>
        <w:t>1.3 Librerías de Terceros Requeridas</w:t>
      </w:r>
    </w:p>
    <w:p w14:paraId="02E470F2" w14:textId="77777777" w:rsidR="00323AA0" w:rsidRPr="00083976" w:rsidRDefault="00000000">
      <w:pPr>
        <w:pStyle w:val="ListBullet"/>
        <w:rPr>
          <w:lang w:val="es-DO"/>
        </w:rPr>
      </w:pPr>
      <w:r w:rsidRPr="00083976">
        <w:rPr>
          <w:b/>
          <w:lang w:val="es-DO"/>
        </w:rPr>
        <w:t>requests</w:t>
      </w:r>
      <w:r w:rsidRPr="00083976">
        <w:rPr>
          <w:lang w:val="es-DO"/>
        </w:rPr>
        <w:t xml:space="preserve"> — comunicación HTTPS con DigiFact (obtención de token y envío del payload).</w:t>
      </w:r>
    </w:p>
    <w:p w14:paraId="10CDA3F2" w14:textId="77777777" w:rsidR="00323AA0" w:rsidRPr="00083976" w:rsidRDefault="00000000">
      <w:pPr>
        <w:pStyle w:val="ListBullet"/>
        <w:rPr>
          <w:lang w:val="es-DO"/>
        </w:rPr>
      </w:pPr>
      <w:r w:rsidRPr="00083976">
        <w:rPr>
          <w:b/>
          <w:lang w:val="es-DO"/>
        </w:rPr>
        <w:t>qrcode + Pillow</w:t>
      </w:r>
      <w:r w:rsidRPr="00083976">
        <w:rPr>
          <w:lang w:val="es-DO"/>
        </w:rPr>
        <w:t xml:space="preserve"> — generación del código QR de validación DGII.</w:t>
      </w:r>
    </w:p>
    <w:p w14:paraId="3C173EF4" w14:textId="77777777" w:rsidR="00323AA0" w:rsidRDefault="00000000">
      <w:pPr>
        <w:pStyle w:val="ListBullet"/>
      </w:pPr>
      <w:r>
        <w:rPr>
          <w:b/>
        </w:rPr>
        <w:t>pytz</w:t>
      </w:r>
      <w:r>
        <w:t xml:space="preserve"> — resolución de zona horaria local (America/Santo_Domingo).</w:t>
      </w:r>
    </w:p>
    <w:p w14:paraId="62D6DE6C" w14:textId="77777777" w:rsidR="00323AA0" w:rsidRPr="00083976" w:rsidRDefault="00000000">
      <w:pPr>
        <w:pStyle w:val="ListBullet"/>
        <w:rPr>
          <w:lang w:val="es-DO"/>
        </w:rPr>
      </w:pPr>
      <w:r w:rsidRPr="00083976">
        <w:rPr>
          <w:b/>
          <w:lang w:val="es-DO"/>
        </w:rPr>
        <w:t>markupsafe</w:t>
      </w:r>
      <w:r w:rsidRPr="00083976">
        <w:rPr>
          <w:lang w:val="es-DO"/>
        </w:rPr>
        <w:t xml:space="preserve"> — composición segura del mensaje de chatter tras aceptación.</w:t>
      </w:r>
    </w:p>
    <w:p w14:paraId="681FAF85" w14:textId="77777777" w:rsidR="00323AA0" w:rsidRDefault="00000000">
      <w:pPr>
        <w:pStyle w:val="Heading2"/>
      </w:pPr>
      <w:r>
        <w:rPr>
          <w:color w:val="2E74B5"/>
        </w:rPr>
        <w:t>1.4 Resumen Funcional</w:t>
      </w:r>
    </w:p>
    <w:p w14:paraId="229D7CCD" w14:textId="77777777" w:rsidR="00323AA0" w:rsidRDefault="00000000">
      <w:pPr>
        <w:pStyle w:val="ListBullet"/>
      </w:pPr>
      <w:r>
        <w:t>Envío de facturas electrónicas a DGII vía DigiFact al confirmarse el documento.</w:t>
      </w:r>
    </w:p>
    <w:p w14:paraId="0EC98524" w14:textId="77777777" w:rsidR="00323AA0" w:rsidRDefault="00000000">
      <w:pPr>
        <w:pStyle w:val="ListBullet"/>
      </w:pPr>
      <w:r>
        <w:t>Construcción del payload JSON eCF conforme a la norma 32-23 (Header, Seller, Buyer, Items, Totals, Payments, AdditionalDocumentInfo).</w:t>
      </w:r>
    </w:p>
    <w:p w14:paraId="64056030" w14:textId="77777777" w:rsidR="00323AA0" w:rsidRDefault="00000000">
      <w:pPr>
        <w:pStyle w:val="ListBullet"/>
      </w:pPr>
      <w:r>
        <w:t>Soporte para tipos E31, E32, E33, E34, E41, E43, E44, E45, E46 y E47.</w:t>
      </w:r>
    </w:p>
    <w:p w14:paraId="3D47EE6D" w14:textId="77777777" w:rsidR="00323AA0" w:rsidRDefault="00000000">
      <w:pPr>
        <w:pStyle w:val="ListBullet"/>
      </w:pPr>
      <w:r>
        <w:t>Gestión dual de credenciales y URLs: Sandbox (pruebas) y Producción (restringida al grupo del sistema).</w:t>
      </w:r>
    </w:p>
    <w:p w14:paraId="0B928F09" w14:textId="77777777" w:rsidR="00323AA0" w:rsidRDefault="00000000">
      <w:pPr>
        <w:pStyle w:val="ListBullet"/>
      </w:pPr>
      <w:r>
        <w:t>Renovación automática del token de autenticación (cron cada 25 días).</w:t>
      </w:r>
    </w:p>
    <w:p w14:paraId="10861208" w14:textId="77777777" w:rsidR="00323AA0" w:rsidRDefault="00000000">
      <w:pPr>
        <w:pStyle w:val="ListBullet"/>
      </w:pPr>
      <w:r>
        <w:t>Generación y almacenamiento del código QR de validación DGII por factura.</w:t>
      </w:r>
    </w:p>
    <w:p w14:paraId="026E7482" w14:textId="77777777" w:rsidR="00323AA0" w:rsidRDefault="00000000">
      <w:pPr>
        <w:pStyle w:val="ListBullet"/>
      </w:pPr>
      <w:r>
        <w:t>Bloqueo de retorno a borrador de facturas electrónicas ya emitidas.</w:t>
      </w:r>
    </w:p>
    <w:p w14:paraId="62784A29" w14:textId="77777777" w:rsidR="00323AA0" w:rsidRDefault="00000000">
      <w:pPr>
        <w:pStyle w:val="ListBullet"/>
      </w:pPr>
      <w:r>
        <w:t>Registro centralizado de errores de envío en el modelo ecf.logger con visibilidad en el chatter.</w:t>
      </w:r>
    </w:p>
    <w:p w14:paraId="3BC1E3CF" w14:textId="77777777" w:rsidR="00323AA0" w:rsidRDefault="00000000">
      <w:pPr>
        <w:pStyle w:val="Heading1"/>
      </w:pPr>
      <w:r>
        <w:rPr>
          <w:color w:val="1F3864"/>
        </w:rPr>
        <w:lastRenderedPageBreak/>
        <w:t>2. Estructura de Directorios</w:t>
      </w:r>
    </w:p>
    <w:p w14:paraId="184D4FAC" w14:textId="77777777" w:rsidR="00323AA0" w:rsidRDefault="00000000">
      <w:r>
        <w:t>El módulo sigue la organización convencional de Odoo 19:</w:t>
      </w:r>
    </w:p>
    <w:p w14:paraId="68F63A4C" w14:textId="77777777" w:rsidR="00323AA0" w:rsidRDefault="00000000">
      <w:r>
        <w:rPr>
          <w:rFonts w:ascii="Consolas" w:hAnsi="Consolas"/>
          <w:sz w:val="18"/>
        </w:rPr>
        <w:t>l10n_do_ecf_accounting/</w:t>
      </w:r>
      <w:r>
        <w:rPr>
          <w:rFonts w:ascii="Consolas" w:hAnsi="Consolas"/>
          <w:sz w:val="18"/>
        </w:rPr>
        <w:br/>
        <w:t>├── __init__.py</w:t>
      </w:r>
      <w:r>
        <w:rPr>
          <w:rFonts w:ascii="Consolas" w:hAnsi="Consolas"/>
          <w:sz w:val="18"/>
        </w:rPr>
        <w:br/>
        <w:t>├── __manifest__.py</w:t>
      </w:r>
      <w:r>
        <w:rPr>
          <w:rFonts w:ascii="Consolas" w:hAnsi="Consolas"/>
          <w:sz w:val="18"/>
        </w:rPr>
        <w:br/>
        <w:t>├── data/</w:t>
      </w:r>
      <w:r>
        <w:rPr>
          <w:rFonts w:ascii="Consolas" w:hAnsi="Consolas"/>
          <w:sz w:val="18"/>
        </w:rPr>
        <w:br/>
        <w:t>│   ├── ir_cron_data.xml       # Cron renovación token eCF (25 días)</w:t>
      </w:r>
      <w:r>
        <w:rPr>
          <w:rFonts w:ascii="Consolas" w:hAnsi="Consolas"/>
          <w:sz w:val="18"/>
        </w:rPr>
        <w:br/>
        <w:t>│   └── neutralize.sql         # Limpieza credenciales al duplicar BD</w:t>
      </w:r>
      <w:r>
        <w:rPr>
          <w:rFonts w:ascii="Consolas" w:hAnsi="Consolas"/>
          <w:sz w:val="18"/>
        </w:rPr>
        <w:br/>
        <w:t>├── models/</w:t>
      </w:r>
      <w:r>
        <w:rPr>
          <w:rFonts w:ascii="Consolas" w:hAnsi="Consolas"/>
          <w:sz w:val="18"/>
        </w:rPr>
        <w:br/>
        <w:t>│   ├── __init__.py</w:t>
      </w:r>
      <w:r>
        <w:rPr>
          <w:rFonts w:ascii="Consolas" w:hAnsi="Consolas"/>
          <w:sz w:val="18"/>
        </w:rPr>
        <w:br/>
        <w:t>│   ├── account_move.py        # Lógica principal de envío/recepción eCF</w:t>
      </w:r>
      <w:r>
        <w:rPr>
          <w:rFonts w:ascii="Consolas" w:hAnsi="Consolas"/>
          <w:sz w:val="18"/>
        </w:rPr>
        <w:br/>
        <w:t>│   ├── account_move_line.py   # Tipo de impuesto facturación (compute)</w:t>
      </w:r>
      <w:r>
        <w:rPr>
          <w:rFonts w:ascii="Consolas" w:hAnsi="Consolas"/>
          <w:sz w:val="18"/>
        </w:rPr>
        <w:br/>
        <w:t>│   ├── account_payment_term.py# Tipo de pago (Contado / Crédito)</w:t>
      </w:r>
      <w:r>
        <w:rPr>
          <w:rFonts w:ascii="Consolas" w:hAnsi="Consolas"/>
          <w:sz w:val="18"/>
        </w:rPr>
        <w:br/>
        <w:t>│   ├── account_tax.py         # Indicadores de facturación ITBIS y adicionales</w:t>
      </w:r>
      <w:r>
        <w:rPr>
          <w:rFonts w:ascii="Consolas" w:hAnsi="Consolas"/>
          <w:sz w:val="18"/>
        </w:rPr>
        <w:br/>
        <w:t>│   ├── ecf_composition.py     # Clases constructoras del payload JSON</w:t>
      </w:r>
      <w:r>
        <w:rPr>
          <w:rFonts w:ascii="Consolas" w:hAnsi="Consolas"/>
          <w:sz w:val="18"/>
        </w:rPr>
        <w:br/>
        <w:t>│   ├── ecf_logger.py          # Modelo de log de errores de envío</w:t>
      </w:r>
      <w:r>
        <w:rPr>
          <w:rFonts w:ascii="Consolas" w:hAnsi="Consolas"/>
          <w:sz w:val="18"/>
        </w:rPr>
        <w:br/>
        <w:t>│   ├── res_company.py         # Ambiente Sandbox/Producción + credenciales</w:t>
      </w:r>
      <w:r>
        <w:rPr>
          <w:rFonts w:ascii="Consolas" w:hAnsi="Consolas"/>
          <w:sz w:val="18"/>
        </w:rPr>
        <w:br/>
        <w:t>│   ├── res_partner.py         # Flag "Es Receptor Electrónico?"</w:t>
      </w:r>
      <w:r>
        <w:rPr>
          <w:rFonts w:ascii="Consolas" w:hAnsi="Consolas"/>
          <w:sz w:val="18"/>
        </w:rPr>
        <w:br/>
        <w:t>│   └── uom_uom.py             # Código ECF de unidad de medida</w:t>
      </w:r>
      <w:r>
        <w:rPr>
          <w:rFonts w:ascii="Consolas" w:hAnsi="Consolas"/>
          <w:sz w:val="18"/>
        </w:rPr>
        <w:br/>
        <w:t>├── report/</w:t>
      </w:r>
      <w:r>
        <w:rPr>
          <w:rFonts w:ascii="Consolas" w:hAnsi="Consolas"/>
          <w:sz w:val="18"/>
        </w:rPr>
        <w:br/>
        <w:t>│   └── report_invoice.xml     # Plantilla factura con bloque eCF</w:t>
      </w:r>
      <w:r>
        <w:rPr>
          <w:rFonts w:ascii="Consolas" w:hAnsi="Consolas"/>
          <w:sz w:val="18"/>
        </w:rPr>
        <w:br/>
        <w:t>├── security/</w:t>
      </w:r>
      <w:r>
        <w:rPr>
          <w:rFonts w:ascii="Consolas" w:hAnsi="Consolas"/>
          <w:sz w:val="18"/>
        </w:rPr>
        <w:br/>
        <w:t>│   └── ir.model.access.csv    # ACL modelo ecf.logger</w:t>
      </w:r>
      <w:r>
        <w:rPr>
          <w:rFonts w:ascii="Consolas" w:hAnsi="Consolas"/>
          <w:sz w:val="18"/>
        </w:rPr>
        <w:br/>
        <w:t>└── views/</w:t>
      </w:r>
      <w:r>
        <w:rPr>
          <w:rFonts w:ascii="Consolas" w:hAnsi="Consolas"/>
          <w:sz w:val="18"/>
        </w:rPr>
        <w:br/>
        <w:t xml:space="preserve">    ├── account_move_views.xml</w:t>
      </w:r>
      <w:r>
        <w:rPr>
          <w:rFonts w:ascii="Consolas" w:hAnsi="Consolas"/>
          <w:sz w:val="18"/>
        </w:rPr>
        <w:br/>
        <w:t xml:space="preserve">    ├── account_payment_term_views.xml</w:t>
      </w:r>
      <w:r>
        <w:rPr>
          <w:rFonts w:ascii="Consolas" w:hAnsi="Consolas"/>
          <w:sz w:val="18"/>
        </w:rPr>
        <w:br/>
        <w:t xml:space="preserve">    ├── account_tax_views.xml</w:t>
      </w:r>
      <w:r>
        <w:rPr>
          <w:rFonts w:ascii="Consolas" w:hAnsi="Consolas"/>
          <w:sz w:val="18"/>
        </w:rPr>
        <w:br/>
        <w:t xml:space="preserve">    ├── res_company_views.xml</w:t>
      </w:r>
      <w:r>
        <w:rPr>
          <w:rFonts w:ascii="Consolas" w:hAnsi="Consolas"/>
          <w:sz w:val="18"/>
        </w:rPr>
        <w:br/>
        <w:t xml:space="preserve">    ├── res_partner_views.xml</w:t>
      </w:r>
      <w:r>
        <w:rPr>
          <w:rFonts w:ascii="Consolas" w:hAnsi="Consolas"/>
          <w:sz w:val="18"/>
        </w:rPr>
        <w:br/>
        <w:t xml:space="preserve">    └── uom_uom_views.xml</w:t>
      </w:r>
      <w:r>
        <w:rPr>
          <w:rFonts w:ascii="Consolas" w:hAnsi="Consolas"/>
          <w:sz w:val="18"/>
        </w:rPr>
        <w:br/>
      </w:r>
    </w:p>
    <w:p w14:paraId="49275405" w14:textId="77777777" w:rsidR="00323AA0" w:rsidRDefault="00000000">
      <w:pPr>
        <w:pStyle w:val="Heading1"/>
      </w:pPr>
      <w:r>
        <w:rPr>
          <w:color w:val="1F3864"/>
        </w:rPr>
        <w:t>3. Modelos Principales</w:t>
      </w:r>
    </w:p>
    <w:p w14:paraId="04CF1890" w14:textId="77777777" w:rsidR="00323AA0" w:rsidRDefault="00000000">
      <w:pPr>
        <w:pStyle w:val="Heading2"/>
      </w:pPr>
      <w:r>
        <w:rPr>
          <w:color w:val="2E74B5"/>
        </w:rPr>
        <w:t>3.1 res.company — res_company.py</w:t>
      </w:r>
    </w:p>
    <w:p w14:paraId="17EE1080" w14:textId="77777777" w:rsidR="00323AA0" w:rsidRDefault="00000000">
      <w:r>
        <w:t>Centraliza la configuración de conexión con el proveedor DigiFact. Se adoptó un diseño dual sandbox/producción con selector explícito, de modo que el módulo conserve ambos sets de credenciales y pueda alternar sin sobreescribir.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098"/>
        <w:gridCol w:w="1396"/>
        <w:gridCol w:w="4354"/>
      </w:tblGrid>
      <w:tr w:rsidR="00323AA0" w14:paraId="7FE803E5" w14:textId="77777777">
        <w:tc>
          <w:tcPr>
            <w:tcW w:w="3118" w:type="dxa"/>
            <w:shd w:val="clear" w:color="auto" w:fill="1F3864"/>
          </w:tcPr>
          <w:p w14:paraId="22FBBD38" w14:textId="77777777" w:rsidR="00323AA0" w:rsidRDefault="00000000">
            <w:r>
              <w:rPr>
                <w:b/>
                <w:color w:val="FFFFFF"/>
              </w:rPr>
              <w:t>Campo</w:t>
            </w:r>
          </w:p>
        </w:tc>
        <w:tc>
          <w:tcPr>
            <w:tcW w:w="1417" w:type="dxa"/>
            <w:shd w:val="clear" w:color="auto" w:fill="1F3864"/>
          </w:tcPr>
          <w:p w14:paraId="2E96C218" w14:textId="77777777" w:rsidR="00323AA0" w:rsidRDefault="00000000">
            <w:r>
              <w:rPr>
                <w:b/>
                <w:color w:val="FFFFFF"/>
              </w:rPr>
              <w:t>Tipo</w:t>
            </w:r>
          </w:p>
        </w:tc>
        <w:tc>
          <w:tcPr>
            <w:tcW w:w="4535" w:type="dxa"/>
            <w:shd w:val="clear" w:color="auto" w:fill="1F3864"/>
          </w:tcPr>
          <w:p w14:paraId="68A0E7C3" w14:textId="77777777" w:rsidR="00323AA0" w:rsidRDefault="00000000">
            <w:r>
              <w:rPr>
                <w:b/>
                <w:color w:val="FFFFFF"/>
              </w:rPr>
              <w:t>Descripción</w:t>
            </w:r>
          </w:p>
        </w:tc>
      </w:tr>
      <w:tr w:rsidR="00323AA0" w14:paraId="54F7C059" w14:textId="77777777">
        <w:tc>
          <w:tcPr>
            <w:tcW w:w="3118" w:type="dxa"/>
          </w:tcPr>
          <w:p w14:paraId="02EA6327" w14:textId="77777777" w:rsidR="00323AA0" w:rsidRDefault="00000000">
            <w:r>
              <w:t>l10n_do_ecf_environment</w:t>
            </w:r>
          </w:p>
        </w:tc>
        <w:tc>
          <w:tcPr>
            <w:tcW w:w="1417" w:type="dxa"/>
          </w:tcPr>
          <w:p w14:paraId="74EA857D" w14:textId="77777777" w:rsidR="00323AA0" w:rsidRDefault="00000000">
            <w:r>
              <w:t>Selection</w:t>
            </w:r>
          </w:p>
        </w:tc>
        <w:tc>
          <w:tcPr>
            <w:tcW w:w="4535" w:type="dxa"/>
          </w:tcPr>
          <w:p w14:paraId="641000B3" w14:textId="77777777" w:rsidR="00323AA0" w:rsidRDefault="00000000">
            <w:r>
              <w:t>Ambiente activo: sandbox | production. Por defecto sandbox.</w:t>
            </w:r>
          </w:p>
        </w:tc>
      </w:tr>
      <w:tr w:rsidR="00323AA0" w14:paraId="3B307DE1" w14:textId="77777777">
        <w:tc>
          <w:tcPr>
            <w:tcW w:w="3118" w:type="dxa"/>
            <w:shd w:val="clear" w:color="auto" w:fill="F2F2F2"/>
          </w:tcPr>
          <w:p w14:paraId="3F9AF0B2" w14:textId="77777777" w:rsidR="00323AA0" w:rsidRDefault="00000000">
            <w:r>
              <w:t>l10n_do_ecf_phone</w:t>
            </w:r>
          </w:p>
        </w:tc>
        <w:tc>
          <w:tcPr>
            <w:tcW w:w="1417" w:type="dxa"/>
            <w:shd w:val="clear" w:color="auto" w:fill="F2F2F2"/>
          </w:tcPr>
          <w:p w14:paraId="3610B8C0" w14:textId="77777777" w:rsidR="00323AA0" w:rsidRDefault="00000000">
            <w:r>
              <w:t>Char</w:t>
            </w:r>
          </w:p>
        </w:tc>
        <w:tc>
          <w:tcPr>
            <w:tcW w:w="4535" w:type="dxa"/>
            <w:shd w:val="clear" w:color="auto" w:fill="F2F2F2"/>
          </w:tcPr>
          <w:p w14:paraId="3A8C80A8" w14:textId="77777777" w:rsidR="00323AA0" w:rsidRDefault="00000000">
            <w:r>
              <w:t>Teléfono del emisor declarado en el eCF.</w:t>
            </w:r>
          </w:p>
        </w:tc>
      </w:tr>
      <w:tr w:rsidR="00323AA0" w14:paraId="11312F7B" w14:textId="77777777">
        <w:tc>
          <w:tcPr>
            <w:tcW w:w="3118" w:type="dxa"/>
          </w:tcPr>
          <w:p w14:paraId="4E59FA34" w14:textId="77777777" w:rsidR="00323AA0" w:rsidRDefault="00000000">
            <w:r>
              <w:t>l10n_do_ecf_commercial_name</w:t>
            </w:r>
          </w:p>
        </w:tc>
        <w:tc>
          <w:tcPr>
            <w:tcW w:w="1417" w:type="dxa"/>
          </w:tcPr>
          <w:p w14:paraId="6CE07215" w14:textId="77777777" w:rsidR="00323AA0" w:rsidRDefault="00000000">
            <w:r>
              <w:t>Char</w:t>
            </w:r>
          </w:p>
        </w:tc>
        <w:tc>
          <w:tcPr>
            <w:tcW w:w="4535" w:type="dxa"/>
          </w:tcPr>
          <w:p w14:paraId="79857D9F" w14:textId="77777777" w:rsidR="00323AA0" w:rsidRDefault="00000000">
            <w:r>
              <w:t>Nombre comercial / ID de sucursal.</w:t>
            </w:r>
          </w:p>
        </w:tc>
      </w:tr>
      <w:tr w:rsidR="00323AA0" w14:paraId="15A35736" w14:textId="77777777">
        <w:tc>
          <w:tcPr>
            <w:tcW w:w="3118" w:type="dxa"/>
            <w:shd w:val="clear" w:color="auto" w:fill="F2F2F2"/>
          </w:tcPr>
          <w:p w14:paraId="26F738C2" w14:textId="77777777" w:rsidR="00323AA0" w:rsidRDefault="00000000">
            <w:r>
              <w:t>l10n_do_url_generate_token_{env}</w:t>
            </w:r>
          </w:p>
        </w:tc>
        <w:tc>
          <w:tcPr>
            <w:tcW w:w="1417" w:type="dxa"/>
            <w:shd w:val="clear" w:color="auto" w:fill="F2F2F2"/>
          </w:tcPr>
          <w:p w14:paraId="7549315B" w14:textId="77777777" w:rsidR="00323AA0" w:rsidRDefault="00000000">
            <w:r>
              <w:t>Char</w:t>
            </w:r>
          </w:p>
        </w:tc>
        <w:tc>
          <w:tcPr>
            <w:tcW w:w="4535" w:type="dxa"/>
            <w:shd w:val="clear" w:color="auto" w:fill="F2F2F2"/>
          </w:tcPr>
          <w:p w14:paraId="13F769D2" w14:textId="77777777" w:rsidR="00323AA0" w:rsidRDefault="00000000">
            <w:r>
              <w:t>Endpoint para solicitar token. Un campo por ambiente.</w:t>
            </w:r>
          </w:p>
        </w:tc>
      </w:tr>
      <w:tr w:rsidR="00323AA0" w14:paraId="14B07473" w14:textId="77777777">
        <w:tc>
          <w:tcPr>
            <w:tcW w:w="3118" w:type="dxa"/>
          </w:tcPr>
          <w:p w14:paraId="365575C1" w14:textId="77777777" w:rsidR="00323AA0" w:rsidRDefault="00000000">
            <w:r>
              <w:t>l10n_do_username_generate_token_{env}</w:t>
            </w:r>
          </w:p>
        </w:tc>
        <w:tc>
          <w:tcPr>
            <w:tcW w:w="1417" w:type="dxa"/>
          </w:tcPr>
          <w:p w14:paraId="07933D5E" w14:textId="77777777" w:rsidR="00323AA0" w:rsidRDefault="00000000">
            <w:r>
              <w:t>Char</w:t>
            </w:r>
          </w:p>
        </w:tc>
        <w:tc>
          <w:tcPr>
            <w:tcW w:w="4535" w:type="dxa"/>
          </w:tcPr>
          <w:p w14:paraId="36A5E0DE" w14:textId="77777777" w:rsidR="00323AA0" w:rsidRDefault="00000000">
            <w:r>
              <w:t>Usuario de autenticación por ambiente.</w:t>
            </w:r>
          </w:p>
        </w:tc>
      </w:tr>
      <w:tr w:rsidR="00323AA0" w14:paraId="553F2274" w14:textId="77777777">
        <w:tc>
          <w:tcPr>
            <w:tcW w:w="3118" w:type="dxa"/>
            <w:shd w:val="clear" w:color="auto" w:fill="F2F2F2"/>
          </w:tcPr>
          <w:p w14:paraId="50702469" w14:textId="77777777" w:rsidR="00323AA0" w:rsidRDefault="00000000">
            <w:r>
              <w:t>l10n_do_password_generate_token_{env}</w:t>
            </w:r>
          </w:p>
        </w:tc>
        <w:tc>
          <w:tcPr>
            <w:tcW w:w="1417" w:type="dxa"/>
            <w:shd w:val="clear" w:color="auto" w:fill="F2F2F2"/>
          </w:tcPr>
          <w:p w14:paraId="7931B8AB" w14:textId="77777777" w:rsidR="00323AA0" w:rsidRDefault="00000000">
            <w:r>
              <w:t>Char</w:t>
            </w:r>
          </w:p>
        </w:tc>
        <w:tc>
          <w:tcPr>
            <w:tcW w:w="4535" w:type="dxa"/>
            <w:shd w:val="clear" w:color="auto" w:fill="F2F2F2"/>
          </w:tcPr>
          <w:p w14:paraId="038660E0" w14:textId="77777777" w:rsidR="00323AA0" w:rsidRDefault="00000000">
            <w:r>
              <w:t>Contraseña de autenticación por ambiente.</w:t>
            </w:r>
          </w:p>
        </w:tc>
      </w:tr>
      <w:tr w:rsidR="00323AA0" w14:paraId="44DD0EBD" w14:textId="77777777">
        <w:tc>
          <w:tcPr>
            <w:tcW w:w="3118" w:type="dxa"/>
          </w:tcPr>
          <w:p w14:paraId="72199501" w14:textId="77777777" w:rsidR="00323AA0" w:rsidRDefault="00000000">
            <w:r>
              <w:t>l10n_do_token_{env}</w:t>
            </w:r>
          </w:p>
        </w:tc>
        <w:tc>
          <w:tcPr>
            <w:tcW w:w="1417" w:type="dxa"/>
          </w:tcPr>
          <w:p w14:paraId="5A763189" w14:textId="77777777" w:rsidR="00323AA0" w:rsidRDefault="00000000">
            <w:r>
              <w:t>Text</w:t>
            </w:r>
          </w:p>
        </w:tc>
        <w:tc>
          <w:tcPr>
            <w:tcW w:w="4535" w:type="dxa"/>
          </w:tcPr>
          <w:p w14:paraId="03573D73" w14:textId="77777777" w:rsidR="00323AA0" w:rsidRDefault="00000000">
            <w:r>
              <w:t>Token vigente (readonly). Se rota vía cron.</w:t>
            </w:r>
          </w:p>
        </w:tc>
      </w:tr>
      <w:tr w:rsidR="00323AA0" w14:paraId="44722AA5" w14:textId="77777777">
        <w:tc>
          <w:tcPr>
            <w:tcW w:w="3118" w:type="dxa"/>
            <w:shd w:val="clear" w:color="auto" w:fill="F2F2F2"/>
          </w:tcPr>
          <w:p w14:paraId="6F8B37B5" w14:textId="77777777" w:rsidR="00323AA0" w:rsidRDefault="00000000">
            <w:r>
              <w:lastRenderedPageBreak/>
              <w:t>l10n_do_token_expires_{env}</w:t>
            </w:r>
          </w:p>
        </w:tc>
        <w:tc>
          <w:tcPr>
            <w:tcW w:w="1417" w:type="dxa"/>
            <w:shd w:val="clear" w:color="auto" w:fill="F2F2F2"/>
          </w:tcPr>
          <w:p w14:paraId="4AE50CCB" w14:textId="77777777" w:rsidR="00323AA0" w:rsidRDefault="00000000">
            <w:r>
              <w:t>Char</w:t>
            </w:r>
          </w:p>
        </w:tc>
        <w:tc>
          <w:tcPr>
            <w:tcW w:w="4535" w:type="dxa"/>
            <w:shd w:val="clear" w:color="auto" w:fill="F2F2F2"/>
          </w:tcPr>
          <w:p w14:paraId="5028B344" w14:textId="77777777" w:rsidR="00323AA0" w:rsidRDefault="00000000">
            <w:r>
              <w:t>Fecha/hora de expiración reportada por DigiFact.</w:t>
            </w:r>
          </w:p>
        </w:tc>
      </w:tr>
      <w:tr w:rsidR="00323AA0" w14:paraId="11DD62CC" w14:textId="77777777">
        <w:tc>
          <w:tcPr>
            <w:tcW w:w="3118" w:type="dxa"/>
          </w:tcPr>
          <w:p w14:paraId="6ADAC7D7" w14:textId="77777777" w:rsidR="00323AA0" w:rsidRDefault="00000000">
            <w:r>
              <w:t>l10n_do_url_api_{env}</w:t>
            </w:r>
          </w:p>
        </w:tc>
        <w:tc>
          <w:tcPr>
            <w:tcW w:w="1417" w:type="dxa"/>
          </w:tcPr>
          <w:p w14:paraId="66318361" w14:textId="77777777" w:rsidR="00323AA0" w:rsidRDefault="00000000">
            <w:r>
              <w:t>Char</w:t>
            </w:r>
          </w:p>
        </w:tc>
        <w:tc>
          <w:tcPr>
            <w:tcW w:w="4535" w:type="dxa"/>
          </w:tcPr>
          <w:p w14:paraId="148A1F3F" w14:textId="77777777" w:rsidR="00323AA0" w:rsidRDefault="00000000">
            <w:r>
              <w:t>Endpoint de certificación del eCF.</w:t>
            </w:r>
          </w:p>
        </w:tc>
      </w:tr>
      <w:tr w:rsidR="00323AA0" w14:paraId="0878CB32" w14:textId="77777777">
        <w:tc>
          <w:tcPr>
            <w:tcW w:w="3118" w:type="dxa"/>
            <w:shd w:val="clear" w:color="auto" w:fill="F2F2F2"/>
          </w:tcPr>
          <w:p w14:paraId="7523D458" w14:textId="77777777" w:rsidR="00323AA0" w:rsidRDefault="00000000">
            <w:r>
              <w:t>l10n_do_timeout_url_api_request</w:t>
            </w:r>
          </w:p>
        </w:tc>
        <w:tc>
          <w:tcPr>
            <w:tcW w:w="1417" w:type="dxa"/>
            <w:shd w:val="clear" w:color="auto" w:fill="F2F2F2"/>
          </w:tcPr>
          <w:p w14:paraId="7A96228F" w14:textId="77777777" w:rsidR="00323AA0" w:rsidRDefault="00000000">
            <w:r>
              <w:t>Integer</w:t>
            </w:r>
          </w:p>
        </w:tc>
        <w:tc>
          <w:tcPr>
            <w:tcW w:w="4535" w:type="dxa"/>
            <w:shd w:val="clear" w:color="auto" w:fill="F2F2F2"/>
          </w:tcPr>
          <w:p w14:paraId="6CB8CC0C" w14:textId="77777777" w:rsidR="00323AA0" w:rsidRDefault="00000000">
            <w:r>
              <w:t>Timeout en segundos para requests a DigiFact (default 60).</w:t>
            </w:r>
          </w:p>
        </w:tc>
      </w:tr>
    </w:tbl>
    <w:p w14:paraId="1D17E0C2" w14:textId="73128143" w:rsidR="00323AA0" w:rsidRDefault="00083976">
      <w:r>
        <w:rPr>
          <w:b/>
        </w:rPr>
        <w:br/>
      </w:r>
      <w:r w:rsidR="00000000">
        <w:rPr>
          <w:b/>
        </w:rPr>
        <w:t>Restricción de acceso:</w:t>
      </w:r>
      <w:r w:rsidR="00000000">
        <w:t xml:space="preserve"> todos los campos con sufijo _production están protegidos con </w:t>
      </w:r>
      <w:r w:rsidR="00000000">
        <w:rPr>
          <w:rFonts w:ascii="Consolas" w:hAnsi="Consolas"/>
          <w:color w:val="333333"/>
          <w:sz w:val="18"/>
        </w:rPr>
        <w:t>groups="base.group_system"</w:t>
      </w:r>
      <w:r w:rsidR="00000000">
        <w:t>, de modo que solo un administrador del sistema pueda visualizarlos o modificarlos.</w:t>
      </w:r>
    </w:p>
    <w:p w14:paraId="381630AB" w14:textId="77777777" w:rsidR="00323AA0" w:rsidRDefault="00000000">
      <w:pPr>
        <w:pStyle w:val="Heading2"/>
      </w:pPr>
      <w:r>
        <w:rPr>
          <w:color w:val="2E74B5"/>
        </w:rPr>
        <w:t>3.1.1 Métodos clave de res.company</w:t>
      </w:r>
    </w:p>
    <w:p w14:paraId="4655E0D2" w14:textId="77777777" w:rsidR="00323AA0" w:rsidRDefault="00000000">
      <w:pPr>
        <w:pStyle w:val="ListBullet"/>
      </w:pPr>
      <w:r>
        <w:rPr>
          <w:b/>
        </w:rPr>
        <w:t>_ecf_env_suffix()</w:t>
      </w:r>
      <w:r>
        <w:t xml:space="preserve"> — devuelve "_sandbox" o "_production" según el ambiente activo.</w:t>
      </w:r>
    </w:p>
    <w:p w14:paraId="679EA3D1" w14:textId="77777777" w:rsidR="00323AA0" w:rsidRDefault="00000000">
      <w:pPr>
        <w:pStyle w:val="ListBullet"/>
      </w:pPr>
      <w:r>
        <w:rPr>
          <w:b/>
        </w:rPr>
        <w:t>_get_active_ecf_creds()</w:t>
      </w:r>
      <w:r>
        <w:t xml:space="preserve"> — retorna un dict unificado con las credenciales y URLs del ambiente activo. Punto único de lectura.</w:t>
      </w:r>
    </w:p>
    <w:p w14:paraId="4BFF665C" w14:textId="77777777" w:rsidR="00323AA0" w:rsidRDefault="00000000">
      <w:pPr>
        <w:pStyle w:val="ListBullet"/>
      </w:pPr>
      <w:r>
        <w:rPr>
          <w:b/>
        </w:rPr>
        <w:t>_set_active_ecf_token(token, expires)</w:t>
      </w:r>
      <w:r>
        <w:t xml:space="preserve"> — escribe el token recién recibido en el ambiente activo.</w:t>
      </w:r>
    </w:p>
    <w:p w14:paraId="2006C4AB" w14:textId="77777777" w:rsidR="00323AA0" w:rsidRDefault="00000000">
      <w:pPr>
        <w:pStyle w:val="ListBullet"/>
      </w:pPr>
      <w:r>
        <w:rPr>
          <w:b/>
        </w:rPr>
        <w:t>l10n_do_generate_token()</w:t>
      </w:r>
      <w:r>
        <w:t xml:space="preserve"> — solicita un token fresco a DigiFact y lo persiste mediante el helper anterior.</w:t>
      </w:r>
    </w:p>
    <w:p w14:paraId="3EB3A784" w14:textId="77777777" w:rsidR="00323AA0" w:rsidRDefault="00000000">
      <w:pPr>
        <w:pStyle w:val="ListBullet"/>
      </w:pPr>
      <w:r>
        <w:rPr>
          <w:b/>
        </w:rPr>
        <w:t>_update_ecf_token()</w:t>
      </w:r>
      <w:r>
        <w:t xml:space="preserve"> — método de cron (@api.model) que itera todas las compañías, renovando tokens y aislando fallos por compañía.</w:t>
      </w:r>
    </w:p>
    <w:p w14:paraId="0D2E532A" w14:textId="77777777" w:rsidR="00323AA0" w:rsidRDefault="00000000">
      <w:pPr>
        <w:pStyle w:val="Heading2"/>
      </w:pPr>
      <w:r>
        <w:rPr>
          <w:color w:val="2E74B5"/>
        </w:rPr>
        <w:t>3.2 account.move — account_move.py</w:t>
      </w:r>
    </w:p>
    <w:p w14:paraId="45392E6D" w14:textId="77777777" w:rsidR="00323AA0" w:rsidRDefault="00000000">
      <w:r>
        <w:t>Modelo principal. Extiende account.move con el ciclo de vida completo del eCF: estado DGII, identificador de rastreo, código de seguridad, fecha de firma, URL de validación, payload enviado y código QR. Los campos más relevantes: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653"/>
        <w:gridCol w:w="5669"/>
      </w:tblGrid>
      <w:tr w:rsidR="00323AA0" w14:paraId="3E4E2FCB" w14:textId="77777777">
        <w:tc>
          <w:tcPr>
            <w:tcW w:w="3402" w:type="dxa"/>
            <w:shd w:val="clear" w:color="auto" w:fill="1F3864"/>
          </w:tcPr>
          <w:p w14:paraId="3DB6DFF8" w14:textId="77777777" w:rsidR="00323AA0" w:rsidRDefault="00000000">
            <w:r>
              <w:rPr>
                <w:b/>
                <w:color w:val="FFFFFF"/>
              </w:rPr>
              <w:t>Campo</w:t>
            </w:r>
          </w:p>
        </w:tc>
        <w:tc>
          <w:tcPr>
            <w:tcW w:w="5669" w:type="dxa"/>
            <w:shd w:val="clear" w:color="auto" w:fill="1F3864"/>
          </w:tcPr>
          <w:p w14:paraId="2BBAF4CD" w14:textId="77777777" w:rsidR="00323AA0" w:rsidRDefault="00000000">
            <w:r>
              <w:rPr>
                <w:b/>
                <w:color w:val="FFFFFF"/>
              </w:rPr>
              <w:t>Propósito</w:t>
            </w:r>
          </w:p>
        </w:tc>
      </w:tr>
      <w:tr w:rsidR="00323AA0" w14:paraId="0D238986" w14:textId="77777777">
        <w:tc>
          <w:tcPr>
            <w:tcW w:w="3402" w:type="dxa"/>
          </w:tcPr>
          <w:p w14:paraId="588C57FC" w14:textId="77777777" w:rsidR="00323AA0" w:rsidRDefault="00000000">
            <w:r>
              <w:t>l10n_do_ecf_type</w:t>
            </w:r>
          </w:p>
        </w:tc>
        <w:tc>
          <w:tcPr>
            <w:tcW w:w="5669" w:type="dxa"/>
          </w:tcPr>
          <w:p w14:paraId="1B184534" w14:textId="77777777" w:rsidR="00323AA0" w:rsidRDefault="00000000">
            <w:r>
              <w:t>Integer computado a partir del l10n_do_sequence_prefix (E31 → 31).</w:t>
            </w:r>
          </w:p>
        </w:tc>
      </w:tr>
      <w:tr w:rsidR="00323AA0" w14:paraId="711A089E" w14:textId="77777777">
        <w:tc>
          <w:tcPr>
            <w:tcW w:w="3402" w:type="dxa"/>
            <w:shd w:val="clear" w:color="auto" w:fill="F2F2F2"/>
          </w:tcPr>
          <w:p w14:paraId="275FA4E9" w14:textId="77777777" w:rsidR="00323AA0" w:rsidRDefault="00000000">
            <w:r>
              <w:t>l10n_do_ecf_status</w:t>
            </w:r>
          </w:p>
        </w:tc>
        <w:tc>
          <w:tcPr>
            <w:tcW w:w="5669" w:type="dxa"/>
            <w:shd w:val="clear" w:color="auto" w:fill="F2F2F2"/>
          </w:tcPr>
          <w:p w14:paraId="1B464036" w14:textId="77777777" w:rsidR="00323AA0" w:rsidRDefault="00000000">
            <w:r>
              <w:t>Selection: 0 sin enviar, 1 aceptado, 2 rechazado, 3 en proceso, 4 aceptado condicional.</w:t>
            </w:r>
          </w:p>
        </w:tc>
      </w:tr>
      <w:tr w:rsidR="00323AA0" w14:paraId="3C4EBC40" w14:textId="77777777">
        <w:tc>
          <w:tcPr>
            <w:tcW w:w="3402" w:type="dxa"/>
          </w:tcPr>
          <w:p w14:paraId="0EC98DA9" w14:textId="77777777" w:rsidR="00323AA0" w:rsidRDefault="00000000">
            <w:r>
              <w:t>l10n_do_ecf_track_id</w:t>
            </w:r>
          </w:p>
        </w:tc>
        <w:tc>
          <w:tcPr>
            <w:tcW w:w="5669" w:type="dxa"/>
          </w:tcPr>
          <w:p w14:paraId="654C5466" w14:textId="77777777" w:rsidR="00323AA0" w:rsidRDefault="00000000">
            <w:r>
              <w:t>TrackID devuelto por DGII (authNumber).</w:t>
            </w:r>
          </w:p>
        </w:tc>
      </w:tr>
      <w:tr w:rsidR="00323AA0" w14:paraId="6CCDAFDC" w14:textId="77777777">
        <w:tc>
          <w:tcPr>
            <w:tcW w:w="3402" w:type="dxa"/>
            <w:shd w:val="clear" w:color="auto" w:fill="F2F2F2"/>
          </w:tcPr>
          <w:p w14:paraId="3398AC02" w14:textId="77777777" w:rsidR="00323AA0" w:rsidRDefault="00000000">
            <w:r>
              <w:t>l10n_do_ecf_security_code_from_dgii</w:t>
            </w:r>
          </w:p>
        </w:tc>
        <w:tc>
          <w:tcPr>
            <w:tcW w:w="5669" w:type="dxa"/>
            <w:shd w:val="clear" w:color="auto" w:fill="F2F2F2"/>
          </w:tcPr>
          <w:p w14:paraId="030B8A85" w14:textId="77777777" w:rsidR="00323AA0" w:rsidRDefault="00000000">
            <w:r>
              <w:t>Código de seguridad de 6 dígitos emitido por DGII.</w:t>
            </w:r>
          </w:p>
        </w:tc>
      </w:tr>
      <w:tr w:rsidR="00323AA0" w14:paraId="31A3A8CC" w14:textId="77777777">
        <w:tc>
          <w:tcPr>
            <w:tcW w:w="3402" w:type="dxa"/>
          </w:tcPr>
          <w:p w14:paraId="29E076D3" w14:textId="77777777" w:rsidR="00323AA0" w:rsidRDefault="00000000">
            <w:r>
              <w:t>l10n_do_ecf_signed_date_from_dgii</w:t>
            </w:r>
          </w:p>
        </w:tc>
        <w:tc>
          <w:tcPr>
            <w:tcW w:w="5669" w:type="dxa"/>
          </w:tcPr>
          <w:p w14:paraId="233B366D" w14:textId="77777777" w:rsidR="00323AA0" w:rsidRDefault="00000000">
            <w:r>
              <w:t>Fecha de firma reportada por DGII (sólo E32).</w:t>
            </w:r>
          </w:p>
        </w:tc>
      </w:tr>
      <w:tr w:rsidR="00323AA0" w14:paraId="0D6A8BA3" w14:textId="77777777">
        <w:tc>
          <w:tcPr>
            <w:tcW w:w="3402" w:type="dxa"/>
            <w:shd w:val="clear" w:color="auto" w:fill="F2F2F2"/>
          </w:tcPr>
          <w:p w14:paraId="6E8F7299" w14:textId="77777777" w:rsidR="00323AA0" w:rsidRDefault="00000000">
            <w:r>
              <w:t>l10n_do_dgii_url_invoice_validate</w:t>
            </w:r>
          </w:p>
        </w:tc>
        <w:tc>
          <w:tcPr>
            <w:tcW w:w="5669" w:type="dxa"/>
            <w:shd w:val="clear" w:color="auto" w:fill="F2F2F2"/>
          </w:tcPr>
          <w:p w14:paraId="102C4548" w14:textId="77777777" w:rsidR="00323AA0" w:rsidRDefault="00000000">
            <w:r>
              <w:t>URL pública de validación de la factura.</w:t>
            </w:r>
          </w:p>
        </w:tc>
      </w:tr>
      <w:tr w:rsidR="00323AA0" w14:paraId="7C4A0CA6" w14:textId="77777777">
        <w:tc>
          <w:tcPr>
            <w:tcW w:w="3402" w:type="dxa"/>
          </w:tcPr>
          <w:p w14:paraId="4B7BB3B2" w14:textId="77777777" w:rsidR="00323AA0" w:rsidRDefault="00000000">
            <w:r>
              <w:t>l10n_do_ecf_qr_code</w:t>
            </w:r>
          </w:p>
        </w:tc>
        <w:tc>
          <w:tcPr>
            <w:tcW w:w="5669" w:type="dxa"/>
          </w:tcPr>
          <w:p w14:paraId="63A99871" w14:textId="77777777" w:rsidR="00323AA0" w:rsidRDefault="00000000">
            <w:r>
              <w:t>Imagen PNG con el QR generado desde la URL de validación.</w:t>
            </w:r>
          </w:p>
        </w:tc>
      </w:tr>
      <w:tr w:rsidR="00323AA0" w14:paraId="060D6FC3" w14:textId="77777777">
        <w:tc>
          <w:tcPr>
            <w:tcW w:w="3402" w:type="dxa"/>
            <w:shd w:val="clear" w:color="auto" w:fill="F2F2F2"/>
          </w:tcPr>
          <w:p w14:paraId="3FD44832" w14:textId="77777777" w:rsidR="00323AA0" w:rsidRDefault="00000000">
            <w:r>
              <w:t>l10n_do_ecf_payload</w:t>
            </w:r>
          </w:p>
        </w:tc>
        <w:tc>
          <w:tcPr>
            <w:tcW w:w="5669" w:type="dxa"/>
            <w:shd w:val="clear" w:color="auto" w:fill="F2F2F2"/>
          </w:tcPr>
          <w:p w14:paraId="4DE284CC" w14:textId="77777777" w:rsidR="00323AA0" w:rsidRDefault="00000000">
            <w:r>
              <w:t>Texto con el JSON enviado (auditoría).</w:t>
            </w:r>
          </w:p>
        </w:tc>
      </w:tr>
      <w:tr w:rsidR="00323AA0" w14:paraId="18950E22" w14:textId="77777777">
        <w:tc>
          <w:tcPr>
            <w:tcW w:w="3402" w:type="dxa"/>
          </w:tcPr>
          <w:p w14:paraId="4C8543A9" w14:textId="77777777" w:rsidR="00323AA0" w:rsidRDefault="00000000">
            <w:r>
              <w:t>l10n_do_ecf_message</w:t>
            </w:r>
          </w:p>
        </w:tc>
        <w:tc>
          <w:tcPr>
            <w:tcW w:w="5669" w:type="dxa"/>
          </w:tcPr>
          <w:p w14:paraId="2F819099" w14:textId="77777777" w:rsidR="00323AA0" w:rsidRDefault="00000000">
            <w:r>
              <w:t>Mensaje textual de DGII (motivo).</w:t>
            </w:r>
          </w:p>
        </w:tc>
      </w:tr>
      <w:tr w:rsidR="00323AA0" w14:paraId="10703792" w14:textId="77777777">
        <w:tc>
          <w:tcPr>
            <w:tcW w:w="3402" w:type="dxa"/>
            <w:shd w:val="clear" w:color="auto" w:fill="F2F2F2"/>
          </w:tcPr>
          <w:p w14:paraId="294BEBF2" w14:textId="77777777" w:rsidR="00323AA0" w:rsidRDefault="00000000">
            <w:r>
              <w:t>resend_ecf</w:t>
            </w:r>
          </w:p>
        </w:tc>
        <w:tc>
          <w:tcPr>
            <w:tcW w:w="5669" w:type="dxa"/>
            <w:shd w:val="clear" w:color="auto" w:fill="F2F2F2"/>
          </w:tcPr>
          <w:p w14:paraId="60A7623A" w14:textId="77777777" w:rsidR="00323AA0" w:rsidRDefault="00000000">
            <w:r>
              <w:t>Flag que marca facturas con envío fallido para reintento manual.</w:t>
            </w:r>
          </w:p>
        </w:tc>
      </w:tr>
      <w:tr w:rsidR="00323AA0" w14:paraId="5278FEA4" w14:textId="77777777">
        <w:tc>
          <w:tcPr>
            <w:tcW w:w="3402" w:type="dxa"/>
          </w:tcPr>
          <w:p w14:paraId="3C10901D" w14:textId="77777777" w:rsidR="00323AA0" w:rsidRDefault="00000000">
            <w:r>
              <w:t>total_ritbis / total_isr</w:t>
            </w:r>
          </w:p>
        </w:tc>
        <w:tc>
          <w:tcPr>
            <w:tcW w:w="5669" w:type="dxa"/>
          </w:tcPr>
          <w:p w14:paraId="62758B97" w14:textId="77777777" w:rsidR="00323AA0" w:rsidRDefault="00000000">
            <w:r>
              <w:t>Acumuladores de retenciones durante la construcción del payload.</w:t>
            </w:r>
          </w:p>
        </w:tc>
      </w:tr>
      <w:tr w:rsidR="00323AA0" w14:paraId="74FFD975" w14:textId="77777777">
        <w:tc>
          <w:tcPr>
            <w:tcW w:w="3402" w:type="dxa"/>
            <w:shd w:val="clear" w:color="auto" w:fill="F2F2F2"/>
          </w:tcPr>
          <w:p w14:paraId="06CDAACE" w14:textId="77777777" w:rsidR="00323AA0" w:rsidRDefault="00000000">
            <w:r>
              <w:t>ecf_logger_ids</w:t>
            </w:r>
          </w:p>
        </w:tc>
        <w:tc>
          <w:tcPr>
            <w:tcW w:w="5669" w:type="dxa"/>
            <w:shd w:val="clear" w:color="auto" w:fill="F2F2F2"/>
          </w:tcPr>
          <w:p w14:paraId="1B1E506B" w14:textId="77777777" w:rsidR="00323AA0" w:rsidRDefault="00000000">
            <w:r>
              <w:t>One2many hacia ecf.logger con los errores de envío.</w:t>
            </w:r>
          </w:p>
        </w:tc>
      </w:tr>
    </w:tbl>
    <w:p w14:paraId="16464D60" w14:textId="77777777" w:rsidR="00323AA0" w:rsidRDefault="00000000">
      <w:pPr>
        <w:pStyle w:val="Heading2"/>
      </w:pPr>
      <w:r>
        <w:rPr>
          <w:color w:val="2E74B5"/>
        </w:rPr>
        <w:t>3.2.1 Métodos del ciclo de envío</w:t>
      </w:r>
    </w:p>
    <w:p w14:paraId="221316B2" w14:textId="77777777" w:rsidR="00323AA0" w:rsidRDefault="00000000">
      <w:pPr>
        <w:pStyle w:val="ListBullet"/>
      </w:pPr>
      <w:r>
        <w:rPr>
          <w:b/>
        </w:rPr>
        <w:t>action_post()</w:t>
      </w:r>
      <w:r>
        <w:t xml:space="preserve"> — override que dispara </w:t>
      </w:r>
      <w:r>
        <w:rPr>
          <w:rFonts w:ascii="Consolas" w:hAnsi="Consolas"/>
          <w:color w:val="333333"/>
          <w:sz w:val="18"/>
        </w:rPr>
        <w:t>action_send_ws()</w:t>
      </w:r>
      <w:r>
        <w:t xml:space="preserve"> cuando la factura es confirmada desde el backend (context confirm_backend=True). Itera el recordset.</w:t>
      </w:r>
    </w:p>
    <w:p w14:paraId="515A74B1" w14:textId="77777777" w:rsidR="00323AA0" w:rsidRDefault="00000000">
      <w:pPr>
        <w:pStyle w:val="ListBullet"/>
      </w:pPr>
      <w:r>
        <w:rPr>
          <w:b/>
        </w:rPr>
        <w:lastRenderedPageBreak/>
        <w:t>button_cancel()</w:t>
      </w:r>
      <w:r>
        <w:t xml:space="preserve"> — para facturas eCF ya emitidas cancela directamente sin devolver a borrador (los e-NCF aceptados son inmutables para DGII).</w:t>
      </w:r>
    </w:p>
    <w:p w14:paraId="163B95D3" w14:textId="77777777" w:rsidR="00323AA0" w:rsidRDefault="00000000">
      <w:pPr>
        <w:pStyle w:val="ListBullet"/>
      </w:pPr>
      <w:r>
        <w:rPr>
          <w:b/>
        </w:rPr>
        <w:t>button_draft()</w:t>
      </w:r>
      <w:r>
        <w:t xml:space="preserve"> — impide resetear a borrador una factura eCF emitida (UserError).</w:t>
      </w:r>
    </w:p>
    <w:p w14:paraId="06EF8C3C" w14:textId="77777777" w:rsidR="00323AA0" w:rsidRDefault="00000000">
      <w:pPr>
        <w:pStyle w:val="ListBullet"/>
      </w:pPr>
      <w:r>
        <w:rPr>
          <w:b/>
        </w:rPr>
        <w:t>action_send_ws()</w:t>
      </w:r>
      <w:r>
        <w:t xml:space="preserve"> — verifica que la factura sea elegible (tipo de movimiento + prefijo E*) y llama a </w:t>
      </w:r>
      <w:r>
        <w:rPr>
          <w:rFonts w:ascii="Consolas" w:hAnsi="Consolas"/>
          <w:color w:val="333333"/>
          <w:sz w:val="18"/>
        </w:rPr>
        <w:t>build_invoice()</w:t>
      </w:r>
      <w:r>
        <w:t>. Registra el error en ecf.logger y chatter si falla, marcando resend_ecf.</w:t>
      </w:r>
    </w:p>
    <w:p w14:paraId="2EE37F56" w14:textId="77777777" w:rsidR="00323AA0" w:rsidRDefault="00000000">
      <w:pPr>
        <w:pStyle w:val="ListBullet"/>
      </w:pPr>
      <w:r>
        <w:rPr>
          <w:b/>
        </w:rPr>
        <w:t>build_invoice()</w:t>
      </w:r>
      <w:r>
        <w:t xml:space="preserve"> — construye el payload completo: Header → Seller → Buyer → Items → Totals → Payments → AdditionalDocumentInfo. Invoca </w:t>
      </w:r>
      <w:r>
        <w:rPr>
          <w:rFonts w:ascii="Consolas" w:hAnsi="Consolas"/>
          <w:color w:val="333333"/>
          <w:sz w:val="18"/>
        </w:rPr>
        <w:t>_certificate_ecf()</w:t>
      </w:r>
      <w:r>
        <w:t>.</w:t>
      </w:r>
    </w:p>
    <w:p w14:paraId="6898E027" w14:textId="77777777" w:rsidR="00323AA0" w:rsidRDefault="00000000">
      <w:pPr>
        <w:pStyle w:val="ListBullet"/>
      </w:pPr>
      <w:r>
        <w:rPr>
          <w:b/>
        </w:rPr>
        <w:t>_certificate_ecf(json_payload)</w:t>
      </w:r>
      <w:r>
        <w:t xml:space="preserve"> — realiza el POST a la URL de certificación del ambiente activo con el token vigente. El payload se persiste en l10n_do_ecf_payload antes del envío.</w:t>
      </w:r>
    </w:p>
    <w:p w14:paraId="4BDC372C" w14:textId="77777777" w:rsidR="00323AA0" w:rsidRDefault="00000000">
      <w:pPr>
        <w:pStyle w:val="ListBullet"/>
      </w:pPr>
      <w:r>
        <w:rPr>
          <w:b/>
        </w:rPr>
        <w:t>process_ecf_json_response(data_response)</w:t>
      </w:r>
      <w:r>
        <w:t xml:space="preserve"> — actualiza campos según la respuesta DGII, crea el adjunto XML y publica mensaje en chatter si la aceptación fue exitosa.</w:t>
      </w:r>
    </w:p>
    <w:p w14:paraId="5A3D6840" w14:textId="77777777" w:rsidR="00323AA0" w:rsidRDefault="00000000">
      <w:pPr>
        <w:pStyle w:val="ListBullet"/>
      </w:pPr>
      <w:r>
        <w:rPr>
          <w:b/>
        </w:rPr>
        <w:t>make_qr_code(url)</w:t>
      </w:r>
      <w:r>
        <w:t xml:space="preserve"> — genera la imagen QR en memoria con qrcode+Pillow y la guarda como Image.</w:t>
      </w:r>
    </w:p>
    <w:p w14:paraId="00D55438" w14:textId="77777777" w:rsidR="00323AA0" w:rsidRDefault="00000000">
      <w:pPr>
        <w:pStyle w:val="ListBullet"/>
      </w:pPr>
      <w:r>
        <w:rPr>
          <w:b/>
        </w:rPr>
        <w:t>_get_issued_datetime()</w:t>
      </w:r>
      <w:r>
        <w:t xml:space="preserve"> — compone la fecha-hora de emisión usando la zona America/Santo_Domingo (requisito fiscal).</w:t>
      </w:r>
    </w:p>
    <w:p w14:paraId="130C8A37" w14:textId="77777777" w:rsidR="00323AA0" w:rsidRDefault="00000000">
      <w:pPr>
        <w:pStyle w:val="ListBullet"/>
      </w:pPr>
      <w:r>
        <w:rPr>
          <w:b/>
        </w:rPr>
        <w:t>_ecf_format_amount(value)</w:t>
      </w:r>
      <w:r>
        <w:t xml:space="preserve"> — helper introducido en Ola 3 que aplica </w:t>
      </w:r>
      <w:r>
        <w:rPr>
          <w:rFonts w:ascii="Consolas" w:hAnsi="Consolas"/>
          <w:color w:val="333333"/>
          <w:sz w:val="18"/>
        </w:rPr>
        <w:t>currency_id.round()</w:t>
      </w:r>
      <w:r>
        <w:t xml:space="preserve"> y formatea a 2 decimales antes de enviar montos a DGII.</w:t>
      </w:r>
    </w:p>
    <w:p w14:paraId="631F175A" w14:textId="77777777" w:rsidR="00323AA0" w:rsidRDefault="00000000">
      <w:pPr>
        <w:pStyle w:val="Heading2"/>
      </w:pPr>
      <w:r>
        <w:rPr>
          <w:color w:val="2E74B5"/>
        </w:rPr>
        <w:t>3.3 account.move.line — account_move_line.py</w:t>
      </w:r>
    </w:p>
    <w:p w14:paraId="3ACFC5F4" w14:textId="77777777" w:rsidR="00323AA0" w:rsidRDefault="00000000">
      <w:r>
        <w:t xml:space="preserve">Añade un campo computado </w:t>
      </w:r>
      <w:r>
        <w:rPr>
          <w:rFonts w:ascii="Consolas" w:hAnsi="Consolas"/>
          <w:color w:val="333333"/>
          <w:sz w:val="18"/>
        </w:rPr>
        <w:t>l10n_do_ecf_tax_type</w:t>
      </w:r>
      <w:r>
        <w:t xml:space="preserve"> (Integer no almacenado) que clasifica la línea como ITBIS tasa 1, 2 o 3 en función del grupo de impuesto vinculado. Se usa durante la construcción del bloque Items del payload.</w:t>
      </w:r>
    </w:p>
    <w:p w14:paraId="4FE9F329" w14:textId="77777777" w:rsidR="00323AA0" w:rsidRDefault="00000000">
      <w:pPr>
        <w:pStyle w:val="Heading2"/>
      </w:pPr>
      <w:r>
        <w:rPr>
          <w:color w:val="2E74B5"/>
        </w:rPr>
        <w:t>3.4 account.tax — account_tax.py</w:t>
      </w:r>
    </w:p>
    <w:p w14:paraId="5D225DB6" w14:textId="77777777" w:rsidR="00323AA0" w:rsidRDefault="00000000">
      <w:pPr>
        <w:pStyle w:val="ListBullet"/>
      </w:pPr>
      <w:r>
        <w:rPr>
          <w:b/>
        </w:rPr>
        <w:t>l10n_do_billing_type_indicator</w:t>
      </w:r>
      <w:r>
        <w:t xml:space="preserve"> — Selection: 0 No Facturable, 1 ITBIS 18%, 2 ITBIS 16%, 3 ITBIS 0%, 4 Exento.</w:t>
      </w:r>
    </w:p>
    <w:p w14:paraId="0A71E597" w14:textId="77777777" w:rsidR="00323AA0" w:rsidRDefault="00000000">
      <w:pPr>
        <w:pStyle w:val="ListBullet"/>
      </w:pPr>
      <w:r>
        <w:rPr>
          <w:b/>
        </w:rPr>
        <w:t>is_additional_tax</w:t>
      </w:r>
      <w:r>
        <w:t xml:space="preserve"> — Boolean para marcar impuestos adicionales (propina, telecomunicaciones, etc.).</w:t>
      </w:r>
    </w:p>
    <w:p w14:paraId="4E81767F" w14:textId="77777777" w:rsidR="00323AA0" w:rsidRDefault="00000000">
      <w:pPr>
        <w:pStyle w:val="ListBullet"/>
      </w:pPr>
      <w:r>
        <w:rPr>
          <w:b/>
        </w:rPr>
        <w:t>l10n_do_billing_type_indicator_additional</w:t>
      </w:r>
      <w:r>
        <w:t xml:space="preserve"> — Selection con los 5 códigos adicionales (001-005).</w:t>
      </w:r>
    </w:p>
    <w:p w14:paraId="57ABB928" w14:textId="77777777" w:rsidR="00323AA0" w:rsidRDefault="00000000">
      <w:pPr>
        <w:pStyle w:val="ListBullet"/>
      </w:pPr>
      <w:r>
        <w:rPr>
          <w:b/>
        </w:rPr>
        <w:t>purchase_tax_type</w:t>
      </w:r>
      <w:r>
        <w:t xml:space="preserve"> — Selection: ritbis | isr. Identifica retenciones en facturas de compra para el cálculo de MontoITBISRetenido / MontoISRRetenido.</w:t>
      </w:r>
    </w:p>
    <w:p w14:paraId="71EB1742" w14:textId="77777777" w:rsidR="00323AA0" w:rsidRDefault="00000000">
      <w:pPr>
        <w:pStyle w:val="ListBullet"/>
      </w:pPr>
      <w:r>
        <w:rPr>
          <w:b/>
        </w:rPr>
        <w:t>get_code_billing_type_indicator()</w:t>
      </w:r>
      <w:r>
        <w:t xml:space="preserve"> / </w:t>
      </w:r>
      <w:r>
        <w:rPr>
          <w:b/>
        </w:rPr>
        <w:t>get_code_billing_type_indicator_additional()</w:t>
      </w:r>
      <w:r>
        <w:t xml:space="preserve"> — mapean selección a código eCF (ITBIS1, ITBIS2, 001, etc.).</w:t>
      </w:r>
    </w:p>
    <w:p w14:paraId="62E8361C" w14:textId="77777777" w:rsidR="00323AA0" w:rsidRDefault="00000000">
      <w:pPr>
        <w:pStyle w:val="Heading2"/>
      </w:pPr>
      <w:r>
        <w:rPr>
          <w:color w:val="2E74B5"/>
        </w:rPr>
        <w:t>3.5 account.payment.term — account_payment_term.py</w:t>
      </w:r>
    </w:p>
    <w:p w14:paraId="0170C92F" w14:textId="77777777" w:rsidR="00323AA0" w:rsidRDefault="00000000">
      <w:r>
        <w:t xml:space="preserve">Agrega </w:t>
      </w:r>
      <w:r>
        <w:rPr>
          <w:rFonts w:ascii="Consolas" w:hAnsi="Consolas"/>
          <w:color w:val="333333"/>
          <w:sz w:val="18"/>
        </w:rPr>
        <w:t>l10n_do_ecf_payment_type</w:t>
      </w:r>
      <w:r>
        <w:t xml:space="preserve"> (Selection 1=Contado / 2=Crédito, default 2). Determina el tipo de pago declarado en el eCF cuando la factura se emite a crédito.</w:t>
      </w:r>
    </w:p>
    <w:p w14:paraId="5EE2D0F6" w14:textId="77777777" w:rsidR="00323AA0" w:rsidRDefault="00000000">
      <w:pPr>
        <w:pStyle w:val="Heading2"/>
      </w:pPr>
      <w:r>
        <w:rPr>
          <w:color w:val="2E74B5"/>
        </w:rPr>
        <w:t>3.6 res.partner — res_partner.py</w:t>
      </w:r>
    </w:p>
    <w:p w14:paraId="3E7752BF" w14:textId="77777777" w:rsidR="00323AA0" w:rsidRDefault="00000000">
      <w:r>
        <w:t xml:space="preserve">Añade </w:t>
      </w:r>
      <w:r>
        <w:rPr>
          <w:rFonts w:ascii="Consolas" w:hAnsi="Consolas"/>
          <w:color w:val="333333"/>
          <w:sz w:val="18"/>
        </w:rPr>
        <w:t>l10n_do_is_ecf_receptor</w:t>
      </w:r>
      <w:r>
        <w:t xml:space="preserve"> (Boolean) para marcar contactos habilitados como receptores electrónicos. La lógica de negocio consume este flag al construir el bloque Buyer del payload.</w:t>
      </w:r>
    </w:p>
    <w:p w14:paraId="02AE457A" w14:textId="77777777" w:rsidR="00323AA0" w:rsidRDefault="00000000">
      <w:pPr>
        <w:pStyle w:val="Heading2"/>
      </w:pPr>
      <w:r>
        <w:rPr>
          <w:color w:val="2E74B5"/>
        </w:rPr>
        <w:lastRenderedPageBreak/>
        <w:t>3.7 uom.uom — uom_uom.py</w:t>
      </w:r>
    </w:p>
    <w:p w14:paraId="72AC15DC" w14:textId="77777777" w:rsidR="00323AA0" w:rsidRDefault="00000000">
      <w:r>
        <w:t xml:space="preserve">Incorpora el campo </w:t>
      </w:r>
      <w:r>
        <w:rPr>
          <w:rFonts w:ascii="Consolas" w:hAnsi="Consolas"/>
          <w:color w:val="333333"/>
          <w:sz w:val="18"/>
        </w:rPr>
        <w:t>l10n_do_ecf_uom</w:t>
      </w:r>
      <w:r>
        <w:t xml:space="preserve"> (Char) que permite mapear la unidad de medida de Odoo al código alfanumérico DGII (p. ej. "43" como valor por defecto para "Unidad").</w:t>
      </w:r>
    </w:p>
    <w:p w14:paraId="4ECF9022" w14:textId="77777777" w:rsidR="00323AA0" w:rsidRDefault="00000000">
      <w:pPr>
        <w:pStyle w:val="Heading2"/>
      </w:pPr>
      <w:r>
        <w:rPr>
          <w:color w:val="2E74B5"/>
        </w:rPr>
        <w:t>3.8 ecf.logger — ecf_logger.py</w:t>
      </w:r>
    </w:p>
    <w:p w14:paraId="0BD958D3" w14:textId="77777777" w:rsidR="00323AA0" w:rsidRDefault="00000000">
      <w:r>
        <w:t>Modelo dedicado a auditoría de errores de envío. Una línea por intento fallido, con referencia al account.move. El modelo es Read/Write/Create pero no Unlink (control de acceso en security/ir.model.access.csv).</w:t>
      </w:r>
    </w:p>
    <w:p w14:paraId="2C313C6B" w14:textId="77777777" w:rsidR="00323AA0" w:rsidRDefault="00000000">
      <w:pPr>
        <w:pStyle w:val="Heading1"/>
      </w:pPr>
      <w:r>
        <w:rPr>
          <w:color w:val="1F3864"/>
        </w:rPr>
        <w:t>4. Composición del Payload eCF</w:t>
      </w:r>
    </w:p>
    <w:p w14:paraId="77E79D53" w14:textId="77777777" w:rsidR="00323AA0" w:rsidRDefault="00000000">
      <w:r>
        <w:t xml:space="preserve">El archivo </w:t>
      </w:r>
      <w:r>
        <w:rPr>
          <w:rFonts w:ascii="Consolas" w:hAnsi="Consolas"/>
          <w:color w:val="333333"/>
          <w:sz w:val="18"/>
        </w:rPr>
        <w:t>models/ecf_composition.py</w:t>
      </w:r>
      <w:r>
        <w:t xml:space="preserve"> concentra las clases constructoras del JSON que será transmitido a DGII a través de DigiFact. Cada clase representa un bloque de la estructura eCF y expone métodos </w:t>
      </w:r>
      <w:r>
        <w:rPr>
          <w:rFonts w:ascii="Consolas" w:hAnsi="Consolas"/>
          <w:color w:val="333333"/>
          <w:sz w:val="18"/>
        </w:rPr>
        <w:t>set_*()</w:t>
      </w:r>
      <w:r>
        <w:t xml:space="preserve"> para poblarla de forma incremental. La serialización final se resuelve con </w:t>
      </w:r>
      <w:r>
        <w:rPr>
          <w:rFonts w:ascii="Consolas" w:hAnsi="Consolas"/>
          <w:color w:val="333333"/>
          <w:sz w:val="18"/>
        </w:rPr>
        <w:t>repr_json()</w:t>
      </w:r>
      <w: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51"/>
        <w:gridCol w:w="6520"/>
      </w:tblGrid>
      <w:tr w:rsidR="00323AA0" w14:paraId="3910E5DB" w14:textId="77777777">
        <w:tc>
          <w:tcPr>
            <w:tcW w:w="2551" w:type="dxa"/>
            <w:shd w:val="clear" w:color="auto" w:fill="1F3864"/>
          </w:tcPr>
          <w:p w14:paraId="0B8B6BCC" w14:textId="77777777" w:rsidR="00323AA0" w:rsidRDefault="00000000">
            <w:r>
              <w:rPr>
                <w:b/>
                <w:color w:val="FFFFFF"/>
              </w:rPr>
              <w:t>Clase</w:t>
            </w:r>
          </w:p>
        </w:tc>
        <w:tc>
          <w:tcPr>
            <w:tcW w:w="6520" w:type="dxa"/>
            <w:shd w:val="clear" w:color="auto" w:fill="1F3864"/>
          </w:tcPr>
          <w:p w14:paraId="7EB32149" w14:textId="77777777" w:rsidR="00323AA0" w:rsidRDefault="00000000">
            <w:r>
              <w:rPr>
                <w:b/>
                <w:color w:val="FFFFFF"/>
              </w:rPr>
              <w:t>Sección del eCF</w:t>
            </w:r>
          </w:p>
        </w:tc>
      </w:tr>
      <w:tr w:rsidR="00323AA0" w14:paraId="4AF556B4" w14:textId="77777777">
        <w:tc>
          <w:tcPr>
            <w:tcW w:w="2551" w:type="dxa"/>
          </w:tcPr>
          <w:p w14:paraId="584ED19B" w14:textId="77777777" w:rsidR="00323AA0" w:rsidRDefault="00000000">
            <w:r>
              <w:t>Header</w:t>
            </w:r>
          </w:p>
        </w:tc>
        <w:tc>
          <w:tcPr>
            <w:tcW w:w="6520" w:type="dxa"/>
          </w:tcPr>
          <w:p w14:paraId="62CC1959" w14:textId="77777777" w:rsidR="00323AA0" w:rsidRDefault="00000000">
            <w:r>
              <w:t>Encabezado: fecha de emisión, tipo de eCF, datos de emisión adicionales.</w:t>
            </w:r>
          </w:p>
        </w:tc>
      </w:tr>
      <w:tr w:rsidR="00323AA0" w14:paraId="020744E9" w14:textId="77777777">
        <w:tc>
          <w:tcPr>
            <w:tcW w:w="2551" w:type="dxa"/>
            <w:shd w:val="clear" w:color="auto" w:fill="F2F2F2"/>
          </w:tcPr>
          <w:p w14:paraId="410C1C65" w14:textId="77777777" w:rsidR="00323AA0" w:rsidRDefault="00000000">
            <w:r>
              <w:t>Seller</w:t>
            </w:r>
          </w:p>
        </w:tc>
        <w:tc>
          <w:tcPr>
            <w:tcW w:w="6520" w:type="dxa"/>
            <w:shd w:val="clear" w:color="auto" w:fill="F2F2F2"/>
          </w:tcPr>
          <w:p w14:paraId="08AA22D7" w14:textId="77777777" w:rsidR="00323AA0" w:rsidRDefault="00000000">
            <w:r>
              <w:t>Datos del emisor: RNC, razón social, nombre comercial, teléfono, dirección.</w:t>
            </w:r>
          </w:p>
        </w:tc>
      </w:tr>
      <w:tr w:rsidR="00323AA0" w14:paraId="46CE44C3" w14:textId="77777777">
        <w:tc>
          <w:tcPr>
            <w:tcW w:w="2551" w:type="dxa"/>
          </w:tcPr>
          <w:p w14:paraId="6BEB57F6" w14:textId="77777777" w:rsidR="00323AA0" w:rsidRDefault="00000000">
            <w:r>
              <w:t>Buyer</w:t>
            </w:r>
          </w:p>
        </w:tc>
        <w:tc>
          <w:tcPr>
            <w:tcW w:w="6520" w:type="dxa"/>
          </w:tcPr>
          <w:p w14:paraId="3E9A76D9" w14:textId="77777777" w:rsidR="00323AA0" w:rsidRDefault="00000000">
            <w:r>
              <w:t>Datos del comprador: RNC/Cédula, razón social, dirección, correo, indicador de envío electrónico.</w:t>
            </w:r>
          </w:p>
        </w:tc>
      </w:tr>
      <w:tr w:rsidR="00323AA0" w14:paraId="4D90A0EF" w14:textId="77777777">
        <w:tc>
          <w:tcPr>
            <w:tcW w:w="2551" w:type="dxa"/>
            <w:shd w:val="clear" w:color="auto" w:fill="F2F2F2"/>
          </w:tcPr>
          <w:p w14:paraId="7230D630" w14:textId="77777777" w:rsidR="00323AA0" w:rsidRDefault="00000000">
            <w:r>
              <w:t>Item</w:t>
            </w:r>
          </w:p>
        </w:tc>
        <w:tc>
          <w:tcPr>
            <w:tcW w:w="6520" w:type="dxa"/>
            <w:shd w:val="clear" w:color="auto" w:fill="F2F2F2"/>
          </w:tcPr>
          <w:p w14:paraId="5695D81C" w14:textId="77777777" w:rsidR="00323AA0" w:rsidRDefault="00000000">
            <w:r>
              <w:t>Bloque por cada línea de factura: tipo, descripción, cantidad, precio, impuestos adicionales, información complementaria.</w:t>
            </w:r>
          </w:p>
        </w:tc>
      </w:tr>
      <w:tr w:rsidR="00323AA0" w14:paraId="2CAC15EE" w14:textId="77777777">
        <w:tc>
          <w:tcPr>
            <w:tcW w:w="2551" w:type="dxa"/>
          </w:tcPr>
          <w:p w14:paraId="407AC6D8" w14:textId="77777777" w:rsidR="00323AA0" w:rsidRDefault="00000000">
            <w:r>
              <w:t>Totals</w:t>
            </w:r>
          </w:p>
        </w:tc>
        <w:tc>
          <w:tcPr>
            <w:tcW w:w="6520" w:type="dxa"/>
          </w:tcPr>
          <w:p w14:paraId="412B1407" w14:textId="77777777" w:rsidR="00323AA0" w:rsidRDefault="00000000">
            <w:r>
              <w:t>Totales y bloque TotalTaxes (por código ITBIS). Incluye TotalITBISRetenido / TotalISRRetencion cuando aplica.</w:t>
            </w:r>
          </w:p>
        </w:tc>
      </w:tr>
      <w:tr w:rsidR="00323AA0" w14:paraId="390B1829" w14:textId="77777777">
        <w:tc>
          <w:tcPr>
            <w:tcW w:w="2551" w:type="dxa"/>
            <w:shd w:val="clear" w:color="auto" w:fill="F2F2F2"/>
          </w:tcPr>
          <w:p w14:paraId="60D20694" w14:textId="77777777" w:rsidR="00323AA0" w:rsidRDefault="00000000">
            <w:r>
              <w:t>Payment</w:t>
            </w:r>
          </w:p>
        </w:tc>
        <w:tc>
          <w:tcPr>
            <w:tcW w:w="6520" w:type="dxa"/>
            <w:shd w:val="clear" w:color="auto" w:fill="F2F2F2"/>
          </w:tcPr>
          <w:p w14:paraId="745341AA" w14:textId="77777777" w:rsidR="00323AA0" w:rsidRDefault="00000000">
            <w:r>
              <w:t>Modo(s) de pago: código (efectivo, crédito, tarjeta, etc.) y monto.</w:t>
            </w:r>
          </w:p>
        </w:tc>
      </w:tr>
      <w:tr w:rsidR="00323AA0" w14:paraId="35224BB1" w14:textId="77777777">
        <w:tc>
          <w:tcPr>
            <w:tcW w:w="2551" w:type="dxa"/>
          </w:tcPr>
          <w:p w14:paraId="79AAAB0B" w14:textId="77777777" w:rsidR="00323AA0" w:rsidRDefault="00000000">
            <w:r>
              <w:t>AdditionalDocumentInfo</w:t>
            </w:r>
          </w:p>
        </w:tc>
        <w:tc>
          <w:tcPr>
            <w:tcW w:w="6520" w:type="dxa"/>
          </w:tcPr>
          <w:p w14:paraId="2370B025" w14:textId="77777777" w:rsidR="00323AA0" w:rsidRDefault="00000000">
            <w:r>
              <w:t>Información adicional del documento (notas de referencia, motivos).</w:t>
            </w:r>
          </w:p>
        </w:tc>
      </w:tr>
      <w:tr w:rsidR="00323AA0" w14:paraId="36A90C21" w14:textId="77777777">
        <w:tc>
          <w:tcPr>
            <w:tcW w:w="2551" w:type="dxa"/>
            <w:shd w:val="clear" w:color="auto" w:fill="F2F2F2"/>
          </w:tcPr>
          <w:p w14:paraId="7FBE8D61" w14:textId="77777777" w:rsidR="00323AA0" w:rsidRDefault="00000000">
            <w:r>
              <w:t>TokenBuilder</w:t>
            </w:r>
          </w:p>
        </w:tc>
        <w:tc>
          <w:tcPr>
            <w:tcW w:w="6520" w:type="dxa"/>
            <w:shd w:val="clear" w:color="auto" w:fill="F2F2F2"/>
          </w:tcPr>
          <w:p w14:paraId="4C42B866" w14:textId="77777777" w:rsidR="00323AA0" w:rsidRDefault="00000000">
            <w:r>
              <w:t>Arma el payload de autenticación requerido por DigiFact para generar token.</w:t>
            </w:r>
          </w:p>
        </w:tc>
      </w:tr>
      <w:tr w:rsidR="00323AA0" w14:paraId="68CC18B5" w14:textId="77777777">
        <w:tc>
          <w:tcPr>
            <w:tcW w:w="2551" w:type="dxa"/>
          </w:tcPr>
          <w:p w14:paraId="0E43171F" w14:textId="77777777" w:rsidR="00323AA0" w:rsidRDefault="00000000">
            <w:r>
              <w:t>EcfJsonBuilder</w:t>
            </w:r>
          </w:p>
        </w:tc>
        <w:tc>
          <w:tcPr>
            <w:tcW w:w="6520" w:type="dxa"/>
          </w:tcPr>
          <w:p w14:paraId="3EDABE87" w14:textId="77777777" w:rsidR="00323AA0" w:rsidRDefault="00000000">
            <w:r>
              <w:t>Orquestador raíz: compone todas las secciones y emite el JSON definitivo.</w:t>
            </w:r>
          </w:p>
        </w:tc>
      </w:tr>
    </w:tbl>
    <w:p w14:paraId="78DCC585" w14:textId="77777777" w:rsidR="00323AA0" w:rsidRDefault="00000000">
      <w:r>
        <w:rPr>
          <w:b/>
        </w:rPr>
        <w:t>Criterio de redondeo fiscal:</w:t>
      </w:r>
      <w:r>
        <w:t xml:space="preserve"> desde la Ola 3 todos los montos emitidos se filtran por </w:t>
      </w:r>
      <w:r>
        <w:rPr>
          <w:rFonts w:ascii="Consolas" w:hAnsi="Consolas"/>
          <w:color w:val="333333"/>
          <w:sz w:val="18"/>
        </w:rPr>
        <w:t>currency_id.round()</w:t>
      </w:r>
      <w:r>
        <w:t xml:space="preserve"> y se formatean a 2 decimales antes de ingresar al JSON, evitando inconsistencias como "15.000000000000002" al momento de serializar.</w:t>
      </w:r>
    </w:p>
    <w:p w14:paraId="4892837D" w14:textId="77777777" w:rsidR="00323AA0" w:rsidRDefault="00000000">
      <w:pPr>
        <w:pStyle w:val="Heading1"/>
      </w:pPr>
      <w:r>
        <w:rPr>
          <w:color w:val="1F3864"/>
        </w:rPr>
        <w:t>5. Flujo de Envío a DigiFact</w:t>
      </w:r>
    </w:p>
    <w:p w14:paraId="37CB3C23" w14:textId="77777777" w:rsidR="00323AA0" w:rsidRDefault="00000000">
      <w:r>
        <w:t>El envío al proveedor es disparado automáticamente por la confirmación de la factura en el backend. El flujo completo, paso a paso:</w:t>
      </w:r>
    </w:p>
    <w:p w14:paraId="0ACEC982" w14:textId="77777777" w:rsidR="00323AA0" w:rsidRDefault="00000000">
      <w:pPr>
        <w:pStyle w:val="ListBullet"/>
      </w:pPr>
      <w:r>
        <w:t xml:space="preserve">1. Usuario confirma factura → </w:t>
      </w:r>
      <w:r>
        <w:rPr>
          <w:rFonts w:ascii="Consolas" w:hAnsi="Consolas"/>
          <w:color w:val="333333"/>
          <w:sz w:val="18"/>
        </w:rPr>
        <w:t>action_post()</w:t>
      </w:r>
      <w:r>
        <w:t xml:space="preserve"> con context </w:t>
      </w:r>
      <w:r>
        <w:rPr>
          <w:rFonts w:ascii="Consolas" w:hAnsi="Consolas"/>
          <w:color w:val="333333"/>
          <w:sz w:val="18"/>
        </w:rPr>
        <w:t>confirm_backend=True</w:t>
      </w:r>
      <w:r>
        <w:t>.</w:t>
      </w:r>
    </w:p>
    <w:p w14:paraId="3A153BF2" w14:textId="77777777" w:rsidR="00323AA0" w:rsidRDefault="00000000">
      <w:pPr>
        <w:pStyle w:val="ListBullet"/>
      </w:pPr>
      <w:r>
        <w:t xml:space="preserve">2. Por cada move del recordset se invoca </w:t>
      </w:r>
      <w:r>
        <w:rPr>
          <w:rFonts w:ascii="Consolas" w:hAnsi="Consolas"/>
          <w:color w:val="333333"/>
          <w:sz w:val="18"/>
        </w:rPr>
        <w:t>action_send_ws()</w:t>
      </w:r>
      <w:r>
        <w:t>.</w:t>
      </w:r>
    </w:p>
    <w:p w14:paraId="5BA983D6" w14:textId="77777777" w:rsidR="00323AA0" w:rsidRDefault="00000000">
      <w:pPr>
        <w:pStyle w:val="ListBullet"/>
      </w:pPr>
      <w:r>
        <w:t xml:space="preserve">3. </w:t>
      </w:r>
      <w:r>
        <w:rPr>
          <w:rFonts w:ascii="Consolas" w:hAnsi="Consolas"/>
          <w:color w:val="333333"/>
          <w:sz w:val="18"/>
        </w:rPr>
        <w:t>action_send_ws()</w:t>
      </w:r>
      <w:r>
        <w:t xml:space="preserve"> valida estado == posted, is_ecf_invoice y prefijo de secuencia compatible con el move_type.</w:t>
      </w:r>
    </w:p>
    <w:p w14:paraId="1133892E" w14:textId="77777777" w:rsidR="00323AA0" w:rsidRDefault="00000000">
      <w:pPr>
        <w:pStyle w:val="ListBullet"/>
      </w:pPr>
      <w:r>
        <w:t xml:space="preserve">4. Si es elegible, llama a </w:t>
      </w:r>
      <w:r>
        <w:rPr>
          <w:rFonts w:ascii="Consolas" w:hAnsi="Consolas"/>
          <w:color w:val="333333"/>
          <w:sz w:val="18"/>
        </w:rPr>
        <w:t>build_invoice()</w:t>
      </w:r>
      <w:r>
        <w:t xml:space="preserve"> dentro de un try/except.</w:t>
      </w:r>
    </w:p>
    <w:p w14:paraId="0122546D" w14:textId="77777777" w:rsidR="00323AA0" w:rsidRDefault="00000000">
      <w:pPr>
        <w:pStyle w:val="ListBullet"/>
      </w:pPr>
      <w:r>
        <w:lastRenderedPageBreak/>
        <w:t xml:space="preserve">5. </w:t>
      </w:r>
      <w:r>
        <w:rPr>
          <w:rFonts w:ascii="Consolas" w:hAnsi="Consolas"/>
          <w:color w:val="333333"/>
          <w:sz w:val="18"/>
        </w:rPr>
        <w:t>build_invoice()</w:t>
      </w:r>
      <w:r>
        <w:t xml:space="preserve"> arma las 7 secciones del payload y ejecuta </w:t>
      </w:r>
      <w:r>
        <w:rPr>
          <w:rFonts w:ascii="Consolas" w:hAnsi="Consolas"/>
          <w:color w:val="333333"/>
          <w:sz w:val="18"/>
        </w:rPr>
        <w:t>_certificate_ecf(json_payload)</w:t>
      </w:r>
      <w:r>
        <w:t>.</w:t>
      </w:r>
    </w:p>
    <w:p w14:paraId="1D0D7B3E" w14:textId="77777777" w:rsidR="00323AA0" w:rsidRDefault="00000000">
      <w:pPr>
        <w:pStyle w:val="ListBullet"/>
      </w:pPr>
      <w:r>
        <w:t xml:space="preserve">6. </w:t>
      </w:r>
      <w:r>
        <w:rPr>
          <w:rFonts w:ascii="Consolas" w:hAnsi="Consolas"/>
          <w:color w:val="333333"/>
          <w:sz w:val="18"/>
        </w:rPr>
        <w:t>_certificate_ecf()</w:t>
      </w:r>
      <w:r>
        <w:t xml:space="preserve"> lee credenciales del ambiente activo, persiste el payload y hace POST HTTPS.</w:t>
      </w:r>
    </w:p>
    <w:p w14:paraId="293DC25B" w14:textId="77777777" w:rsidR="00323AA0" w:rsidRDefault="00000000">
      <w:pPr>
        <w:pStyle w:val="ListBullet"/>
      </w:pPr>
      <w:r>
        <w:t xml:space="preserve">7. </w:t>
      </w:r>
      <w:r>
        <w:rPr>
          <w:rFonts w:ascii="Consolas" w:hAnsi="Consolas"/>
          <w:color w:val="333333"/>
          <w:sz w:val="18"/>
        </w:rPr>
        <w:t>process_ecf_json_response()</w:t>
      </w:r>
      <w:r>
        <w:t xml:space="preserve"> mapea la respuesta: actualiza status, trackId, mensaje, firma, URL de validación y crea adjunto XML.</w:t>
      </w:r>
    </w:p>
    <w:p w14:paraId="4155F151" w14:textId="77777777" w:rsidR="00323AA0" w:rsidRDefault="00000000">
      <w:pPr>
        <w:pStyle w:val="ListBullet"/>
      </w:pPr>
      <w:r>
        <w:t xml:space="preserve">8. Si la respuesta incluye URL pública, </w:t>
      </w:r>
      <w:r>
        <w:rPr>
          <w:rFonts w:ascii="Consolas" w:hAnsi="Consolas"/>
          <w:color w:val="333333"/>
          <w:sz w:val="18"/>
        </w:rPr>
        <w:t>update_ecf_attrs()</w:t>
      </w:r>
      <w:r>
        <w:t xml:space="preserve"> extrae el código de seguridad y genera el QR vía </w:t>
      </w:r>
      <w:r>
        <w:rPr>
          <w:rFonts w:ascii="Consolas" w:hAnsi="Consolas"/>
          <w:color w:val="333333"/>
          <w:sz w:val="18"/>
        </w:rPr>
        <w:t>make_qr_code()</w:t>
      </w:r>
      <w:r>
        <w:t>.</w:t>
      </w:r>
    </w:p>
    <w:p w14:paraId="191780DD" w14:textId="77777777" w:rsidR="00323AA0" w:rsidRDefault="00000000">
      <w:pPr>
        <w:pStyle w:val="ListBullet"/>
      </w:pPr>
      <w:r>
        <w:t>9. En caso de error: la excepción se captura, se marca resend_ecf=True, se crea ecf.logger y se publica el error en chatter.</w:t>
      </w:r>
    </w:p>
    <w:p w14:paraId="35B76492" w14:textId="77777777" w:rsidR="00323AA0" w:rsidRDefault="00000000">
      <w:pPr>
        <w:pStyle w:val="Heading2"/>
      </w:pPr>
      <w:r>
        <w:rPr>
          <w:color w:val="2E74B5"/>
        </w:rPr>
        <w:t>5.1 Criterios de Elegibilidad de Envío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35"/>
        <w:gridCol w:w="6236"/>
      </w:tblGrid>
      <w:tr w:rsidR="00323AA0" w14:paraId="5E2DCF4D" w14:textId="77777777">
        <w:tc>
          <w:tcPr>
            <w:tcW w:w="2835" w:type="dxa"/>
            <w:shd w:val="clear" w:color="auto" w:fill="1F3864"/>
          </w:tcPr>
          <w:p w14:paraId="5799F70D" w14:textId="77777777" w:rsidR="00323AA0" w:rsidRDefault="00000000">
            <w:r>
              <w:rPr>
                <w:b/>
                <w:color w:val="FFFFFF"/>
              </w:rPr>
              <w:t>Move Type</w:t>
            </w:r>
          </w:p>
        </w:tc>
        <w:tc>
          <w:tcPr>
            <w:tcW w:w="6236" w:type="dxa"/>
            <w:shd w:val="clear" w:color="auto" w:fill="1F3864"/>
          </w:tcPr>
          <w:p w14:paraId="48A78889" w14:textId="77777777" w:rsidR="00323AA0" w:rsidRDefault="00000000">
            <w:r>
              <w:rPr>
                <w:b/>
                <w:color w:val="FFFFFF"/>
              </w:rPr>
              <w:t>Prefijos Compatibles</w:t>
            </w:r>
          </w:p>
        </w:tc>
      </w:tr>
      <w:tr w:rsidR="00323AA0" w14:paraId="68CFDB0E" w14:textId="77777777">
        <w:tc>
          <w:tcPr>
            <w:tcW w:w="2835" w:type="dxa"/>
          </w:tcPr>
          <w:p w14:paraId="1E76AD84" w14:textId="77777777" w:rsidR="00323AA0" w:rsidRDefault="00000000">
            <w:r>
              <w:t>out_invoice / out_refund</w:t>
            </w:r>
          </w:p>
        </w:tc>
        <w:tc>
          <w:tcPr>
            <w:tcW w:w="6236" w:type="dxa"/>
          </w:tcPr>
          <w:p w14:paraId="49EB740C" w14:textId="77777777" w:rsidR="00323AA0" w:rsidRDefault="00000000">
            <w:r>
              <w:t>E31, E32, E33, E34, E44, E45</w:t>
            </w:r>
          </w:p>
        </w:tc>
      </w:tr>
      <w:tr w:rsidR="00323AA0" w14:paraId="2A4F8438" w14:textId="77777777">
        <w:tc>
          <w:tcPr>
            <w:tcW w:w="2835" w:type="dxa"/>
            <w:shd w:val="clear" w:color="auto" w:fill="F2F2F2"/>
          </w:tcPr>
          <w:p w14:paraId="09139B1B" w14:textId="77777777" w:rsidR="00323AA0" w:rsidRDefault="00000000">
            <w:r>
              <w:t>in_invoice / in_refund</w:t>
            </w:r>
          </w:p>
        </w:tc>
        <w:tc>
          <w:tcPr>
            <w:tcW w:w="6236" w:type="dxa"/>
            <w:shd w:val="clear" w:color="auto" w:fill="F2F2F2"/>
          </w:tcPr>
          <w:p w14:paraId="50320751" w14:textId="77777777" w:rsidR="00323AA0" w:rsidRDefault="00000000">
            <w:r>
              <w:t>E41, E43</w:t>
            </w:r>
          </w:p>
        </w:tc>
      </w:tr>
    </w:tbl>
    <w:p w14:paraId="4790315C" w14:textId="77777777" w:rsidR="00323AA0" w:rsidRDefault="00000000">
      <w:pPr>
        <w:pStyle w:val="Heading1"/>
      </w:pPr>
      <w:r>
        <w:rPr>
          <w:color w:val="1F3864"/>
        </w:rPr>
        <w:t>6. Ambientes Sandbox y Producción</w:t>
      </w:r>
    </w:p>
    <w:p w14:paraId="01C2682C" w14:textId="77777777" w:rsidR="00323AA0" w:rsidRDefault="00000000">
      <w:r>
        <w:t xml:space="preserve">DigiFact expone dos entornos independientes. El módulo provee una UI unificada para gestionar ambos y un selector </w:t>
      </w:r>
      <w:r>
        <w:rPr>
          <w:rFonts w:ascii="Consolas" w:hAnsi="Consolas"/>
          <w:color w:val="333333"/>
          <w:sz w:val="18"/>
        </w:rPr>
        <w:t>l10n_do_ecf_environment</w:t>
      </w:r>
      <w:r>
        <w:t xml:space="preserve"> que determina cuál se usa en cada operación. Esto permite:</w:t>
      </w:r>
    </w:p>
    <w:p w14:paraId="1A2319FB" w14:textId="77777777" w:rsidR="00323AA0" w:rsidRDefault="00000000">
      <w:pPr>
        <w:pStyle w:val="ListBullet"/>
      </w:pPr>
      <w:r>
        <w:t>Mantener credenciales de prueba y producción simultáneamente sin sobreescribir.</w:t>
      </w:r>
    </w:p>
    <w:p w14:paraId="4FA87C4A" w14:textId="77777777" w:rsidR="00323AA0" w:rsidRDefault="00000000">
      <w:pPr>
        <w:pStyle w:val="ListBullet"/>
      </w:pPr>
      <w:r>
        <w:t>Conmutar el comportamiento del módulo con un solo cambio (sin reconfigurar URLs).</w:t>
      </w:r>
    </w:p>
    <w:p w14:paraId="0DB50604" w14:textId="77777777" w:rsidR="00323AA0" w:rsidRDefault="00000000">
      <w:pPr>
        <w:pStyle w:val="ListBullet"/>
      </w:pPr>
      <w:r>
        <w:t>Restringir los campos de producción al grupo del sistema (ocultos para usuarios estándar).</w:t>
      </w:r>
    </w:p>
    <w:p w14:paraId="74B486D7" w14:textId="77777777" w:rsidR="00323AA0" w:rsidRDefault="00000000">
      <w:pPr>
        <w:pStyle w:val="ListBullet"/>
      </w:pPr>
      <w:r>
        <w:t>Aislar las credenciales al duplicar BDs: el script data/neutralize.sql limpia ambos sets y fuerza sandbox.</w:t>
      </w:r>
    </w:p>
    <w:p w14:paraId="4CA5D992" w14:textId="77777777" w:rsidR="00323AA0" w:rsidRDefault="00000000">
      <w:pPr>
        <w:pStyle w:val="Heading2"/>
      </w:pPr>
      <w:r>
        <w:rPr>
          <w:color w:val="2E74B5"/>
        </w:rPr>
        <w:t>6.1 Flujo de Generación de Token</w:t>
      </w:r>
    </w:p>
    <w:p w14:paraId="11988C6F" w14:textId="77777777" w:rsidR="00323AA0" w:rsidRDefault="00000000">
      <w:pPr>
        <w:pStyle w:val="ListBullet"/>
      </w:pPr>
      <w:r>
        <w:t xml:space="preserve">El usuario (o el cron) invoca </w:t>
      </w:r>
      <w:r>
        <w:rPr>
          <w:rFonts w:ascii="Consolas" w:hAnsi="Consolas"/>
          <w:color w:val="333333"/>
          <w:sz w:val="18"/>
        </w:rPr>
        <w:t>l10n_do_generate_token()</w:t>
      </w:r>
      <w:r>
        <w:t>.</w:t>
      </w:r>
    </w:p>
    <w:p w14:paraId="2450425C" w14:textId="77777777" w:rsidR="00323AA0" w:rsidRDefault="00000000">
      <w:pPr>
        <w:pStyle w:val="ListBullet"/>
      </w:pPr>
      <w:r>
        <w:t xml:space="preserve">Se obtienen las credenciales con </w:t>
      </w:r>
      <w:r>
        <w:rPr>
          <w:rFonts w:ascii="Consolas" w:hAnsi="Consolas"/>
          <w:color w:val="333333"/>
          <w:sz w:val="18"/>
        </w:rPr>
        <w:t>_get_active_ecf_creds()</w:t>
      </w:r>
      <w:r>
        <w:t>.</w:t>
      </w:r>
    </w:p>
    <w:p w14:paraId="360E9A90" w14:textId="77777777" w:rsidR="00323AA0" w:rsidRDefault="00000000">
      <w:pPr>
        <w:pStyle w:val="ListBullet"/>
      </w:pPr>
      <w:r>
        <w:t>Si falta alguna credencial, se eleva ValidationError con el nombre del ambiente.</w:t>
      </w:r>
    </w:p>
    <w:p w14:paraId="694C69AA" w14:textId="77777777" w:rsidR="00323AA0" w:rsidRDefault="00000000">
      <w:pPr>
        <w:pStyle w:val="ListBullet"/>
      </w:pPr>
      <w:r>
        <w:t>TokenBuilder arma el payload y se envía POST a url_generate_token.</w:t>
      </w:r>
    </w:p>
    <w:p w14:paraId="337E996B" w14:textId="77777777" w:rsidR="00323AA0" w:rsidRDefault="00000000">
      <w:pPr>
        <w:pStyle w:val="ListBullet"/>
      </w:pPr>
      <w:r>
        <w:t xml:space="preserve">La respuesta JSON trae Token + expira_en. Se persisten vía </w:t>
      </w:r>
      <w:r>
        <w:rPr>
          <w:rFonts w:ascii="Consolas" w:hAnsi="Consolas"/>
          <w:color w:val="333333"/>
          <w:sz w:val="18"/>
        </w:rPr>
        <w:t>_set_active_ecf_token()</w:t>
      </w:r>
      <w:r>
        <w:t>.</w:t>
      </w:r>
    </w:p>
    <w:p w14:paraId="1AD05E9D" w14:textId="77777777" w:rsidR="00323AA0" w:rsidRDefault="00000000">
      <w:pPr>
        <w:pStyle w:val="ListBullet"/>
      </w:pPr>
      <w:r>
        <w:t xml:space="preserve">Cron </w:t>
      </w:r>
      <w:r>
        <w:rPr>
          <w:b/>
        </w:rPr>
        <w:t>ir_cron_res_company_ecf_token</w:t>
      </w:r>
      <w:r>
        <w:t xml:space="preserve"> recorre todas las compañías cada 25 días. Cualquier fallo individual se registra en log sin abortar el cron.</w:t>
      </w:r>
    </w:p>
    <w:p w14:paraId="46CA5E1D" w14:textId="77777777" w:rsidR="00323AA0" w:rsidRDefault="00000000">
      <w:pPr>
        <w:pStyle w:val="Heading1"/>
      </w:pPr>
      <w:r>
        <w:rPr>
          <w:color w:val="1F3864"/>
        </w:rPr>
        <w:t>7. Tipos de Comprobantes Electrónicos Soportados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01"/>
        <w:gridCol w:w="7370"/>
      </w:tblGrid>
      <w:tr w:rsidR="00323AA0" w14:paraId="19F66FAC" w14:textId="77777777">
        <w:tc>
          <w:tcPr>
            <w:tcW w:w="1701" w:type="dxa"/>
            <w:shd w:val="clear" w:color="auto" w:fill="1F3864"/>
          </w:tcPr>
          <w:p w14:paraId="5C895766" w14:textId="77777777" w:rsidR="00323AA0" w:rsidRDefault="00000000">
            <w:r>
              <w:rPr>
                <w:b/>
                <w:color w:val="FFFFFF"/>
              </w:rPr>
              <w:t>Código</w:t>
            </w:r>
          </w:p>
        </w:tc>
        <w:tc>
          <w:tcPr>
            <w:tcW w:w="7370" w:type="dxa"/>
            <w:shd w:val="clear" w:color="auto" w:fill="1F3864"/>
          </w:tcPr>
          <w:p w14:paraId="1BEACE3B" w14:textId="77777777" w:rsidR="00323AA0" w:rsidRDefault="00000000">
            <w:r>
              <w:rPr>
                <w:b/>
                <w:color w:val="FFFFFF"/>
              </w:rPr>
              <w:t>Descripción</w:t>
            </w:r>
          </w:p>
        </w:tc>
      </w:tr>
      <w:tr w:rsidR="00323AA0" w14:paraId="2977E019" w14:textId="77777777">
        <w:tc>
          <w:tcPr>
            <w:tcW w:w="1701" w:type="dxa"/>
          </w:tcPr>
          <w:p w14:paraId="1E26E2D7" w14:textId="77777777" w:rsidR="00323AA0" w:rsidRDefault="00000000">
            <w:r>
              <w:t>E31</w:t>
            </w:r>
          </w:p>
        </w:tc>
        <w:tc>
          <w:tcPr>
            <w:tcW w:w="7370" w:type="dxa"/>
          </w:tcPr>
          <w:p w14:paraId="54D92546" w14:textId="77777777" w:rsidR="00323AA0" w:rsidRDefault="00000000">
            <w:r>
              <w:t>Factura de Crédito Fiscal Electrónica.</w:t>
            </w:r>
          </w:p>
        </w:tc>
      </w:tr>
      <w:tr w:rsidR="00323AA0" w14:paraId="1FA4AD81" w14:textId="77777777">
        <w:tc>
          <w:tcPr>
            <w:tcW w:w="1701" w:type="dxa"/>
            <w:shd w:val="clear" w:color="auto" w:fill="F2F2F2"/>
          </w:tcPr>
          <w:p w14:paraId="76DCE79C" w14:textId="77777777" w:rsidR="00323AA0" w:rsidRDefault="00000000">
            <w:r>
              <w:t>E32</w:t>
            </w:r>
          </w:p>
        </w:tc>
        <w:tc>
          <w:tcPr>
            <w:tcW w:w="7370" w:type="dxa"/>
            <w:shd w:val="clear" w:color="auto" w:fill="F2F2F2"/>
          </w:tcPr>
          <w:p w14:paraId="13AE4549" w14:textId="77777777" w:rsidR="00323AA0" w:rsidRDefault="00000000">
            <w:r>
              <w:t>Factura Electrónica de Consumo.</w:t>
            </w:r>
          </w:p>
        </w:tc>
      </w:tr>
      <w:tr w:rsidR="00323AA0" w14:paraId="7A29A84D" w14:textId="77777777">
        <w:tc>
          <w:tcPr>
            <w:tcW w:w="1701" w:type="dxa"/>
          </w:tcPr>
          <w:p w14:paraId="0BA0F93F" w14:textId="77777777" w:rsidR="00323AA0" w:rsidRDefault="00000000">
            <w:r>
              <w:t>E33</w:t>
            </w:r>
          </w:p>
        </w:tc>
        <w:tc>
          <w:tcPr>
            <w:tcW w:w="7370" w:type="dxa"/>
          </w:tcPr>
          <w:p w14:paraId="39868F06" w14:textId="77777777" w:rsidR="00323AA0" w:rsidRDefault="00000000">
            <w:r>
              <w:t>Nota de Débito Electrónica.</w:t>
            </w:r>
          </w:p>
        </w:tc>
      </w:tr>
      <w:tr w:rsidR="00323AA0" w14:paraId="3E5AB593" w14:textId="77777777">
        <w:tc>
          <w:tcPr>
            <w:tcW w:w="1701" w:type="dxa"/>
            <w:shd w:val="clear" w:color="auto" w:fill="F2F2F2"/>
          </w:tcPr>
          <w:p w14:paraId="2B2A8AFC" w14:textId="77777777" w:rsidR="00323AA0" w:rsidRDefault="00000000">
            <w:r>
              <w:t>E34</w:t>
            </w:r>
          </w:p>
        </w:tc>
        <w:tc>
          <w:tcPr>
            <w:tcW w:w="7370" w:type="dxa"/>
            <w:shd w:val="clear" w:color="auto" w:fill="F2F2F2"/>
          </w:tcPr>
          <w:p w14:paraId="1A22A683" w14:textId="77777777" w:rsidR="00323AA0" w:rsidRDefault="00000000">
            <w:r>
              <w:t>Nota de Crédito Electrónica.</w:t>
            </w:r>
          </w:p>
        </w:tc>
      </w:tr>
      <w:tr w:rsidR="00323AA0" w14:paraId="3EFC1504" w14:textId="77777777">
        <w:tc>
          <w:tcPr>
            <w:tcW w:w="1701" w:type="dxa"/>
          </w:tcPr>
          <w:p w14:paraId="38F494E8" w14:textId="77777777" w:rsidR="00323AA0" w:rsidRDefault="00000000">
            <w:r>
              <w:t>E41</w:t>
            </w:r>
          </w:p>
        </w:tc>
        <w:tc>
          <w:tcPr>
            <w:tcW w:w="7370" w:type="dxa"/>
          </w:tcPr>
          <w:p w14:paraId="1A014D38" w14:textId="77777777" w:rsidR="00323AA0" w:rsidRDefault="00000000">
            <w:r>
              <w:t>Compras Electrónicas.</w:t>
            </w:r>
          </w:p>
        </w:tc>
      </w:tr>
      <w:tr w:rsidR="00323AA0" w14:paraId="6C052B0E" w14:textId="77777777">
        <w:tc>
          <w:tcPr>
            <w:tcW w:w="1701" w:type="dxa"/>
            <w:shd w:val="clear" w:color="auto" w:fill="F2F2F2"/>
          </w:tcPr>
          <w:p w14:paraId="67BF12B7" w14:textId="77777777" w:rsidR="00323AA0" w:rsidRDefault="00000000">
            <w:r>
              <w:t>E43</w:t>
            </w:r>
          </w:p>
        </w:tc>
        <w:tc>
          <w:tcPr>
            <w:tcW w:w="7370" w:type="dxa"/>
            <w:shd w:val="clear" w:color="auto" w:fill="F2F2F2"/>
          </w:tcPr>
          <w:p w14:paraId="283DF5A3" w14:textId="77777777" w:rsidR="00323AA0" w:rsidRDefault="00000000">
            <w:r>
              <w:t>Gastos Menores Electrónicos.</w:t>
            </w:r>
          </w:p>
        </w:tc>
      </w:tr>
      <w:tr w:rsidR="00323AA0" w14:paraId="21C23547" w14:textId="77777777">
        <w:tc>
          <w:tcPr>
            <w:tcW w:w="1701" w:type="dxa"/>
          </w:tcPr>
          <w:p w14:paraId="1D51A4CF" w14:textId="77777777" w:rsidR="00323AA0" w:rsidRDefault="00000000">
            <w:r>
              <w:t>E44</w:t>
            </w:r>
          </w:p>
        </w:tc>
        <w:tc>
          <w:tcPr>
            <w:tcW w:w="7370" w:type="dxa"/>
          </w:tcPr>
          <w:p w14:paraId="602C6241" w14:textId="77777777" w:rsidR="00323AA0" w:rsidRDefault="00000000">
            <w:r>
              <w:t>Regímenes Especiales Electrónicos.</w:t>
            </w:r>
          </w:p>
        </w:tc>
      </w:tr>
      <w:tr w:rsidR="00323AA0" w14:paraId="106ACD36" w14:textId="77777777">
        <w:tc>
          <w:tcPr>
            <w:tcW w:w="1701" w:type="dxa"/>
            <w:shd w:val="clear" w:color="auto" w:fill="F2F2F2"/>
          </w:tcPr>
          <w:p w14:paraId="32829A38" w14:textId="77777777" w:rsidR="00323AA0" w:rsidRDefault="00000000">
            <w:r>
              <w:lastRenderedPageBreak/>
              <w:t>E45</w:t>
            </w:r>
          </w:p>
        </w:tc>
        <w:tc>
          <w:tcPr>
            <w:tcW w:w="7370" w:type="dxa"/>
            <w:shd w:val="clear" w:color="auto" w:fill="F2F2F2"/>
          </w:tcPr>
          <w:p w14:paraId="57631D60" w14:textId="77777777" w:rsidR="00323AA0" w:rsidRDefault="00000000">
            <w:r>
              <w:t>Gubernamental Electrónica.</w:t>
            </w:r>
          </w:p>
        </w:tc>
      </w:tr>
      <w:tr w:rsidR="00323AA0" w14:paraId="665E6486" w14:textId="77777777">
        <w:tc>
          <w:tcPr>
            <w:tcW w:w="1701" w:type="dxa"/>
          </w:tcPr>
          <w:p w14:paraId="6C4F4238" w14:textId="77777777" w:rsidR="00323AA0" w:rsidRDefault="00000000">
            <w:r>
              <w:t>E46</w:t>
            </w:r>
          </w:p>
        </w:tc>
        <w:tc>
          <w:tcPr>
            <w:tcW w:w="7370" w:type="dxa"/>
          </w:tcPr>
          <w:p w14:paraId="37AC41A0" w14:textId="77777777" w:rsidR="00323AA0" w:rsidRDefault="00000000">
            <w:r>
              <w:t>Exportaciones Electrónicas.</w:t>
            </w:r>
          </w:p>
        </w:tc>
      </w:tr>
      <w:tr w:rsidR="00323AA0" w14:paraId="2A5F66C4" w14:textId="77777777">
        <w:tc>
          <w:tcPr>
            <w:tcW w:w="1701" w:type="dxa"/>
            <w:shd w:val="clear" w:color="auto" w:fill="F2F2F2"/>
          </w:tcPr>
          <w:p w14:paraId="4E435ADF" w14:textId="77777777" w:rsidR="00323AA0" w:rsidRDefault="00000000">
            <w:r>
              <w:t>E47</w:t>
            </w:r>
          </w:p>
        </w:tc>
        <w:tc>
          <w:tcPr>
            <w:tcW w:w="7370" w:type="dxa"/>
            <w:shd w:val="clear" w:color="auto" w:fill="F2F2F2"/>
          </w:tcPr>
          <w:p w14:paraId="0901EFF6" w14:textId="77777777" w:rsidR="00323AA0" w:rsidRDefault="00000000">
            <w:r>
              <w:t>Pagos al Exterior Electrónicos.</w:t>
            </w:r>
          </w:p>
        </w:tc>
      </w:tr>
    </w:tbl>
    <w:p w14:paraId="28F64219" w14:textId="77777777" w:rsidR="00323AA0" w:rsidRDefault="00000000">
      <w:pPr>
        <w:pStyle w:val="Heading1"/>
      </w:pPr>
      <w:r>
        <w:rPr>
          <w:color w:val="1F3864"/>
        </w:rPr>
        <w:t>8. Datos Maestros y Cron Jobs</w:t>
      </w:r>
    </w:p>
    <w:p w14:paraId="0A528B35" w14:textId="77777777" w:rsidR="00323AA0" w:rsidRDefault="00000000">
      <w:pPr>
        <w:pStyle w:val="Heading2"/>
      </w:pPr>
      <w:r>
        <w:rPr>
          <w:color w:val="2E74B5"/>
        </w:rPr>
        <w:t>8.1 data/ir_cron_data.xml</w:t>
      </w:r>
    </w:p>
    <w:p w14:paraId="1BB326BB" w14:textId="77777777" w:rsidR="00323AA0" w:rsidRDefault="00000000">
      <w:r>
        <w:t xml:space="preserve">Define el cron </w:t>
      </w:r>
      <w:r>
        <w:rPr>
          <w:b/>
        </w:rPr>
        <w:t>Update eCF Token</w:t>
      </w:r>
      <w:r>
        <w:t xml:space="preserve"> que invoca </w:t>
      </w:r>
      <w:r>
        <w:rPr>
          <w:rFonts w:ascii="Consolas" w:hAnsi="Consolas"/>
          <w:color w:val="333333"/>
          <w:sz w:val="18"/>
        </w:rPr>
        <w:t>res.company._update_ecf_token()</w:t>
      </w:r>
      <w:r>
        <w:t>. Intervalo: 25 días. Priority: 8. Modelo: res.company.</w:t>
      </w:r>
    </w:p>
    <w:p w14:paraId="42E1896F" w14:textId="77777777" w:rsidR="00323AA0" w:rsidRDefault="00000000">
      <w:pPr>
        <w:pStyle w:val="Heading2"/>
      </w:pPr>
      <w:r>
        <w:rPr>
          <w:color w:val="2E74B5"/>
        </w:rPr>
        <w:t>8.2 data/neutralize.sql</w:t>
      </w:r>
    </w:p>
    <w:p w14:paraId="61623553" w14:textId="77777777" w:rsidR="00323AA0" w:rsidRDefault="00000000">
      <w:r>
        <w:t>Script de neutralización ejecutado al duplicar o clonar la base de datos. Limpia las credenciales de sandbox y producción, fuerza el ambiente a sandbox y evita que una BD clonada dispare envíos accidentales a la DGII.</w:t>
      </w:r>
    </w:p>
    <w:p w14:paraId="0FA48E5E" w14:textId="77777777" w:rsidR="00323AA0" w:rsidRDefault="00000000">
      <w:pPr>
        <w:pStyle w:val="Heading1"/>
      </w:pPr>
      <w:r>
        <w:rPr>
          <w:color w:val="1F3864"/>
        </w:rPr>
        <w:t>9. Reglas de Negocio Críticas</w:t>
      </w:r>
    </w:p>
    <w:p w14:paraId="36F65E20" w14:textId="77777777" w:rsidR="00323AA0" w:rsidRDefault="00000000">
      <w:pPr>
        <w:pStyle w:val="ListBullet"/>
      </w:pPr>
      <w:r>
        <w:rPr>
          <w:b/>
        </w:rPr>
        <w:t>No se puede devolver a borrador una factura eCF emitida</w:t>
      </w:r>
      <w:r>
        <w:t>: button_draft lanza UserError. Motivo: el e-NCF aceptado es inmutable ante DGII.</w:t>
      </w:r>
    </w:p>
    <w:p w14:paraId="2485D163" w14:textId="77777777" w:rsidR="00323AA0" w:rsidRDefault="00000000">
      <w:pPr>
        <w:pStyle w:val="ListBullet"/>
      </w:pPr>
      <w:r>
        <w:rPr>
          <w:b/>
        </w:rPr>
        <w:t>Cancelación directa para eCF emitidos</w:t>
      </w:r>
      <w:r>
        <w:t>: button_cancel omite el paso por draft y pasa directamente a cancel, removiendo reconciliaciones y marcando pagos como canceled.</w:t>
      </w:r>
    </w:p>
    <w:p w14:paraId="3CBE7BB0" w14:textId="77777777" w:rsidR="00323AA0" w:rsidRDefault="00000000">
      <w:pPr>
        <w:pStyle w:val="ListBullet"/>
      </w:pPr>
      <w:r>
        <w:rPr>
          <w:b/>
        </w:rPr>
        <w:t>Facturas con envío fallido reintentan manualmente</w:t>
      </w:r>
      <w:r>
        <w:t>: el flag resend_ecf identifica los movimientos pendientes. Los usuarios pueden relanzar desde la interfaz.</w:t>
      </w:r>
    </w:p>
    <w:p w14:paraId="729BD5AB" w14:textId="77777777" w:rsidR="00323AA0" w:rsidRDefault="00000000">
      <w:pPr>
        <w:pStyle w:val="ListBullet"/>
      </w:pPr>
      <w:r>
        <w:rPr>
          <w:b/>
        </w:rPr>
        <w:t>El payload enviado se guarda en la factura</w:t>
      </w:r>
      <w:r>
        <w:t>: l10n_do_ecf_payload preserva el JSON textual que salió hacia DigiFact; útil para auditoría y depuración.</w:t>
      </w:r>
    </w:p>
    <w:p w14:paraId="5F60ECF1" w14:textId="77777777" w:rsidR="00323AA0" w:rsidRDefault="00000000">
      <w:pPr>
        <w:pStyle w:val="ListBullet"/>
      </w:pPr>
      <w:r>
        <w:rPr>
          <w:b/>
        </w:rPr>
        <w:t>El QR se genera a partir de la URL pública</w:t>
      </w:r>
      <w:r>
        <w:t xml:space="preserve">: </w:t>
      </w:r>
      <w:r>
        <w:rPr>
          <w:rFonts w:ascii="Consolas" w:hAnsi="Consolas"/>
          <w:color w:val="333333"/>
          <w:sz w:val="18"/>
        </w:rPr>
        <w:t>make_qr_code()</w:t>
      </w:r>
      <w:r>
        <w:t xml:space="preserve"> decodifica la URL retornada por DGII, extrae el parámetro codigoseguridad y compone el código QR con qrcode + Pillow.</w:t>
      </w:r>
    </w:p>
    <w:p w14:paraId="246EC214" w14:textId="77777777" w:rsidR="00323AA0" w:rsidRDefault="00000000">
      <w:pPr>
        <w:pStyle w:val="ListBullet"/>
      </w:pPr>
      <w:r>
        <w:rPr>
          <w:b/>
        </w:rPr>
        <w:t>Retenciones compradas (R-ITBIS / ISR)</w:t>
      </w:r>
      <w:r>
        <w:t xml:space="preserve">: se identifican por </w:t>
      </w:r>
      <w:r>
        <w:rPr>
          <w:rFonts w:ascii="Consolas" w:hAnsi="Consolas"/>
          <w:color w:val="333333"/>
          <w:sz w:val="18"/>
        </w:rPr>
        <w:t>tax.purchase_tax_type</w:t>
      </w:r>
      <w:r>
        <w:t xml:space="preserve"> y se acumulan en los campos total_ritbis / total_isr al construir el payload. Cada línea se redondea y formatea a 2 decimales.</w:t>
      </w:r>
    </w:p>
    <w:p w14:paraId="48183BA7" w14:textId="77777777" w:rsidR="00323AA0" w:rsidRDefault="00000000">
      <w:pPr>
        <w:pStyle w:val="Heading1"/>
      </w:pPr>
      <w:r>
        <w:rPr>
          <w:color w:val="1F3864"/>
        </w:rPr>
        <w:t>10. Zona Horaria y Redondeo Fiscal</w:t>
      </w:r>
    </w:p>
    <w:p w14:paraId="64B54CF5" w14:textId="77777777" w:rsidR="00323AA0" w:rsidRDefault="00000000">
      <w:r>
        <w:rPr>
          <w:b/>
        </w:rPr>
        <w:t>Zona horaria.</w:t>
      </w:r>
      <w:r>
        <w:t xml:space="preserve"> La hora de emisión enviada a DGII se construye desde </w:t>
      </w:r>
      <w:r>
        <w:rPr>
          <w:rFonts w:ascii="Consolas" w:hAnsi="Consolas"/>
          <w:color w:val="333333"/>
          <w:sz w:val="18"/>
        </w:rPr>
        <w:t>datetime.now(pytz.timezone("America/Santo_Domingo"))</w:t>
      </w:r>
      <w:r>
        <w:t xml:space="preserve"> y se concatena con la fecha de factura como </w:t>
      </w:r>
      <w:r>
        <w:rPr>
          <w:rFonts w:ascii="Consolas" w:hAnsi="Consolas"/>
          <w:color w:val="333333"/>
          <w:sz w:val="18"/>
        </w:rPr>
        <w:t>YYYY-MM-DDThh:mm:ss</w:t>
      </w:r>
      <w:r>
        <w:t>. Esto garantiza que el sello temporal sea consistente con la hora local RD, con independencia del TZ del servidor Odoo.</w:t>
      </w:r>
    </w:p>
    <w:p w14:paraId="1A56444C" w14:textId="77777777" w:rsidR="00323AA0" w:rsidRDefault="00000000">
      <w:r>
        <w:rPr>
          <w:b/>
        </w:rPr>
        <w:t>Redondeo fiscal.</w:t>
      </w:r>
      <w:r>
        <w:t xml:space="preserve"> Toda cantidad monetaria que se serializa al payload pasa por </w:t>
      </w:r>
      <w:r>
        <w:rPr>
          <w:rFonts w:ascii="Consolas" w:hAnsi="Consolas"/>
          <w:color w:val="333333"/>
          <w:sz w:val="18"/>
        </w:rPr>
        <w:t>_ecf_format_amount()</w:t>
      </w:r>
      <w:r>
        <w:t xml:space="preserve"> o por </w:t>
      </w:r>
      <w:r>
        <w:rPr>
          <w:rFonts w:ascii="Consolas" w:hAnsi="Consolas"/>
          <w:color w:val="333333"/>
          <w:sz w:val="18"/>
        </w:rPr>
        <w:t>currency_id.round()</w:t>
      </w:r>
      <w:r>
        <w:t>. Puntos de aplicación:</w:t>
      </w:r>
    </w:p>
    <w:p w14:paraId="7A86E3A9" w14:textId="77777777" w:rsidR="00323AA0" w:rsidRDefault="00000000">
      <w:pPr>
        <w:pStyle w:val="ListBullet"/>
      </w:pPr>
      <w:r>
        <w:t>Item.TotalItems (precio subtotal de línea).</w:t>
      </w:r>
    </w:p>
    <w:p w14:paraId="23D8B23F" w14:textId="77777777" w:rsidR="00323AA0" w:rsidRDefault="00000000">
      <w:pPr>
        <w:pStyle w:val="ListBullet"/>
      </w:pPr>
      <w:r>
        <w:t>TotalTaxes[*].TaxableAmount y TotalTaxes[*].Amount.</w:t>
      </w:r>
    </w:p>
    <w:p w14:paraId="4B3AEB6F" w14:textId="77777777" w:rsidR="00323AA0" w:rsidRDefault="00000000">
      <w:pPr>
        <w:pStyle w:val="ListBullet"/>
      </w:pPr>
      <w:r>
        <w:t>additional_taxes[*].Amount dentro de cada Item.</w:t>
      </w:r>
    </w:p>
    <w:p w14:paraId="2E66E548" w14:textId="77777777" w:rsidR="00323AA0" w:rsidRDefault="00000000">
      <w:pPr>
        <w:pStyle w:val="ListBullet"/>
      </w:pPr>
      <w:r>
        <w:lastRenderedPageBreak/>
        <w:t>MontoITBISRetenido, MontoISRRetenido en AdditionalInfo de línea.</w:t>
      </w:r>
    </w:p>
    <w:p w14:paraId="3C76BA79" w14:textId="77777777" w:rsidR="00323AA0" w:rsidRDefault="00000000">
      <w:pPr>
        <w:pStyle w:val="ListBullet"/>
      </w:pPr>
      <w:r>
        <w:t>TotalITBISRetenido, TotalISRRetencion en AdditionalInfo de Totals.</w:t>
      </w:r>
    </w:p>
    <w:p w14:paraId="31DC7A17" w14:textId="77777777" w:rsidR="00323AA0" w:rsidRDefault="00000000">
      <w:pPr>
        <w:pStyle w:val="ListBullet"/>
      </w:pPr>
      <w:r>
        <w:t>GrandTotal.InvoiceTotal (formateado a 2 decimales dentro de ecf_composition.py).</w:t>
      </w:r>
    </w:p>
    <w:p w14:paraId="72449ECB" w14:textId="77777777" w:rsidR="00323AA0" w:rsidRDefault="00000000">
      <w:pPr>
        <w:pStyle w:val="Heading1"/>
      </w:pPr>
      <w:r>
        <w:rPr>
          <w:color w:val="1F3864"/>
        </w:rPr>
        <w:t>11. Registro de Eventos (ecf.logger)</w:t>
      </w:r>
    </w:p>
    <w:p w14:paraId="4D8CB4CD" w14:textId="77777777" w:rsidR="00323AA0" w:rsidRDefault="00000000">
      <w:r>
        <w:t>Modelo transient-less dedicado a persistir errores de envío. Estructura: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4"/>
        <w:gridCol w:w="1701"/>
        <w:gridCol w:w="5386"/>
      </w:tblGrid>
      <w:tr w:rsidR="00323AA0" w14:paraId="0CD5D8F5" w14:textId="77777777">
        <w:tc>
          <w:tcPr>
            <w:tcW w:w="1984" w:type="dxa"/>
            <w:shd w:val="clear" w:color="auto" w:fill="1F3864"/>
          </w:tcPr>
          <w:p w14:paraId="2A00FB69" w14:textId="77777777" w:rsidR="00323AA0" w:rsidRDefault="00000000">
            <w:r>
              <w:rPr>
                <w:b/>
                <w:color w:val="FFFFFF"/>
              </w:rPr>
              <w:t>Campo</w:t>
            </w:r>
          </w:p>
        </w:tc>
        <w:tc>
          <w:tcPr>
            <w:tcW w:w="1701" w:type="dxa"/>
            <w:shd w:val="clear" w:color="auto" w:fill="1F3864"/>
          </w:tcPr>
          <w:p w14:paraId="02B9A3F2" w14:textId="77777777" w:rsidR="00323AA0" w:rsidRDefault="00000000">
            <w:r>
              <w:rPr>
                <w:b/>
                <w:color w:val="FFFFFF"/>
              </w:rPr>
              <w:t>Tipo</w:t>
            </w:r>
          </w:p>
        </w:tc>
        <w:tc>
          <w:tcPr>
            <w:tcW w:w="5386" w:type="dxa"/>
            <w:shd w:val="clear" w:color="auto" w:fill="1F3864"/>
          </w:tcPr>
          <w:p w14:paraId="26D32241" w14:textId="77777777" w:rsidR="00323AA0" w:rsidRDefault="00000000">
            <w:r>
              <w:rPr>
                <w:b/>
                <w:color w:val="FFFFFF"/>
              </w:rPr>
              <w:t>Descripción</w:t>
            </w:r>
          </w:p>
        </w:tc>
      </w:tr>
      <w:tr w:rsidR="00323AA0" w14:paraId="74B54610" w14:textId="77777777">
        <w:tc>
          <w:tcPr>
            <w:tcW w:w="1984" w:type="dxa"/>
          </w:tcPr>
          <w:p w14:paraId="02F0E21C" w14:textId="77777777" w:rsidR="00323AA0" w:rsidRDefault="00000000">
            <w:r>
              <w:t>name</w:t>
            </w:r>
          </w:p>
        </w:tc>
        <w:tc>
          <w:tcPr>
            <w:tcW w:w="1701" w:type="dxa"/>
          </w:tcPr>
          <w:p w14:paraId="6E1EFB00" w14:textId="77777777" w:rsidR="00323AA0" w:rsidRDefault="00000000">
            <w:r>
              <w:t>Char</w:t>
            </w:r>
          </w:p>
        </w:tc>
        <w:tc>
          <w:tcPr>
            <w:tcW w:w="5386" w:type="dxa"/>
          </w:tcPr>
          <w:p w14:paraId="35901CFF" w14:textId="77777777" w:rsidR="00323AA0" w:rsidRDefault="00000000">
            <w:r>
              <w:t>Etiqueta corta del evento (e.g. "Error").</w:t>
            </w:r>
          </w:p>
        </w:tc>
      </w:tr>
      <w:tr w:rsidR="00323AA0" w14:paraId="3CD84750" w14:textId="77777777">
        <w:tc>
          <w:tcPr>
            <w:tcW w:w="1984" w:type="dxa"/>
            <w:shd w:val="clear" w:color="auto" w:fill="F2F2F2"/>
          </w:tcPr>
          <w:p w14:paraId="694DD570" w14:textId="77777777" w:rsidR="00323AA0" w:rsidRDefault="00000000">
            <w:r>
              <w:t>log</w:t>
            </w:r>
          </w:p>
        </w:tc>
        <w:tc>
          <w:tcPr>
            <w:tcW w:w="1701" w:type="dxa"/>
            <w:shd w:val="clear" w:color="auto" w:fill="F2F2F2"/>
          </w:tcPr>
          <w:p w14:paraId="6A020CD1" w14:textId="77777777" w:rsidR="00323AA0" w:rsidRDefault="00000000">
            <w:r>
              <w:t>Text</w:t>
            </w:r>
          </w:p>
        </w:tc>
        <w:tc>
          <w:tcPr>
            <w:tcW w:w="5386" w:type="dxa"/>
            <w:shd w:val="clear" w:color="auto" w:fill="F2F2F2"/>
          </w:tcPr>
          <w:p w14:paraId="6BB293AD" w14:textId="77777777" w:rsidR="00323AA0" w:rsidRDefault="00000000">
            <w:r>
              <w:t>Trazabilidad del error (mensaje completo).</w:t>
            </w:r>
          </w:p>
        </w:tc>
      </w:tr>
      <w:tr w:rsidR="00323AA0" w14:paraId="335F73C9" w14:textId="77777777">
        <w:tc>
          <w:tcPr>
            <w:tcW w:w="1984" w:type="dxa"/>
          </w:tcPr>
          <w:p w14:paraId="50349E74" w14:textId="77777777" w:rsidR="00323AA0" w:rsidRDefault="00000000">
            <w:r>
              <w:t>move_id</w:t>
            </w:r>
          </w:p>
        </w:tc>
        <w:tc>
          <w:tcPr>
            <w:tcW w:w="1701" w:type="dxa"/>
          </w:tcPr>
          <w:p w14:paraId="0DAFB28B" w14:textId="77777777" w:rsidR="00323AA0" w:rsidRDefault="00000000">
            <w:r>
              <w:t>Many2one</w:t>
            </w:r>
          </w:p>
        </w:tc>
        <w:tc>
          <w:tcPr>
            <w:tcW w:w="5386" w:type="dxa"/>
          </w:tcPr>
          <w:p w14:paraId="28612F47" w14:textId="77777777" w:rsidR="00323AA0" w:rsidRDefault="00000000">
            <w:r>
              <w:t>Factura asociada (account.move).</w:t>
            </w:r>
          </w:p>
        </w:tc>
      </w:tr>
    </w:tbl>
    <w:p w14:paraId="6FE9BA50" w14:textId="77777777" w:rsidR="00323AA0" w:rsidRDefault="00000000">
      <w:r>
        <w:t>El ACL permite lectura, escritura y creación a todos los usuarios con acceso a account.move, pero deshabilita unlink. Los registros se exponen en la factura vía One2many (</w:t>
      </w:r>
      <w:r>
        <w:rPr>
          <w:rFonts w:ascii="Consolas" w:hAnsi="Consolas"/>
          <w:color w:val="333333"/>
          <w:sz w:val="18"/>
        </w:rPr>
        <w:t>ecf_logger_ids</w:t>
      </w:r>
      <w:r>
        <w:t>) para facilitar el diagnóstico.</w:t>
      </w:r>
    </w:p>
    <w:p w14:paraId="749D7629" w14:textId="77777777" w:rsidR="00323AA0" w:rsidRDefault="00000000">
      <w:pPr>
        <w:pStyle w:val="Heading1"/>
      </w:pPr>
      <w:r>
        <w:rPr>
          <w:color w:val="1F3864"/>
        </w:rPr>
        <w:t>12. Pruebas y Validación Manual</w:t>
      </w:r>
    </w:p>
    <w:p w14:paraId="57CB00B3" w14:textId="77777777" w:rsidR="00323AA0" w:rsidRDefault="00000000">
      <w:r>
        <w:t>El módulo no incluye una suite de tests automatizados en la versión 19.0.1.0.0. Los puntos de validación recomendados para el QA manual son:</w:t>
      </w:r>
    </w:p>
    <w:p w14:paraId="21E6ABF8" w14:textId="77777777" w:rsidR="00323AA0" w:rsidRDefault="00000000">
      <w:pPr>
        <w:pStyle w:val="ListBullet"/>
      </w:pPr>
      <w:r>
        <w:t xml:space="preserve">Instalar el módulo sobre una BD con </w:t>
      </w:r>
      <w:r>
        <w:rPr>
          <w:rFonts w:ascii="Consolas" w:hAnsi="Consolas"/>
          <w:color w:val="333333"/>
          <w:sz w:val="18"/>
        </w:rPr>
        <w:t>l10n_do_accounting</w:t>
      </w:r>
      <w:r>
        <w:t>: debe cargar sin errores (verificado: 99 módulos en ~5s).</w:t>
      </w:r>
    </w:p>
    <w:p w14:paraId="296013E0" w14:textId="77777777" w:rsidR="00323AA0" w:rsidRDefault="00000000">
      <w:pPr>
        <w:pStyle w:val="ListBullet"/>
      </w:pPr>
      <w:r>
        <w:t>Configurar compañía en ambiente Sandbox con credenciales DigiFact válidas y generar token con el botón.</w:t>
      </w:r>
    </w:p>
    <w:p w14:paraId="65E7367D" w14:textId="77777777" w:rsidR="00323AA0" w:rsidRDefault="00000000">
      <w:pPr>
        <w:pStyle w:val="ListBullet"/>
      </w:pPr>
      <w:r>
        <w:t>Emitir una factura de venta con prefijo E31/E32 sobre un cliente con l10n_do_is_ecf_receptor=True.</w:t>
      </w:r>
    </w:p>
    <w:p w14:paraId="72224980" w14:textId="77777777" w:rsidR="00323AA0" w:rsidRDefault="00000000">
      <w:pPr>
        <w:pStyle w:val="ListBullet"/>
      </w:pPr>
      <w:r>
        <w:t>Verificar que l10n_do_ecf_status pase a "1" (Aceptado) y que el QR y el adjunto XML se generen.</w:t>
      </w:r>
    </w:p>
    <w:p w14:paraId="286AA984" w14:textId="77777777" w:rsidR="00323AA0" w:rsidRDefault="00000000">
      <w:pPr>
        <w:pStyle w:val="ListBullet"/>
      </w:pPr>
      <w:r>
        <w:t>Inducir un error (credencial inválida) y verificar que ecf_logger_ids se pueble y que resend_ecf quede en True.</w:t>
      </w:r>
    </w:p>
    <w:p w14:paraId="1EF5E3BA" w14:textId="77777777" w:rsidR="00323AA0" w:rsidRDefault="00000000">
      <w:pPr>
        <w:pStyle w:val="ListBullet"/>
      </w:pPr>
      <w:r>
        <w:t>Intentar button_draft sobre una factura eCF: debe lanzar UserError.</w:t>
      </w:r>
    </w:p>
    <w:p w14:paraId="5A2E27F1" w14:textId="77777777" w:rsidR="00323AA0" w:rsidRDefault="00000000">
      <w:pPr>
        <w:pStyle w:val="ListBullet"/>
      </w:pPr>
      <w:r>
        <w:t>Conmutar ambiente a Producción y validar que los campos queden ocultos para un usuario no-admin.</w:t>
      </w:r>
    </w:p>
    <w:p w14:paraId="37BF2C6E" w14:textId="77777777" w:rsidR="00323AA0" w:rsidRDefault="00000000">
      <w:r>
        <w:br w:type="page"/>
      </w:r>
    </w:p>
    <w:p w14:paraId="3C1856AC" w14:textId="77777777" w:rsidR="00323AA0" w:rsidRDefault="00323AA0"/>
    <w:p w14:paraId="0CC1CEBE" w14:textId="77777777" w:rsidR="00323AA0" w:rsidRDefault="00323AA0"/>
    <w:p w14:paraId="022502BA" w14:textId="77777777" w:rsidR="00323AA0" w:rsidRDefault="00323AA0"/>
    <w:p w14:paraId="60E659C8" w14:textId="77777777" w:rsidR="00323AA0" w:rsidRDefault="00323AA0"/>
    <w:p w14:paraId="000F410D" w14:textId="77777777" w:rsidR="00323AA0" w:rsidRDefault="00323AA0"/>
    <w:p w14:paraId="643F4FB6" w14:textId="77777777" w:rsidR="00323AA0" w:rsidRDefault="00323AA0"/>
    <w:p w14:paraId="6BE1D79A" w14:textId="77777777" w:rsidR="00323AA0" w:rsidRDefault="00323AA0"/>
    <w:p w14:paraId="5219184B" w14:textId="77777777" w:rsidR="00323AA0" w:rsidRDefault="00323AA0"/>
    <w:p w14:paraId="27C5DE13" w14:textId="77777777" w:rsidR="00323AA0" w:rsidRDefault="00323AA0"/>
    <w:p w14:paraId="6CE536CC" w14:textId="77777777" w:rsidR="00323AA0" w:rsidRDefault="00323AA0"/>
    <w:p w14:paraId="30741D48" w14:textId="77777777" w:rsidR="00323AA0" w:rsidRDefault="00323AA0"/>
    <w:p w14:paraId="71941FA8" w14:textId="77777777" w:rsidR="00323AA0" w:rsidRDefault="00323AA0"/>
    <w:p w14:paraId="5A8F5B54" w14:textId="77777777" w:rsidR="00323AA0" w:rsidRDefault="00323AA0"/>
    <w:p w14:paraId="48AF838D" w14:textId="77777777" w:rsidR="00323AA0" w:rsidRDefault="00323AA0"/>
    <w:p w14:paraId="1056907E" w14:textId="77777777" w:rsidR="00323AA0" w:rsidRDefault="00323AA0"/>
    <w:p w14:paraId="63F1E433" w14:textId="77777777" w:rsidR="00323AA0" w:rsidRDefault="00323AA0"/>
    <w:p w14:paraId="51CC5BBB" w14:textId="77777777" w:rsidR="00323AA0" w:rsidRDefault="00000000">
      <w:pPr>
        <w:jc w:val="center"/>
      </w:pPr>
      <w:r>
        <w:rPr>
          <w:b/>
          <w:color w:val="1F3864"/>
          <w:sz w:val="21"/>
        </w:rPr>
        <w:t>Manual elaborado por: Erick Daniel Cuesto Mendez</w:t>
      </w:r>
    </w:p>
    <w:p w14:paraId="27E801A8" w14:textId="77777777" w:rsidR="00323AA0" w:rsidRDefault="00000000">
      <w:pPr>
        <w:jc w:val="center"/>
      </w:pPr>
      <w:r>
        <w:rPr>
          <w:i/>
          <w:color w:val="707070"/>
          <w:sz w:val="18"/>
        </w:rPr>
        <w:t>Versión 1.0  —  Abril 2026  —  Documento N.° ECM-USR-001</w:t>
      </w:r>
    </w:p>
    <w:p w14:paraId="0A945304" w14:textId="77777777" w:rsidR="00323AA0" w:rsidRDefault="00000000">
      <w:pPr>
        <w:jc w:val="center"/>
      </w:pPr>
      <w:r>
        <w:rPr>
          <w:color w:val="909090"/>
          <w:sz w:val="16"/>
        </w:rPr>
        <w:t>Confidencial</w:t>
      </w:r>
    </w:p>
    <w:sectPr w:rsidR="00323AA0" w:rsidSect="00034616">
      <w:pgSz w:w="12240" w:h="15840"/>
      <w:pgMar w:top="1304" w:right="1304" w:bottom="1304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41210934">
    <w:abstractNumId w:val="8"/>
  </w:num>
  <w:num w:numId="2" w16cid:durableId="1238369386">
    <w:abstractNumId w:val="6"/>
  </w:num>
  <w:num w:numId="3" w16cid:durableId="1573851102">
    <w:abstractNumId w:val="5"/>
  </w:num>
  <w:num w:numId="4" w16cid:durableId="848981715">
    <w:abstractNumId w:val="4"/>
  </w:num>
  <w:num w:numId="5" w16cid:durableId="536698291">
    <w:abstractNumId w:val="7"/>
  </w:num>
  <w:num w:numId="6" w16cid:durableId="757563307">
    <w:abstractNumId w:val="3"/>
  </w:num>
  <w:num w:numId="7" w16cid:durableId="5912962">
    <w:abstractNumId w:val="2"/>
  </w:num>
  <w:num w:numId="8" w16cid:durableId="32847024">
    <w:abstractNumId w:val="1"/>
  </w:num>
  <w:num w:numId="9" w16cid:durableId="20755475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83976"/>
    <w:rsid w:val="0015074B"/>
    <w:rsid w:val="0029639D"/>
    <w:rsid w:val="00323AA0"/>
    <w:rsid w:val="00326F90"/>
    <w:rsid w:val="00AA1D8D"/>
    <w:rsid w:val="00B47730"/>
    <w:rsid w:val="00CB0664"/>
    <w:rsid w:val="00E04F8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77AB46BB"/>
  <w14:defaultImageDpi w14:val="300"/>
  <w15:docId w15:val="{CDB39D2D-C5E1-4A31-8DB2-9103A5E843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11</Pages>
  <Words>2755</Words>
  <Characters>15705</Characters>
  <Application>Microsoft Office Word</Application>
  <DocSecurity>0</DocSecurity>
  <Lines>130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18424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Erick Cuesto</cp:lastModifiedBy>
  <cp:revision>2</cp:revision>
  <dcterms:created xsi:type="dcterms:W3CDTF">2013-12-23T23:15:00Z</dcterms:created>
  <dcterms:modified xsi:type="dcterms:W3CDTF">2026-04-20T00:47:00Z</dcterms:modified>
  <cp:category/>
</cp:coreProperties>
</file>