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Documentación Técnica</w:t>
      </w:r>
    </w:p>
    <w:p>
      <w:pPr>
        <w:jc w:val="center"/>
      </w:pPr>
      <w:r>
        <w:rPr>
          <w:b/>
          <w:color w:val="1F3864"/>
          <w:sz w:val="32"/>
        </w:rPr>
        <w:t>Módulo l10n_do_accounting</w:t>
        <w:br/>
        <w:t>Localización Fiscal para Odoo 19.0</w:t>
      </w:r>
    </w:p>
    <w:p/>
    <w:p>
      <w:pPr>
        <w:pBdr>
          <w:bottom w:val="single" w:sz="6" w:space="1" w:color="1F3864"/>
        </w:pBdr>
      </w:pPr>
    </w:p>
    <w:p/>
    <w:p>
      <w:pPr>
        <w:jc w:val="center"/>
      </w:pPr>
      <w:r>
        <w:rPr>
          <w:b/>
          <w:color w:val="2E74B5"/>
          <w:sz w:val="26"/>
        </w:rPr>
        <w:t>ESPECIFICACIÓN TÉCNICA DE SOFTWARE</w:t>
      </w:r>
    </w:p>
    <w:p/>
    <w:tbl>
      <w:tblPr>
        <w:tblStyle w:val="TableGrid"/>
        <w:tblW w:type="auto" w:w="0"/>
        <w:tblLook w:firstColumn="1" w:firstRow="1" w:lastColumn="0" w:lastRow="0" w:noHBand="0" w:noVBand="1" w:val="04A0"/>
      </w:tblPr>
      <w:tblGrid>
        <w:gridCol w:w="2835"/>
        <w:gridCol w:w="5669"/>
      </w:tblGrid>
      <w:tr>
        <w:tc>
          <w:tcPr>
            <w:tcW w:type="dxa" w:w="4561"/>
            <w:shd w:val="clear" w:color="auto" w:fill="1F3864"/>
          </w:tcPr>
          <w:p>
            <w:r>
              <w:rPr>
                <w:b/>
                <w:color w:val="FFFFFF"/>
                <w:sz w:val="20"/>
              </w:rPr>
              <w:t>Módulo:</w:t>
            </w:r>
          </w:p>
        </w:tc>
        <w:tc>
          <w:tcPr>
            <w:tcW w:type="dxa" w:w="4561"/>
            <w:shd w:val="clear" w:color="auto" w:fill="EBF0F8"/>
          </w:tcPr>
          <w:p>
            <w:r>
              <w:rPr>
                <w:sz w:val="20"/>
              </w:rPr>
              <w:t>l10n_do_accounting — Localización Fiscal República Dominicana</w:t>
            </w:r>
          </w:p>
        </w:tc>
      </w:tr>
      <w:tr>
        <w:tc>
          <w:tcPr>
            <w:tcW w:type="dxa" w:w="4561"/>
            <w:shd w:val="clear" w:color="auto" w:fill="1F3864"/>
          </w:tcPr>
          <w:p>
            <w:r>
              <w:rPr>
                <w:b/>
                <w:color w:val="FFFFFF"/>
                <w:sz w:val="20"/>
              </w:rPr>
              <w:t>Versión del módulo:</w:t>
            </w:r>
          </w:p>
        </w:tc>
        <w:tc>
          <w:tcPr>
            <w:tcW w:type="dxa" w:w="4561"/>
            <w:shd w:val="clear" w:color="auto" w:fill="EBF0F8"/>
          </w:tcPr>
          <w:p>
            <w:r>
              <w:rPr>
                <w:sz w:val="20"/>
              </w:rPr>
              <w:t>19.0.1.0.0</w:t>
            </w:r>
          </w:p>
        </w:tc>
      </w:tr>
      <w:tr>
        <w:tc>
          <w:tcPr>
            <w:tcW w:type="dxa" w:w="4561"/>
            <w:shd w:val="clear" w:color="auto" w:fill="1F3864"/>
          </w:tcPr>
          <w:p>
            <w:r>
              <w:rPr>
                <w:b/>
                <w:color w:val="FFFFFF"/>
                <w:sz w:val="20"/>
              </w:rPr>
              <w:t>Versión del documento:</w:t>
            </w:r>
          </w:p>
        </w:tc>
        <w:tc>
          <w:tcPr>
            <w:tcW w:type="dxa" w:w="4561"/>
            <w:shd w:val="clear" w:color="auto" w:fill="EBF0F8"/>
          </w:tcPr>
          <w:p>
            <w:r>
              <w:rPr>
                <w:sz w:val="20"/>
              </w:rPr>
              <w:t>1.0</w:t>
            </w:r>
          </w:p>
        </w:tc>
      </w:tr>
      <w:tr>
        <w:tc>
          <w:tcPr>
            <w:tcW w:type="dxa" w:w="4561"/>
            <w:shd w:val="clear" w:color="auto" w:fill="1F3864"/>
          </w:tcPr>
          <w:p>
            <w:r>
              <w:rPr>
                <w:b/>
                <w:color w:val="FFFFFF"/>
                <w:sz w:val="20"/>
              </w:rPr>
              <w:t>Elaborado por:</w:t>
            </w:r>
          </w:p>
        </w:tc>
        <w:tc>
          <w:tcPr>
            <w:tcW w:type="dxa" w:w="4561"/>
            <w:shd w:val="clear" w:color="auto" w:fill="EBF0F8"/>
          </w:tcPr>
          <w:p>
            <w:r>
              <w:rPr>
                <w:sz w:val="20"/>
              </w:rPr>
              <w:t>Luis Alejandro Fernández Lluberes</w:t>
            </w:r>
          </w:p>
        </w:tc>
      </w:tr>
      <w:tr>
        <w:tc>
          <w:tcPr>
            <w:tcW w:type="dxa" w:w="4561"/>
            <w:shd w:val="clear" w:color="auto" w:fill="1F3864"/>
          </w:tcPr>
          <w:p>
            <w:r>
              <w:rPr>
                <w:b/>
                <w:color w:val="FFFFFF"/>
                <w:sz w:val="20"/>
              </w:rPr>
              <w:t>Fecha de elaboración:</w:t>
            </w:r>
          </w:p>
        </w:tc>
        <w:tc>
          <w:tcPr>
            <w:tcW w:type="dxa" w:w="4561"/>
            <w:shd w:val="clear" w:color="auto" w:fill="EBF0F8"/>
          </w:tcPr>
          <w:p>
            <w:r>
              <w:rPr>
                <w:sz w:val="20"/>
              </w:rPr>
              <w:t>Abril 2026</w:t>
            </w:r>
          </w:p>
        </w:tc>
      </w:tr>
    </w:tbl>
    <w:p/>
    <w:p/>
    <w:p/>
    <w:p>
      <w:pPr>
        <w:pBdr>
          <w:bottom w:val="single" w:sz="6" w:space="1" w:color="1F3864"/>
        </w:pBdr>
      </w:pPr>
    </w:p>
    <w:p>
      <w:pPr>
        <w:jc w:val="right"/>
      </w:pPr>
      <w:r>
        <w:rPr>
          <w:i/>
          <w:color w:val="707070"/>
          <w:sz w:val="16"/>
        </w:rPr>
        <w:t>Documento N.° LFL-TEC-001    |    Confidencial — Uso Interno</w:t>
      </w:r>
    </w:p>
    <w:p>
      <w:r>
        <w:br w:type="page"/>
      </w:r>
    </w:p>
    <w:p>
      <w:pPr>
        <w:pStyle w:val="Heading1"/>
        <w:jc w:val="left"/>
      </w:pPr>
      <w:r>
        <w:t>Tabla de Contenido</w:t>
      </w:r>
    </w:p>
    <w:p>
      <w:pPr>
        <w:pBdr>
          <w:bottom w:val="single" w:sz="6" w:space="1" w:color="1F3864"/>
        </w:pBdr>
      </w:pPr>
    </w:p>
    <w:p/>
    <w:p>
      <w:pPr>
        <w:spacing w:after="80"/>
      </w:pPr>
      <w:r>
        <w:rPr>
          <w:b/>
          <w:color w:val="1F3864"/>
          <w:sz w:val="20"/>
        </w:rPr>
        <w:t xml:space="preserve">1.  </w:t>
      </w:r>
      <w:r>
        <w:rPr>
          <w:sz w:val="20"/>
        </w:rPr>
        <w:t>Información General del Módulo</w:t>
      </w:r>
    </w:p>
    <w:p>
      <w:pPr>
        <w:spacing w:after="80"/>
      </w:pPr>
      <w:r>
        <w:rPr>
          <w:b/>
          <w:color w:val="1F3864"/>
          <w:sz w:val="20"/>
        </w:rPr>
        <w:t xml:space="preserve">2.  </w:t>
      </w:r>
      <w:r>
        <w:rPr>
          <w:sz w:val="20"/>
        </w:rPr>
        <w:t>Estructura de Directorios</w:t>
      </w:r>
    </w:p>
    <w:p>
      <w:pPr>
        <w:spacing w:after="80"/>
      </w:pPr>
      <w:r>
        <w:rPr>
          <w:b/>
          <w:color w:val="1F3864"/>
          <w:sz w:val="20"/>
        </w:rPr>
        <w:t xml:space="preserve">3.  </w:t>
      </w:r>
      <w:r>
        <w:rPr>
          <w:sz w:val="20"/>
        </w:rPr>
        <w:t>Modelos Principales</w:t>
      </w:r>
    </w:p>
    <w:p>
      <w:pPr>
        <w:spacing w:after="80"/>
      </w:pPr>
      <w:r>
        <w:rPr>
          <w:b/>
          <w:color w:val="1F3864"/>
          <w:sz w:val="20"/>
        </w:rPr>
        <w:t xml:space="preserve">3.1  </w:t>
      </w:r>
      <w:r>
        <w:rPr>
          <w:sz w:val="20"/>
        </w:rPr>
        <w:t>res.partner</w:t>
      </w:r>
    </w:p>
    <w:p>
      <w:pPr>
        <w:spacing w:after="80"/>
      </w:pPr>
      <w:r>
        <w:rPr>
          <w:b/>
          <w:color w:val="1F3864"/>
          <w:sz w:val="20"/>
        </w:rPr>
        <w:t xml:space="preserve">3.2  </w:t>
      </w:r>
      <w:r>
        <w:rPr>
          <w:sz w:val="20"/>
        </w:rPr>
        <w:t>res.company</w:t>
      </w:r>
    </w:p>
    <w:p>
      <w:pPr>
        <w:spacing w:after="80"/>
      </w:pPr>
      <w:r>
        <w:rPr>
          <w:b/>
          <w:color w:val="1F3864"/>
          <w:sz w:val="20"/>
        </w:rPr>
        <w:t xml:space="preserve">3.3  </w:t>
      </w:r>
      <w:r>
        <w:rPr>
          <w:sz w:val="20"/>
        </w:rPr>
        <w:t>l10n_latam.document.type</w:t>
      </w:r>
    </w:p>
    <w:p>
      <w:pPr>
        <w:spacing w:after="80"/>
      </w:pPr>
      <w:r>
        <w:rPr>
          <w:b/>
          <w:color w:val="1F3864"/>
          <w:sz w:val="20"/>
        </w:rPr>
        <w:t xml:space="preserve">3.4  </w:t>
      </w:r>
      <w:r>
        <w:rPr>
          <w:sz w:val="20"/>
        </w:rPr>
        <w:t>account.journal</w:t>
      </w:r>
    </w:p>
    <w:p>
      <w:pPr>
        <w:spacing w:after="80"/>
      </w:pPr>
      <w:r>
        <w:rPr>
          <w:b/>
          <w:color w:val="1F3864"/>
          <w:sz w:val="20"/>
        </w:rPr>
        <w:t xml:space="preserve">3.5  </w:t>
      </w:r>
      <w:r>
        <w:rPr>
          <w:sz w:val="20"/>
        </w:rPr>
        <w:t>l10n_do.ncf.batch</w:t>
      </w:r>
    </w:p>
    <w:p>
      <w:pPr>
        <w:spacing w:after="80"/>
      </w:pPr>
      <w:r>
        <w:rPr>
          <w:b/>
          <w:color w:val="1F3864"/>
          <w:sz w:val="20"/>
        </w:rPr>
        <w:t xml:space="preserve">3.6  </w:t>
      </w:r>
      <w:r>
        <w:rPr>
          <w:sz w:val="20"/>
        </w:rPr>
        <w:t>account.move</w:t>
      </w:r>
    </w:p>
    <w:p>
      <w:pPr>
        <w:spacing w:after="80"/>
      </w:pPr>
      <w:r>
        <w:rPr>
          <w:b/>
          <w:color w:val="1F3864"/>
          <w:sz w:val="20"/>
        </w:rPr>
        <w:t xml:space="preserve">3.7  </w:t>
      </w:r>
      <w:r>
        <w:rPr>
          <w:sz w:val="20"/>
        </w:rPr>
        <w:t>account.move.line</w:t>
      </w:r>
    </w:p>
    <w:p>
      <w:pPr>
        <w:spacing w:after="80"/>
      </w:pPr>
      <w:r>
        <w:rPr>
          <w:b/>
          <w:color w:val="1F3864"/>
          <w:sz w:val="20"/>
        </w:rPr>
        <w:t xml:space="preserve">3.8  </w:t>
      </w:r>
      <w:r>
        <w:rPr>
          <w:sz w:val="20"/>
        </w:rPr>
        <w:t>monkey_patch.py</w:t>
      </w:r>
    </w:p>
    <w:p>
      <w:pPr>
        <w:spacing w:after="80"/>
      </w:pPr>
      <w:r>
        <w:rPr>
          <w:b/>
          <w:color w:val="1F3864"/>
          <w:sz w:val="20"/>
        </w:rPr>
        <w:t xml:space="preserve">4.  </w:t>
      </w:r>
      <w:r>
        <w:rPr>
          <w:sz w:val="20"/>
        </w:rPr>
        <w:t>Wizards (Modelos Transitorios)</w:t>
      </w:r>
    </w:p>
    <w:p>
      <w:pPr>
        <w:spacing w:after="80"/>
      </w:pPr>
      <w:r>
        <w:rPr>
          <w:b/>
          <w:color w:val="1F3864"/>
          <w:sz w:val="20"/>
        </w:rPr>
        <w:t xml:space="preserve">5.  </w:t>
      </w:r>
      <w:r>
        <w:rPr>
          <w:sz w:val="20"/>
        </w:rPr>
        <w:t>Seguridad y Control de Acceso</w:t>
      </w:r>
    </w:p>
    <w:p>
      <w:pPr>
        <w:spacing w:after="80"/>
      </w:pPr>
      <w:r>
        <w:rPr>
          <w:b/>
          <w:color w:val="1F3864"/>
          <w:sz w:val="20"/>
        </w:rPr>
        <w:t xml:space="preserve">6.  </w:t>
      </w:r>
      <w:r>
        <w:rPr>
          <w:sz w:val="20"/>
        </w:rPr>
        <w:t>Datos Maestros</w:t>
      </w:r>
    </w:p>
    <w:p>
      <w:pPr>
        <w:spacing w:after="80"/>
      </w:pPr>
      <w:r>
        <w:rPr>
          <w:b/>
          <w:color w:val="1F3864"/>
          <w:sz w:val="20"/>
        </w:rPr>
        <w:t xml:space="preserve">7.  </w:t>
      </w:r>
      <w:r>
        <w:rPr>
          <w:sz w:val="20"/>
        </w:rPr>
        <w:t>Reglas de Negocio Críticas</w:t>
      </w:r>
    </w:p>
    <w:p>
      <w:pPr>
        <w:spacing w:after="80"/>
      </w:pPr>
      <w:r>
        <w:rPr>
          <w:b/>
          <w:color w:val="1F3864"/>
          <w:sz w:val="20"/>
        </w:rPr>
        <w:t xml:space="preserve">8.  </w:t>
      </w:r>
      <w:r>
        <w:rPr>
          <w:sz w:val="20"/>
        </w:rPr>
        <w:t>Índices y Restricciones de Base de Datos</w:t>
      </w:r>
    </w:p>
    <w:p>
      <w:pPr>
        <w:spacing w:after="80"/>
      </w:pPr>
      <w:r>
        <w:rPr>
          <w:b/>
          <w:color w:val="1F3864"/>
          <w:sz w:val="20"/>
        </w:rPr>
        <w:t xml:space="preserve">9.  </w:t>
      </w:r>
      <w:r>
        <w:rPr>
          <w:sz w:val="20"/>
        </w:rPr>
        <w:t>Pruebas Unitarias</w:t>
      </w:r>
    </w:p>
    <w:p>
      <w:pPr>
        <w:spacing w:after="80"/>
      </w:pPr>
      <w:r>
        <w:rPr>
          <w:b/>
          <w:color w:val="1F3864"/>
          <w:sz w:val="20"/>
        </w:rPr>
        <w:t xml:space="preserve">10.  </w:t>
      </w:r>
      <w:r>
        <w:rPr>
          <w:sz w:val="20"/>
        </w:rPr>
        <w:t>Configuración del Entorno de Desarrollo</w:t>
      </w:r>
    </w:p>
    <w:p>
      <w:pPr>
        <w:spacing w:after="80"/>
      </w:pPr>
      <w:r>
        <w:rPr>
          <w:b/>
          <w:color w:val="1F3864"/>
          <w:sz w:val="20"/>
        </w:rPr>
        <w:t xml:space="preserve">11.  </w:t>
      </w:r>
      <w:r>
        <w:rPr>
          <w:sz w:val="20"/>
        </w:rPr>
        <w:t>Variables de Contexto</w:t>
      </w:r>
    </w:p>
    <w:p>
      <w:pPr>
        <w:spacing w:after="80"/>
      </w:pPr>
      <w:r>
        <w:rPr>
          <w:b/>
          <w:color w:val="1F3864"/>
          <w:sz w:val="20"/>
        </w:rPr>
        <w:t xml:space="preserve">12.  </w:t>
      </w:r>
      <w:r>
        <w:rPr>
          <w:sz w:val="20"/>
        </w:rPr>
        <w:t>Registro de Eventos y Depuración</w:t>
      </w:r>
    </w:p>
    <w:p/>
    <w:p>
      <w:r>
        <w:br w:type="page"/>
      </w:r>
    </w:p>
    <w:p>
      <w:pPr>
        <w:pStyle w:val="Heading1"/>
        <w:jc w:val="left"/>
      </w:pPr>
      <w:r>
        <w:t>1. Información General del Módulo</w:t>
      </w:r>
    </w:p>
    <w:p>
      <w:pPr>
        <w:pBdr>
          <w:bottom w:val="single" w:sz="6" w:space="1" w:color="1F3864"/>
        </w:pBdr>
      </w:pPr>
    </w:p>
    <w:p/>
    <w:p>
      <w:r>
        <w:rPr>
          <w:b w:val="0"/>
          <w:i w:val="0"/>
        </w:rPr>
        <w:t>El presente documento constituye la especificación técnica detallada del módulo l10n_do_accounting, desarrollado para la plataforma Odoo 19.0. Dicho módulo implementa la gestión íntegra de los Números de Comprobante Fiscal (NCF) y Comprobantes Fiscales Electrónicos (e-CF) requeridos por la Dirección General de Impuestos Internos (DGII) de la República Dominicana, conforme a la Norma 06-18.</w:t>
      </w:r>
    </w:p>
    <w:p/>
    <w:tbl>
      <w:tblPr>
        <w:tblStyle w:val="TableGrid"/>
        <w:tblW w:type="auto" w:w="0"/>
        <w:tblLook w:firstColumn="1" w:firstRow="1" w:lastColumn="0" w:lastRow="0" w:noHBand="0" w:noVBand="1" w:val="04A0"/>
      </w:tblPr>
      <w:tblGrid>
        <w:gridCol w:w="4561"/>
        <w:gridCol w:w="4561"/>
      </w:tblGrid>
      <w:tr>
        <w:tc>
          <w:tcPr>
            <w:tcW w:type="dxa" w:w="3402"/>
            <w:shd w:val="clear" w:color="auto" w:fill="1F3864"/>
          </w:tcPr>
          <w:p>
            <w:pPr>
              <w:jc w:val="center"/>
            </w:pPr>
            <w:r>
              <w:rPr>
                <w:b/>
                <w:color w:val="FFFFFF"/>
                <w:sz w:val="18"/>
              </w:rPr>
              <w:t>Atributo</w:t>
            </w:r>
          </w:p>
        </w:tc>
        <w:tc>
          <w:tcPr>
            <w:tcW w:type="dxa" w:w="5669"/>
            <w:shd w:val="clear" w:color="auto" w:fill="1F3864"/>
          </w:tcPr>
          <w:p>
            <w:pPr>
              <w:jc w:val="center"/>
            </w:pPr>
            <w:r>
              <w:rPr>
                <w:b/>
                <w:color w:val="FFFFFF"/>
                <w:sz w:val="18"/>
              </w:rPr>
              <w:t>Valor</w:t>
            </w:r>
          </w:p>
        </w:tc>
      </w:tr>
      <w:tr>
        <w:tc>
          <w:tcPr>
            <w:tcW w:type="dxa" w:w="3402"/>
            <w:shd w:val="clear" w:color="auto" w:fill="EBF0F8"/>
          </w:tcPr>
          <w:p>
            <w:r>
              <w:rPr>
                <w:sz w:val="18"/>
              </w:rPr>
              <w:t>Nombre técnico</w:t>
            </w:r>
          </w:p>
        </w:tc>
        <w:tc>
          <w:tcPr>
            <w:tcW w:type="dxa" w:w="5669"/>
            <w:shd w:val="clear" w:color="auto" w:fill="EBF0F8"/>
          </w:tcPr>
          <w:p>
            <w:r>
              <w:rPr>
                <w:sz w:val="18"/>
              </w:rPr>
              <w:t>l10n_do_accounting</w:t>
            </w:r>
          </w:p>
        </w:tc>
      </w:tr>
      <w:tr>
        <w:tc>
          <w:tcPr>
            <w:tcW w:type="dxa" w:w="3402"/>
            <w:shd w:val="clear" w:color="auto" w:fill="FFFFFF"/>
          </w:tcPr>
          <w:p>
            <w:r>
              <w:rPr>
                <w:sz w:val="18"/>
              </w:rPr>
              <w:t>Nombre descriptivo</w:t>
            </w:r>
          </w:p>
        </w:tc>
        <w:tc>
          <w:tcPr>
            <w:tcW w:type="dxa" w:w="5669"/>
            <w:shd w:val="clear" w:color="auto" w:fill="FFFFFF"/>
          </w:tcPr>
          <w:p>
            <w:r>
              <w:rPr>
                <w:sz w:val="18"/>
              </w:rPr>
              <w:t>Fiscal Accounting (Rep. Dominicana)</w:t>
            </w:r>
          </w:p>
        </w:tc>
      </w:tr>
      <w:tr>
        <w:tc>
          <w:tcPr>
            <w:tcW w:type="dxa" w:w="3402"/>
            <w:shd w:val="clear" w:color="auto" w:fill="EBF0F8"/>
          </w:tcPr>
          <w:p>
            <w:r>
              <w:rPr>
                <w:sz w:val="18"/>
              </w:rPr>
              <w:t>Versión del módulo</w:t>
            </w:r>
          </w:p>
        </w:tc>
        <w:tc>
          <w:tcPr>
            <w:tcW w:type="dxa" w:w="5669"/>
            <w:shd w:val="clear" w:color="auto" w:fill="EBF0F8"/>
          </w:tcPr>
          <w:p>
            <w:r>
              <w:rPr>
                <w:sz w:val="18"/>
              </w:rPr>
              <w:t>19.0.1.0.0</w:t>
            </w:r>
          </w:p>
        </w:tc>
      </w:tr>
      <w:tr>
        <w:tc>
          <w:tcPr>
            <w:tcW w:type="dxa" w:w="3402"/>
            <w:shd w:val="clear" w:color="auto" w:fill="FFFFFF"/>
          </w:tcPr>
          <w:p>
            <w:r>
              <w:rPr>
                <w:sz w:val="18"/>
              </w:rPr>
              <w:t>Autor del software</w:t>
            </w:r>
          </w:p>
        </w:tc>
        <w:tc>
          <w:tcPr>
            <w:tcW w:type="dxa" w:w="5669"/>
            <w:shd w:val="clear" w:color="auto" w:fill="FFFFFF"/>
          </w:tcPr>
          <w:p>
            <w:r>
              <w:rPr>
                <w:sz w:val="18"/>
              </w:rPr>
              <w:t>lfernandez</w:t>
            </w:r>
          </w:p>
        </w:tc>
      </w:tr>
      <w:tr>
        <w:tc>
          <w:tcPr>
            <w:tcW w:type="dxa" w:w="3402"/>
            <w:shd w:val="clear" w:color="auto" w:fill="EBF0F8"/>
          </w:tcPr>
          <w:p>
            <w:r>
              <w:rPr>
                <w:sz w:val="18"/>
              </w:rPr>
              <w:t>Elaboración de la documentación</w:t>
            </w:r>
          </w:p>
        </w:tc>
        <w:tc>
          <w:tcPr>
            <w:tcW w:type="dxa" w:w="5669"/>
            <w:shd w:val="clear" w:color="auto" w:fill="EBF0F8"/>
          </w:tcPr>
          <w:p>
            <w:r>
              <w:rPr>
                <w:sz w:val="18"/>
              </w:rPr>
              <w:t>Luis Alejandro Fernández Lluberes</w:t>
            </w:r>
          </w:p>
        </w:tc>
      </w:tr>
      <w:tr>
        <w:tc>
          <w:tcPr>
            <w:tcW w:type="dxa" w:w="3402"/>
            <w:shd w:val="clear" w:color="auto" w:fill="FFFFFF"/>
          </w:tcPr>
          <w:p>
            <w:r>
              <w:rPr>
                <w:sz w:val="18"/>
              </w:rPr>
              <w:t>Fecha de elaboración</w:t>
            </w:r>
          </w:p>
        </w:tc>
        <w:tc>
          <w:tcPr>
            <w:tcW w:type="dxa" w:w="5669"/>
            <w:shd w:val="clear" w:color="auto" w:fill="FFFFFF"/>
          </w:tcPr>
          <w:p>
            <w:r>
              <w:rPr>
                <w:sz w:val="18"/>
              </w:rPr>
              <w:t>Abril 2026</w:t>
            </w:r>
          </w:p>
        </w:tc>
      </w:tr>
      <w:tr>
        <w:tc>
          <w:tcPr>
            <w:tcW w:type="dxa" w:w="3402"/>
            <w:shd w:val="clear" w:color="auto" w:fill="EBF0F8"/>
          </w:tcPr>
          <w:p>
            <w:r>
              <w:rPr>
                <w:sz w:val="18"/>
              </w:rPr>
              <w:t>Categoría Odoo</w:t>
            </w:r>
          </w:p>
        </w:tc>
        <w:tc>
          <w:tcPr>
            <w:tcW w:type="dxa" w:w="5669"/>
            <w:shd w:val="clear" w:color="auto" w:fill="EBF0F8"/>
          </w:tcPr>
          <w:p>
            <w:r>
              <w:rPr>
                <w:sz w:val="18"/>
              </w:rPr>
              <w:t>Localization</w:t>
            </w:r>
          </w:p>
        </w:tc>
      </w:tr>
      <w:tr>
        <w:tc>
          <w:tcPr>
            <w:tcW w:type="dxa" w:w="3402"/>
            <w:shd w:val="clear" w:color="auto" w:fill="FFFFFF"/>
          </w:tcPr>
          <w:p>
            <w:r>
              <w:rPr>
                <w:sz w:val="18"/>
              </w:rPr>
              <w:t>País objetivo</w:t>
            </w:r>
          </w:p>
        </w:tc>
        <w:tc>
          <w:tcPr>
            <w:tcW w:type="dxa" w:w="5669"/>
            <w:shd w:val="clear" w:color="auto" w:fill="FFFFFF"/>
          </w:tcPr>
          <w:p>
            <w:r>
              <w:rPr>
                <w:sz w:val="18"/>
              </w:rPr>
              <w:t>República Dominicana (código ISO: DO)</w:t>
            </w:r>
          </w:p>
        </w:tc>
      </w:tr>
      <w:tr>
        <w:tc>
          <w:tcPr>
            <w:tcW w:type="dxa" w:w="3402"/>
            <w:shd w:val="clear" w:color="auto" w:fill="EBF0F8"/>
          </w:tcPr>
          <w:p>
            <w:r>
              <w:rPr>
                <w:sz w:val="18"/>
              </w:rPr>
              <w:t>Marco normativo</w:t>
            </w:r>
          </w:p>
        </w:tc>
        <w:tc>
          <w:tcPr>
            <w:tcW w:type="dxa" w:w="5669"/>
            <w:shd w:val="clear" w:color="auto" w:fill="EBF0F8"/>
          </w:tcPr>
          <w:p>
            <w:r>
              <w:rPr>
                <w:sz w:val="18"/>
              </w:rPr>
              <w:t>DGII Norma 06-18</w:t>
            </w:r>
          </w:p>
        </w:tc>
      </w:tr>
      <w:tr>
        <w:tc>
          <w:tcPr>
            <w:tcW w:type="dxa" w:w="3402"/>
            <w:shd w:val="clear" w:color="auto" w:fill="FFFFFF"/>
          </w:tcPr>
          <w:p>
            <w:r>
              <w:rPr>
                <w:sz w:val="18"/>
              </w:rPr>
              <w:t>Estado de instalación</w:t>
            </w:r>
          </w:p>
        </w:tc>
        <w:tc>
          <w:tcPr>
            <w:tcW w:type="dxa" w:w="5669"/>
            <w:shd w:val="clear" w:color="auto" w:fill="FFFFFF"/>
          </w:tcPr>
          <w:p>
            <w:r>
              <w:rPr>
                <w:sz w:val="18"/>
              </w:rPr>
              <w:t>installable=True  |  auto_install=False</w:t>
            </w:r>
          </w:p>
        </w:tc>
      </w:tr>
      <w:tr>
        <w:tc>
          <w:tcPr>
            <w:tcW w:type="dxa" w:w="3402"/>
            <w:shd w:val="clear" w:color="auto" w:fill="EBF0F8"/>
          </w:tcPr>
          <w:p>
            <w:r>
              <w:rPr>
                <w:sz w:val="18"/>
              </w:rPr>
              <w:t>Licencia</w:t>
            </w:r>
          </w:p>
        </w:tc>
        <w:tc>
          <w:tcPr>
            <w:tcW w:type="dxa" w:w="5669"/>
            <w:shd w:val="clear" w:color="auto" w:fill="EBF0F8"/>
          </w:tcPr>
          <w:p>
            <w:r>
              <w:rPr>
                <w:sz w:val="18"/>
              </w:rPr>
              <w:t>LGPL-3</w:t>
            </w:r>
          </w:p>
        </w:tc>
      </w:tr>
    </w:tbl>
    <w:p/>
    <w:p>
      <w:pPr>
        <w:pStyle w:val="Heading2"/>
        <w:jc w:val="left"/>
      </w:pPr>
      <w:r>
        <w:t>1.1 Dependencias del Módulo</w:t>
      </w:r>
    </w:p>
    <w:p>
      <w:r>
        <w:rPr>
          <w:b w:val="0"/>
          <w:i w:val="0"/>
        </w:rPr>
        <w:t>El módulo declara las siguientes dependencias directas en su archivo __manifest__.py. Odoo las instalará de forma automática durante el proceso de instalación.</w:t>
      </w:r>
    </w:p>
    <w:tbl>
      <w:tblPr>
        <w:tblStyle w:val="TableGrid"/>
        <w:tblW w:type="auto" w:w="0"/>
        <w:tblLook w:firstColumn="1" w:firstRow="1" w:lastColumn="0" w:lastRow="0" w:noHBand="0" w:noVBand="1" w:val="04A0"/>
      </w:tblPr>
      <w:tblGrid>
        <w:gridCol w:w="4561"/>
        <w:gridCol w:w="4561"/>
      </w:tblGrid>
      <w:tr>
        <w:tc>
          <w:tcPr>
            <w:tcW w:type="dxa" w:w="2835"/>
            <w:shd w:val="clear" w:color="auto" w:fill="1F3864"/>
          </w:tcPr>
          <w:p>
            <w:pPr>
              <w:jc w:val="center"/>
            </w:pPr>
            <w:r>
              <w:rPr>
                <w:b/>
                <w:color w:val="FFFFFF"/>
                <w:sz w:val="18"/>
              </w:rPr>
              <w:t>Módulo dependencia</w:t>
            </w:r>
          </w:p>
        </w:tc>
        <w:tc>
          <w:tcPr>
            <w:tcW w:type="dxa" w:w="6236"/>
            <w:shd w:val="clear" w:color="auto" w:fill="1F3864"/>
          </w:tcPr>
          <w:p>
            <w:pPr>
              <w:jc w:val="center"/>
            </w:pPr>
            <w:r>
              <w:rPr>
                <w:b/>
                <w:color w:val="FFFFFF"/>
                <w:sz w:val="18"/>
              </w:rPr>
              <w:t>Descripción</w:t>
            </w:r>
          </w:p>
        </w:tc>
      </w:tr>
      <w:tr>
        <w:tc>
          <w:tcPr>
            <w:tcW w:type="dxa" w:w="2835"/>
            <w:shd w:val="clear" w:color="auto" w:fill="EBF0F8"/>
          </w:tcPr>
          <w:p>
            <w:r>
              <w:rPr>
                <w:sz w:val="18"/>
              </w:rPr>
              <w:t>l10n_latam_invoice_document</w:t>
            </w:r>
          </w:p>
        </w:tc>
        <w:tc>
          <w:tcPr>
            <w:tcW w:type="dxa" w:w="6236"/>
            <w:shd w:val="clear" w:color="auto" w:fill="EBF0F8"/>
          </w:tcPr>
          <w:p>
            <w:r>
              <w:rPr>
                <w:sz w:val="18"/>
              </w:rPr>
              <w:t>Framework base para documentos fiscales en Latinoamérica. Provee los modelos l10n_latam.document.type y la lógica de selección de tipo de documento en facturas.</w:t>
            </w:r>
          </w:p>
        </w:tc>
      </w:tr>
      <w:tr>
        <w:tc>
          <w:tcPr>
            <w:tcW w:type="dxa" w:w="2835"/>
            <w:shd w:val="clear" w:color="auto" w:fill="FFFFFF"/>
          </w:tcPr>
          <w:p>
            <w:r>
              <w:rPr>
                <w:sz w:val="18"/>
              </w:rPr>
              <w:t>l10n_do</w:t>
            </w:r>
          </w:p>
        </w:tc>
        <w:tc>
          <w:tcPr>
            <w:tcW w:type="dxa" w:w="6236"/>
            <w:shd w:val="clear" w:color="auto" w:fill="FFFFFF"/>
          </w:tcPr>
          <w:p>
            <w:r>
              <w:rPr>
                <w:sz w:val="18"/>
              </w:rPr>
              <w:t>Localización base de la República Dominicana provista por Odoo. Incluye el plan de cuentas (NIIF), impuestos ITBIS e ISR y configuración de país.</w:t>
            </w:r>
          </w:p>
        </w:tc>
      </w:tr>
    </w:tbl>
    <w:p/>
    <w:p>
      <w:pPr>
        <w:pStyle w:val="Heading2"/>
        <w:jc w:val="left"/>
      </w:pPr>
      <w:r>
        <w:t>1.2 Resumen Funcional</w:t>
      </w:r>
    </w:p>
    <w:p>
      <w:r>
        <w:rPr>
          <w:b w:val="0"/>
          <w:i w:val="0"/>
        </w:rPr>
        <w:t>El módulo provee las siguientes capacidades funcionales principales:</w:t>
      </w:r>
    </w:p>
    <w:p>
      <w:pPr>
        <w:pStyle w:val="ListBullet"/>
        <w:ind w:left="283"/>
      </w:pPr>
      <w:r>
        <w:t>Gestión de lotes de comprobantes fiscales autorizados por la DGII (NCF tradicionales y e-CF electrónicos).</w:t>
      </w:r>
    </w:p>
    <w:p>
      <w:pPr>
        <w:pStyle w:val="ListBullet"/>
        <w:ind w:left="283"/>
      </w:pPr>
      <w:r>
        <w:t>Asignación automática y secuencial de números de comprobante al confirmar facturas de venta.</w:t>
      </w:r>
    </w:p>
    <w:p>
      <w:pPr>
        <w:pStyle w:val="ListBullet"/>
        <w:ind w:left="283"/>
      </w:pPr>
      <w:r>
        <w:t>Ingreso manual de comprobantes en facturas de compra de proveedores con RNC.</w:t>
      </w:r>
    </w:p>
    <w:p>
      <w:pPr>
        <w:pStyle w:val="ListBullet"/>
        <w:ind w:left="283"/>
      </w:pPr>
      <w:r>
        <w:t>Clasificación automática de contribuyentes y filtrado dinámico de tipos de documento.</w:t>
      </w:r>
    </w:p>
    <w:p>
      <w:pPr>
        <w:pStyle w:val="ListBullet"/>
        <w:ind w:left="283"/>
      </w:pPr>
      <w:r>
        <w:t>Soporte completo para notas de crédito y débito fiscales con tipos parciales.</w:t>
      </w:r>
    </w:p>
    <w:p>
      <w:pPr>
        <w:pStyle w:val="ListBullet"/>
        <w:ind w:left="283"/>
      </w:pPr>
      <w:r>
        <w:t>Generación del sello electrónico (código QR) para comprobantes e-CF.</w:t>
      </w:r>
    </w:p>
    <w:p>
      <w:pPr>
        <w:pStyle w:val="ListBullet"/>
        <w:ind w:left="283"/>
      </w:pPr>
      <w:r>
        <w:t>Control de acceso granular por grupo de usuarios para operaciones fiscales sensibles.</w:t>
      </w:r>
    </w:p>
    <w:p>
      <w:pPr>
        <w:pStyle w:val="ListBullet"/>
        <w:ind w:left="283"/>
      </w:pPr>
      <w:r>
        <w:t>Reportes de factura con todos los campos requeridos por la normativa DGII.</w:t>
      </w:r>
    </w:p>
    <w:p>
      <w:pPr>
        <w:pStyle w:val="ListBullet"/>
      </w:pPr>
      <w:r>
        <w:t>Prevención de duplicados: constraint ORM que impide emitir el mismo NCF en dos facturas de venta activas de la misma compañía.</w:t>
      </w:r>
    </w:p>
    <w:p>
      <w:pPr>
        <w:pStyle w:val="Heading1"/>
        <w:jc w:val="left"/>
      </w:pPr>
      <w:r>
        <w:t>2. Estructura de Directorios</w:t>
      </w:r>
    </w:p>
    <w:p>
      <w:pPr>
        <w:pBdr>
          <w:bottom w:val="single" w:sz="6" w:space="1" w:color="1F3864"/>
        </w:pBdr>
      </w:pPr>
    </w:p>
    <w:p/>
    <w:p>
      <w:r>
        <w:rPr>
          <w:b w:val="0"/>
          <w:i w:val="0"/>
        </w:rPr>
        <w:t>A continuación se presenta el árbol de directorios completo del módulo, con una descripción funcional de cada componente.</w:t>
      </w:r>
    </w:p>
    <w:p/>
    <w:p>
      <w:pPr>
        <w:spacing w:before="40" w:after="40"/>
        <w:ind w:left="680"/>
      </w:pPr>
      <w:r>
        <w:rPr>
          <w:rFonts w:ascii="Courier New" w:hAnsi="Courier New"/>
          <w:color w:val="1A1A8C"/>
          <w:sz w:val="18"/>
        </w:rPr>
        <w:t>l10n_do_accounting/</w:t>
        <w:br/>
        <w:t>├── __init__.py                          Inicialización del paquete Python</w:t>
        <w:br/>
        <w:t>├── __manifest__.py                      Metadatos, dependencias y archivos del módulo</w:t>
        <w:br/>
        <w:t>├── README.md                            Documentación técnica en formato Markdown</w:t>
        <w:br/>
        <w:t>│</w:t>
        <w:br/>
        <w:t>├── models/                              Lógica de negocio — modelos ORM</w:t>
        <w:br/>
        <w:t>│   ├── __init__.py</w:t>
        <w:br/>
        <w:t>│   ├── res_partner.py                   Extensión del contacto (tipo contribuyente, tipo gasto)</w:t>
        <w:br/>
        <w:t>│   ├── res_company.py                   Extensión de compañía (configuración e-CF)</w:t>
        <w:br/>
        <w:t>│   ├── l10n_latam_document_type.py      Tipos de documento y validación de formato NCF</w:t>
        <w:br/>
        <w:t>│   ├── account_journal.py               Diarios contables y gestión de tipos de documento</w:t>
        <w:br/>
        <w:t>│   ├── ncf_batch.py                     Modelo de lotes de secuencias fiscales</w:t>
        <w:br/>
        <w:t>│   ├── account_move.py                  Facturas extendidas con numeración fiscal</w:t>
        <w:br/>
        <w:t>│   ├── account_move_line.py             Líneas de factura con cálculo ITBIS/ISR</w:t>
        <w:br/>
        <w:t>│   └── monkey_patch.py                  Parches en tiempo de ejecución sobre núcleo Odoo</w:t>
        <w:br/>
        <w:t>│</w:t>
        <w:br/>
        <w:t>├── wizard/                              Modelos transitorios (diálogos de usuario)</w:t>
        <w:br/>
        <w:t>│   ├── __init__.py</w:t>
        <w:br/>
        <w:t>│   ├── account_move_cancel.py           Wizard de cancelación con tipo de anulación DGII</w:t>
        <w:br/>
        <w:t>│   ├── account_move_reversal.py         Wizard de nota de crédito (total/porcentaje/monto)</w:t>
        <w:br/>
        <w:t>│   ├── account_debit_note.py            Wizard de nota de débito fiscal</w:t>
        <w:br/>
        <w:t>│   └── account_resequence.py            Bloqueo de re-secuenciación para facturas fiscales</w:t>
        <w:br/>
        <w:t>│</w:t>
        <w:br/>
        <w:t>├── views/                               Definiciones XML de vistas e interfaz de usuario</w:t>
        <w:br/>
        <w:t>│   ├── account_dgii_menuitem.xml        Estructura del menú DGII</w:t>
        <w:br/>
        <w:t>│   ├── account_move_views.xml           Vistas de facturas con campos fiscales</w:t>
        <w:br/>
        <w:t>│   ├── account_journal_views.xml        Vistas de diarios con tipos de documento</w:t>
        <w:br/>
        <w:t>│   ├── ncf_batch_views.xml              Vistas de lotes NCF (lista y formulario)</w:t>
        <w:br/>
        <w:t>│   ├── l10n_latam_document_type_views.xml Vistas de tipos de documento</w:t>
        <w:br/>
        <w:t>│   ├── res_partner_views.xml            Vistas de contactos con campos fiscales</w:t>
        <w:br/>
        <w:t>│   ├── res_company_views.xml            Vistas de compañía con configuración e-CF</w:t>
        <w:br/>
        <w:t>│   ├── res_config_settings_view.xml     Panel de configuración del módulo</w:t>
        <w:br/>
        <w:t>│   ├── report_templates.xml             Plantillas de reporte</w:t>
        <w:br/>
        <w:t>│   └── report_invoice.xml               Reporte de factura fiscal dominicana</w:t>
        <w:br/>
        <w:t>│</w:t>
        <w:br/>
        <w:t>├── security/                            Control de acceso</w:t>
        <w:br/>
        <w:t>│   ├── ir.model.access.csv              Permisos de acceso por modelo y grupo</w:t>
        <w:br/>
        <w:t>│   └── res_groups.xml                   Definición de grupos de seguridad</w:t>
        <w:br/>
        <w:t>│</w:t>
        <w:br/>
        <w:t>├── data/                                Datos maestros cargados en instalación</w:t>
        <w:br/>
        <w:t>│   └── l10n_latam.document.type.csv     22 tipos de documento fiscales pre-configurados</w:t>
        <w:br/>
        <w:t>│</w:t>
        <w:br/>
        <w:t>├── demo/                                Datos de demostración</w:t>
        <w:br/>
        <w:t>│   └── res_partner_demo.xml             Contactos de ejemplo por tipo de contribuyente</w:t>
        <w:br/>
        <w:t>│</w:t>
        <w:br/>
        <w:t>├── tests/                               Suite de pruebas automatizadas</w:t>
        <w:br/>
        <w:t>│   ├── __init__.py</w:t>
        <w:br/>
        <w:t>│   ├── common.py                        Clase base con fixtures y helpers de prueba</w:t>
        <w:br/>
        <w:t>│   ├── test_account_journal.py          Pruebas sobre el modelo account.journal</w:t>
        <w:br/>
        <w:t>│   └── test_account_move.py             Pruebas sobre el modelo account.move (20 casos)</w:t>
        <w:br/>
        <w:t>│</w:t>
        <w:br/>
        <w:t>└── static/description/</w:t>
        <w:br/>
        <w:t xml:space="preserve">    └── icon.png                         Ícono del módulo (2.5 KB)</w:t>
      </w:r>
    </w:p>
    <w:p>
      <w:pPr>
        <w:pStyle w:val="Heading1"/>
        <w:jc w:val="left"/>
      </w:pPr>
      <w:r>
        <w:t>3. Modelos Principales</w:t>
      </w:r>
    </w:p>
    <w:p>
      <w:pPr>
        <w:pBdr>
          <w:bottom w:val="single" w:sz="6" w:space="1" w:color="1F3864"/>
        </w:pBdr>
      </w:pPr>
    </w:p>
    <w:p/>
    <w:p>
      <w:r>
        <w:rPr>
          <w:b w:val="0"/>
          <w:i w:val="0"/>
        </w:rPr>
        <w:t>Esta sección describe en detalle cada modelo ORM del módulo, sus campos, métodos y la lógica de negocio asociada.</w:t>
      </w:r>
    </w:p>
    <w:p>
      <w:pPr>
        <w:pStyle w:val="Heading2"/>
        <w:jc w:val="left"/>
      </w:pPr>
      <w:r>
        <w:t>3.1 res.partner  —  res_partner.py</w:t>
      </w:r>
    </w:p>
    <w:p>
      <w:r>
        <w:rPr>
          <w:b w:val="0"/>
          <w:i w:val="0"/>
        </w:rPr>
        <w:t>Extiende el modelo base de contactos con campos de clasificación fiscal requeridos por la DGII para la emisión y recepción de comprobantes.</w:t>
      </w:r>
    </w:p>
    <w:p>
      <w:r>
        <w:rPr>
          <w:b/>
          <w:i w:val="0"/>
        </w:rPr>
        <w:t>Campos adicionales:</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984"/>
            <w:shd w:val="clear" w:color="auto" w:fill="1F3864"/>
          </w:tcPr>
          <w:p>
            <w:pPr>
              <w:jc w:val="center"/>
            </w:pPr>
            <w:r>
              <w:rPr>
                <w:b/>
                <w:color w:val="FFFFFF"/>
                <w:sz w:val="18"/>
              </w:rPr>
              <w:t>Tipo ORM</w:t>
            </w:r>
          </w:p>
        </w:tc>
        <w:tc>
          <w:tcPr>
            <w:tcW w:type="dxa" w:w="4252"/>
            <w:shd w:val="clear" w:color="auto" w:fill="1F3864"/>
          </w:tcPr>
          <w:p>
            <w:pPr>
              <w:jc w:val="center"/>
            </w:pPr>
            <w:r>
              <w:rPr>
                <w:b/>
                <w:color w:val="FFFFFF"/>
                <w:sz w:val="18"/>
              </w:rPr>
              <w:t>Descripción</w:t>
            </w:r>
          </w:p>
        </w:tc>
      </w:tr>
      <w:tr>
        <w:tc>
          <w:tcPr>
            <w:tcW w:type="dxa" w:w="2835"/>
            <w:shd w:val="clear" w:color="auto" w:fill="EBF0F8"/>
          </w:tcPr>
          <w:p>
            <w:r>
              <w:rPr>
                <w:sz w:val="18"/>
              </w:rPr>
              <w:t>l10n_do_dgii_tax_payer_type</w:t>
            </w:r>
          </w:p>
        </w:tc>
        <w:tc>
          <w:tcPr>
            <w:tcW w:type="dxa" w:w="1984"/>
            <w:shd w:val="clear" w:color="auto" w:fill="EBF0F8"/>
          </w:tcPr>
          <w:p>
            <w:r>
              <w:rPr>
                <w:sz w:val="18"/>
              </w:rPr>
              <w:t>Selection</w:t>
              <w:br/>
              <w:t>(computed, invertible)</w:t>
            </w:r>
          </w:p>
        </w:tc>
        <w:tc>
          <w:tcPr>
            <w:tcW w:type="dxa" w:w="4252"/>
            <w:shd w:val="clear" w:color="auto" w:fill="EBF0F8"/>
          </w:tcPr>
          <w:p>
            <w:r>
              <w:rPr>
                <w:sz w:val="18"/>
              </w:rPr>
              <w:t>Tipo de contribuyente DGII.</w:t>
              <w:br/>
              <w:t>Valores: taxpayer | non_payer | nonprofit | special | governmental | foreigner</w:t>
            </w:r>
          </w:p>
        </w:tc>
      </w:tr>
      <w:tr>
        <w:tc>
          <w:tcPr>
            <w:tcW w:type="dxa" w:w="2835"/>
            <w:shd w:val="clear" w:color="auto" w:fill="FFFFFF"/>
          </w:tcPr>
          <w:p>
            <w:r>
              <w:rPr>
                <w:sz w:val="18"/>
              </w:rPr>
              <w:t>l10n_do_expense_type</w:t>
            </w:r>
          </w:p>
        </w:tc>
        <w:tc>
          <w:tcPr>
            <w:tcW w:type="dxa" w:w="1984"/>
            <w:shd w:val="clear" w:color="auto" w:fill="FFFFFF"/>
          </w:tcPr>
          <w:p>
            <w:r>
              <w:rPr>
                <w:sz w:val="18"/>
              </w:rPr>
              <w:t>Selection</w:t>
            </w:r>
          </w:p>
        </w:tc>
        <w:tc>
          <w:tcPr>
            <w:tcW w:type="dxa" w:w="4252"/>
            <w:shd w:val="clear" w:color="auto" w:fill="FFFFFF"/>
          </w:tcPr>
          <w:p>
            <w:r>
              <w:rPr>
                <w:sz w:val="18"/>
              </w:rPr>
              <w:t>Clasificación de costo/gasto (11 opciones). Se hereda automáticamente a las facturas de compra del proveedor.</w:t>
            </w:r>
          </w:p>
        </w:tc>
      </w:tr>
      <w:tr>
        <w:tc>
          <w:tcPr>
            <w:tcW w:type="dxa" w:w="2835"/>
            <w:shd w:val="clear" w:color="auto" w:fill="EBF0F8"/>
          </w:tcPr>
          <w:p>
            <w:r>
              <w:rPr>
                <w:sz w:val="18"/>
              </w:rPr>
              <w:t>country_id</w:t>
            </w:r>
          </w:p>
        </w:tc>
        <w:tc>
          <w:tcPr>
            <w:tcW w:type="dxa" w:w="1984"/>
            <w:shd w:val="clear" w:color="auto" w:fill="EBF0F8"/>
          </w:tcPr>
          <w:p>
            <w:r>
              <w:rPr>
                <w:sz w:val="18"/>
              </w:rPr>
              <w:t>Many2one → res.country</w:t>
            </w:r>
          </w:p>
        </w:tc>
        <w:tc>
          <w:tcPr>
            <w:tcW w:type="dxa" w:w="4252"/>
            <w:shd w:val="clear" w:color="auto" w:fill="EBF0F8"/>
          </w:tcPr>
          <w:p>
            <w:r>
              <w:rPr>
                <w:sz w:val="18"/>
              </w:rPr>
              <w:t>El valor por defecto es República Dominicana para compañías con país DO.</w:t>
            </w:r>
          </w:p>
        </w:tc>
      </w:tr>
    </w:tbl>
    <w:p/>
    <w:p>
      <w:r>
        <w:rPr>
          <w:b/>
          <w:i w:val="0"/>
        </w:rPr>
        <w:t>Lógica de detección automática del tipo de contribuyente:</w:t>
      </w:r>
    </w:p>
    <w:tbl>
      <w:tblPr>
        <w:tblStyle w:val="TableGrid"/>
        <w:tblW w:type="auto" w:w="0"/>
        <w:tblLook w:firstColumn="1" w:firstRow="1" w:lastColumn="0" w:lastRow="0" w:noHBand="0" w:noVBand="1" w:val="04A0"/>
      </w:tblPr>
      <w:tblGrid>
        <w:gridCol w:w="4561"/>
        <w:gridCol w:w="4561"/>
      </w:tblGrid>
      <w:tr>
        <w:tc>
          <w:tcPr>
            <w:tcW w:type="dxa" w:w="1984"/>
            <w:shd w:val="clear" w:color="auto" w:fill="1F3864"/>
          </w:tcPr>
          <w:p>
            <w:pPr>
              <w:jc w:val="center"/>
            </w:pPr>
            <w:r>
              <w:rPr>
                <w:b/>
                <w:color w:val="FFFFFF"/>
                <w:sz w:val="18"/>
              </w:rPr>
              <w:t>Tipo</w:t>
            </w:r>
          </w:p>
        </w:tc>
        <w:tc>
          <w:tcPr>
            <w:tcW w:type="dxa" w:w="7087"/>
            <w:shd w:val="clear" w:color="auto" w:fill="1F3864"/>
          </w:tcPr>
          <w:p>
            <w:pPr>
              <w:jc w:val="center"/>
            </w:pPr>
            <w:r>
              <w:rPr>
                <w:b/>
                <w:color w:val="FFFFFF"/>
                <w:sz w:val="18"/>
              </w:rPr>
              <w:t>Criterio de detección</w:t>
            </w:r>
          </w:p>
        </w:tc>
      </w:tr>
      <w:tr>
        <w:tc>
          <w:tcPr>
            <w:tcW w:type="dxa" w:w="1984"/>
            <w:shd w:val="clear" w:color="auto" w:fill="EBF0F8"/>
          </w:tcPr>
          <w:p>
            <w:r>
              <w:rPr>
                <w:sz w:val="18"/>
              </w:rPr>
              <w:t>taxpayer</w:t>
            </w:r>
          </w:p>
        </w:tc>
        <w:tc>
          <w:tcPr>
            <w:tcW w:type="dxa" w:w="7087"/>
            <w:shd w:val="clear" w:color="auto" w:fill="EBF0F8"/>
          </w:tcPr>
          <w:p>
            <w:r>
              <w:rPr>
                <w:sz w:val="18"/>
              </w:rPr>
              <w:t>VAT numérico de 9 dígitos, país DO, nombre sin "ZONA FRANCA" ni "IGLESIA", sin prefijo de Ministerio</w:t>
            </w:r>
          </w:p>
        </w:tc>
      </w:tr>
      <w:tr>
        <w:tc>
          <w:tcPr>
            <w:tcW w:type="dxa" w:w="1984"/>
            <w:shd w:val="clear" w:color="auto" w:fill="FFFFFF"/>
          </w:tcPr>
          <w:p>
            <w:r>
              <w:rPr>
                <w:sz w:val="18"/>
              </w:rPr>
              <w:t>non_payer</w:t>
            </w:r>
          </w:p>
        </w:tc>
        <w:tc>
          <w:tcPr>
            <w:tcW w:type="dxa" w:w="7087"/>
            <w:shd w:val="clear" w:color="auto" w:fill="FFFFFF"/>
          </w:tcPr>
          <w:p>
            <w:r>
              <w:rPr>
                <w:sz w:val="18"/>
              </w:rPr>
              <w:t>VAT numérico de 11 dígitos (cédula) o VAT no numérico, país DO</w:t>
            </w:r>
          </w:p>
        </w:tc>
      </w:tr>
      <w:tr>
        <w:tc>
          <w:tcPr>
            <w:tcW w:type="dxa" w:w="1984"/>
            <w:shd w:val="clear" w:color="auto" w:fill="EBF0F8"/>
          </w:tcPr>
          <w:p>
            <w:r>
              <w:rPr>
                <w:sz w:val="18"/>
              </w:rPr>
              <w:t>nonprofit</w:t>
            </w:r>
          </w:p>
        </w:tc>
        <w:tc>
          <w:tcPr>
            <w:tcW w:type="dxa" w:w="7087"/>
            <w:shd w:val="clear" w:color="auto" w:fill="EBF0F8"/>
          </w:tcPr>
          <w:p>
            <w:r>
              <w:rPr>
                <w:sz w:val="18"/>
              </w:rPr>
              <w:t>VAT de 9 dígitos que comienza con el dígito 4, país DO</w:t>
            </w:r>
          </w:p>
        </w:tc>
      </w:tr>
      <w:tr>
        <w:tc>
          <w:tcPr>
            <w:tcW w:type="dxa" w:w="1984"/>
            <w:shd w:val="clear" w:color="auto" w:fill="FFFFFF"/>
          </w:tcPr>
          <w:p>
            <w:r>
              <w:rPr>
                <w:sz w:val="18"/>
              </w:rPr>
              <w:t>special</w:t>
            </w:r>
          </w:p>
        </w:tc>
        <w:tc>
          <w:tcPr>
            <w:tcW w:type="dxa" w:w="7087"/>
            <w:shd w:val="clear" w:color="auto" w:fill="FFFFFF"/>
          </w:tcPr>
          <w:p>
            <w:r>
              <w:rPr>
                <w:sz w:val="18"/>
              </w:rPr>
              <w:t>Nombre contiene "ZONA FRANCA" o "IGLESIA" (case-insensitive), país DO</w:t>
            </w:r>
          </w:p>
        </w:tc>
      </w:tr>
      <w:tr>
        <w:tc>
          <w:tcPr>
            <w:tcW w:type="dxa" w:w="1984"/>
            <w:shd w:val="clear" w:color="auto" w:fill="EBF0F8"/>
          </w:tcPr>
          <w:p>
            <w:r>
              <w:rPr>
                <w:sz w:val="18"/>
              </w:rPr>
              <w:t>governmental</w:t>
            </w:r>
          </w:p>
        </w:tc>
        <w:tc>
          <w:tcPr>
            <w:tcW w:type="dxa" w:w="7087"/>
            <w:shd w:val="clear" w:color="auto" w:fill="EBF0F8"/>
          </w:tcPr>
          <w:p>
            <w:r>
              <w:rPr>
                <w:sz w:val="18"/>
              </w:rPr>
              <w:t>Nombre contiene "MINISTERIO" y VAT no inicia con 4, país DO</w:t>
            </w:r>
          </w:p>
        </w:tc>
      </w:tr>
      <w:tr>
        <w:tc>
          <w:tcPr>
            <w:tcW w:type="dxa" w:w="1984"/>
            <w:shd w:val="clear" w:color="auto" w:fill="FFFFFF"/>
          </w:tcPr>
          <w:p>
            <w:r>
              <w:rPr>
                <w:sz w:val="18"/>
              </w:rPr>
              <w:t>foreigner</w:t>
            </w:r>
          </w:p>
        </w:tc>
        <w:tc>
          <w:tcPr>
            <w:tcW w:type="dxa" w:w="7087"/>
            <w:shd w:val="clear" w:color="auto" w:fill="FFFFFF"/>
          </w:tcPr>
          <w:p>
            <w:r>
              <w:rPr>
                <w:sz w:val="18"/>
              </w:rPr>
              <w:t>País distinto a República Dominicana</w:t>
            </w:r>
          </w:p>
        </w:tc>
      </w:tr>
    </w:tbl>
    <w:p/>
    <w:p>
      <w:r>
        <w:rPr>
          <w:b/>
          <w:i w:val="0"/>
        </w:rPr>
        <w:t>Métodos clave:</w:t>
      </w:r>
    </w:p>
    <w:tbl>
      <w:tblPr>
        <w:tblStyle w:val="TableGrid"/>
        <w:tblW w:type="auto" w:w="0"/>
        <w:tblLook w:firstColumn="1" w:firstRow="1" w:lastColumn="0" w:lastRow="0" w:noHBand="0" w:noVBand="1" w:val="04A0"/>
      </w:tblPr>
      <w:tblGrid>
        <w:gridCol w:w="4561"/>
        <w:gridCol w:w="4561"/>
      </w:tblGrid>
      <w:tr>
        <w:tc>
          <w:tcPr>
            <w:tcW w:type="dxa" w:w="3402"/>
            <w:shd w:val="clear" w:color="auto" w:fill="1F3864"/>
          </w:tcPr>
          <w:p>
            <w:pPr>
              <w:jc w:val="center"/>
            </w:pPr>
            <w:r>
              <w:rPr>
                <w:b/>
                <w:color w:val="FFFFFF"/>
                <w:sz w:val="18"/>
              </w:rPr>
              <w:t>Método</w:t>
            </w:r>
          </w:p>
        </w:tc>
        <w:tc>
          <w:tcPr>
            <w:tcW w:type="dxa" w:w="5669"/>
            <w:shd w:val="clear" w:color="auto" w:fill="1F3864"/>
          </w:tcPr>
          <w:p>
            <w:pPr>
              <w:jc w:val="center"/>
            </w:pPr>
            <w:r>
              <w:rPr>
                <w:b/>
                <w:color w:val="FFFFFF"/>
                <w:sz w:val="18"/>
              </w:rPr>
              <w:t>Descripción</w:t>
            </w:r>
          </w:p>
        </w:tc>
      </w:tr>
      <w:tr>
        <w:tc>
          <w:tcPr>
            <w:tcW w:type="dxa" w:w="3402"/>
            <w:shd w:val="clear" w:color="auto" w:fill="EBF0F8"/>
          </w:tcPr>
          <w:p>
            <w:r>
              <w:rPr>
                <w:sz w:val="18"/>
              </w:rPr>
              <w:t>_compute_l10n_do_dgii_payer_type()</w:t>
            </w:r>
          </w:p>
        </w:tc>
        <w:tc>
          <w:tcPr>
            <w:tcW w:type="dxa" w:w="5669"/>
            <w:shd w:val="clear" w:color="auto" w:fill="EBF0F8"/>
          </w:tcPr>
          <w:p>
            <w:r>
              <w:rPr>
                <w:sz w:val="18"/>
              </w:rPr>
              <w:t>Computa el tipo de contribuyente basado en los criterios anteriores. Es invertible: el usuario puede sobrescribir el valor calculado.</w:t>
            </w:r>
          </w:p>
        </w:tc>
      </w:tr>
      <w:tr>
        <w:tc>
          <w:tcPr>
            <w:tcW w:type="dxa" w:w="3402"/>
            <w:shd w:val="clear" w:color="auto" w:fill="FFFFFF"/>
          </w:tcPr>
          <w:p>
            <w:r>
              <w:rPr>
                <w:sz w:val="18"/>
              </w:rPr>
              <w:t>_check_l10n_do_fiscal_fields()</w:t>
            </w:r>
          </w:p>
        </w:tc>
        <w:tc>
          <w:tcPr>
            <w:tcW w:type="dxa" w:w="5669"/>
            <w:shd w:val="clear" w:color="auto" w:fill="FFFFFF"/>
          </w:tcPr>
          <w:p>
            <w:r>
              <w:rPr>
                <w:sz w:val="18"/>
              </w:rPr>
              <w:t>Constraint que bloquea la modificación de nombre, VAT y país del contacto cuando ya existen facturas fiscales publicadas asociadas, a menos que el usuario pertenezca al grupo group_l10n_do_edit_fiscal_partner.</w:t>
            </w:r>
          </w:p>
        </w:tc>
      </w:tr>
    </w:tbl>
    <w:p/>
    <w:p>
      <w:pPr>
        <w:pStyle w:val="Heading2"/>
        <w:jc w:val="left"/>
      </w:pPr>
      <w:r>
        <w:t>3.2 res.company  —  res_company.py</w:t>
      </w:r>
    </w:p>
    <w:p>
      <w:r>
        <w:rPr>
          <w:b w:val="0"/>
          <w:i w:val="0"/>
        </w:rPr>
        <w:t>Agrega parámetros de configuración fiscal a nivel de compañía.</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701"/>
            <w:shd w:val="clear" w:color="auto" w:fill="1F3864"/>
          </w:tcPr>
          <w:p>
            <w:pPr>
              <w:jc w:val="center"/>
            </w:pPr>
            <w:r>
              <w:rPr>
                <w:b/>
                <w:color w:val="FFFFFF"/>
                <w:sz w:val="18"/>
              </w:rPr>
              <w:t>Tipo ORM</w:t>
            </w:r>
          </w:p>
        </w:tc>
        <w:tc>
          <w:tcPr>
            <w:tcW w:type="dxa" w:w="4535"/>
            <w:shd w:val="clear" w:color="auto" w:fill="1F3864"/>
          </w:tcPr>
          <w:p>
            <w:pPr>
              <w:jc w:val="center"/>
            </w:pPr>
            <w:r>
              <w:rPr>
                <w:b/>
                <w:color w:val="FFFFFF"/>
                <w:sz w:val="18"/>
              </w:rPr>
              <w:t>Descripción</w:t>
            </w:r>
          </w:p>
        </w:tc>
      </w:tr>
      <w:tr>
        <w:tc>
          <w:tcPr>
            <w:tcW w:type="dxa" w:w="2835"/>
            <w:shd w:val="clear" w:color="auto" w:fill="EBF0F8"/>
          </w:tcPr>
          <w:p>
            <w:r>
              <w:rPr>
                <w:sz w:val="18"/>
              </w:rPr>
              <w:t>l10n_do_dgii_start_date</w:t>
            </w:r>
          </w:p>
        </w:tc>
        <w:tc>
          <w:tcPr>
            <w:tcW w:type="dxa" w:w="1701"/>
            <w:shd w:val="clear" w:color="auto" w:fill="EBF0F8"/>
          </w:tcPr>
          <w:p>
            <w:r>
              <w:rPr>
                <w:sz w:val="18"/>
              </w:rPr>
              <w:t>Date</w:t>
            </w:r>
          </w:p>
        </w:tc>
        <w:tc>
          <w:tcPr>
            <w:tcW w:type="dxa" w:w="4535"/>
            <w:shd w:val="clear" w:color="auto" w:fill="EBF0F8"/>
          </w:tcPr>
          <w:p>
            <w:r>
              <w:rPr>
                <w:sz w:val="18"/>
              </w:rPr>
              <w:t>Fecha de inicio de actividades de la compañía registrada ante la DGII.</w:t>
            </w:r>
          </w:p>
        </w:tc>
      </w:tr>
      <w:tr>
        <w:tc>
          <w:tcPr>
            <w:tcW w:type="dxa" w:w="2835"/>
            <w:shd w:val="clear" w:color="auto" w:fill="FFFFFF"/>
          </w:tcPr>
          <w:p>
            <w:r>
              <w:rPr>
                <w:sz w:val="18"/>
              </w:rPr>
              <w:t>l10n_do_ecf_issuer</w:t>
            </w:r>
          </w:p>
        </w:tc>
        <w:tc>
          <w:tcPr>
            <w:tcW w:type="dxa" w:w="1701"/>
            <w:shd w:val="clear" w:color="auto" w:fill="FFFFFF"/>
          </w:tcPr>
          <w:p>
            <w:r>
              <w:rPr>
                <w:sz w:val="18"/>
              </w:rPr>
              <w:t>Boolean</w:t>
            </w:r>
          </w:p>
        </w:tc>
        <w:tc>
          <w:tcPr>
            <w:tcW w:type="dxa" w:w="4535"/>
            <w:shd w:val="clear" w:color="auto" w:fill="FFFFFF"/>
          </w:tcPr>
          <w:p>
            <w:r>
              <w:rPr>
                <w:sz w:val="18"/>
              </w:rPr>
              <w:t>Indica que la compañía está autorizada como emisor de e-CF. Al activarse, deshabilita la emisión de NCF tradicionales (prefijo B) en facturas de venta.</w:t>
            </w:r>
          </w:p>
        </w:tc>
      </w:tr>
      <w:tr>
        <w:tc>
          <w:tcPr>
            <w:tcW w:type="dxa" w:w="2835"/>
            <w:shd w:val="clear" w:color="auto" w:fill="EBF0F8"/>
          </w:tcPr>
          <w:p>
            <w:r>
              <w:rPr>
                <w:sz w:val="18"/>
              </w:rPr>
              <w:t>l10n_do_ecf_deferred_submissions</w:t>
            </w:r>
          </w:p>
        </w:tc>
        <w:tc>
          <w:tcPr>
            <w:tcW w:type="dxa" w:w="1701"/>
            <w:shd w:val="clear" w:color="auto" w:fill="EBF0F8"/>
          </w:tcPr>
          <w:p>
            <w:r>
              <w:rPr>
                <w:sz w:val="18"/>
              </w:rPr>
              <w:t>Boolean</w:t>
            </w:r>
          </w:p>
        </w:tc>
        <w:tc>
          <w:tcPr>
            <w:tcW w:type="dxa" w:w="4535"/>
            <w:shd w:val="clear" w:color="auto" w:fill="EBF0F8"/>
          </w:tcPr>
          <w:p>
            <w:r>
              <w:rPr>
                <w:sz w:val="18"/>
              </w:rPr>
              <w:t>Identifica a los contribuyentes autorizados para realizar ventas offline mediante dispositivos móviles (envíos diferidos).</w:t>
            </w:r>
          </w:p>
        </w:tc>
      </w:tr>
    </w:tbl>
    <w:p/>
    <w:p>
      <w:pPr>
        <w:pStyle w:val="Heading2"/>
        <w:jc w:val="left"/>
      </w:pPr>
      <w:r>
        <w:t>3.3 l10n_latam.document.type  —  l10n_latam_document_type.py</w:t>
      </w:r>
    </w:p>
    <w:p>
      <w:r>
        <w:rPr>
          <w:b w:val="0"/>
          <w:i w:val="0"/>
        </w:rPr>
        <w:t>Extiende el modelo base de tipos de documento latinoamericano para soportar los 22 tipos fiscales dominicanos y sus reglas de validación de formato.</w:t>
      </w:r>
    </w:p>
    <w:p>
      <w:r>
        <w:rPr>
          <w:b/>
          <w:i w:val="0"/>
        </w:rPr>
        <w:t>Campos adicionales:</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701"/>
            <w:shd w:val="clear" w:color="auto" w:fill="1F3864"/>
          </w:tcPr>
          <w:p>
            <w:pPr>
              <w:jc w:val="center"/>
            </w:pPr>
            <w:r>
              <w:rPr>
                <w:b/>
                <w:color w:val="FFFFFF"/>
                <w:sz w:val="18"/>
              </w:rPr>
              <w:t>Tipo ORM</w:t>
            </w:r>
          </w:p>
        </w:tc>
        <w:tc>
          <w:tcPr>
            <w:tcW w:type="dxa" w:w="4535"/>
            <w:shd w:val="clear" w:color="auto" w:fill="1F3864"/>
          </w:tcPr>
          <w:p>
            <w:pPr>
              <w:jc w:val="center"/>
            </w:pPr>
            <w:r>
              <w:rPr>
                <w:b/>
                <w:color w:val="FFFFFF"/>
                <w:sz w:val="18"/>
              </w:rPr>
              <w:t>Descripción</w:t>
            </w:r>
          </w:p>
        </w:tc>
      </w:tr>
      <w:tr>
        <w:tc>
          <w:tcPr>
            <w:tcW w:type="dxa" w:w="2835"/>
            <w:shd w:val="clear" w:color="auto" w:fill="EBF0F8"/>
          </w:tcPr>
          <w:p>
            <w:r>
              <w:rPr>
                <w:sz w:val="18"/>
              </w:rPr>
              <w:t>l10n_do_ncf_type</w:t>
            </w:r>
          </w:p>
        </w:tc>
        <w:tc>
          <w:tcPr>
            <w:tcW w:type="dxa" w:w="1701"/>
            <w:shd w:val="clear" w:color="auto" w:fill="EBF0F8"/>
          </w:tcPr>
          <w:p>
            <w:r>
              <w:rPr>
                <w:sz w:val="18"/>
              </w:rPr>
              <w:t>Selection</w:t>
            </w:r>
          </w:p>
        </w:tc>
        <w:tc>
          <w:tcPr>
            <w:tcW w:type="dxa" w:w="4535"/>
            <w:shd w:val="clear" w:color="auto" w:fill="EBF0F8"/>
          </w:tcPr>
          <w:p>
            <w:r>
              <w:rPr>
                <w:sz w:val="18"/>
              </w:rPr>
              <w:t>Código de tipo NCF (01-17 para tradicionales, 31-47 para e-CF).</w:t>
            </w:r>
          </w:p>
        </w:tc>
      </w:tr>
      <w:tr>
        <w:tc>
          <w:tcPr>
            <w:tcW w:type="dxa" w:w="2835"/>
            <w:shd w:val="clear" w:color="auto" w:fill="FFFFFF"/>
          </w:tcPr>
          <w:p>
            <w:r>
              <w:rPr>
                <w:sz w:val="18"/>
              </w:rPr>
              <w:t>l10n_do_ncf_expiration_date</w:t>
            </w:r>
          </w:p>
        </w:tc>
        <w:tc>
          <w:tcPr>
            <w:tcW w:type="dxa" w:w="1701"/>
            <w:shd w:val="clear" w:color="auto" w:fill="FFFFFF"/>
          </w:tcPr>
          <w:p>
            <w:r>
              <w:rPr>
                <w:sz w:val="18"/>
              </w:rPr>
              <w:t>Date</w:t>
            </w:r>
          </w:p>
        </w:tc>
        <w:tc>
          <w:tcPr>
            <w:tcW w:type="dxa" w:w="4535"/>
            <w:shd w:val="clear" w:color="auto" w:fill="FFFFFF"/>
          </w:tcPr>
          <w:p>
            <w:r>
              <w:rPr>
                <w:sz w:val="18"/>
              </w:rPr>
              <w:t>Fecha de vencimiento de la autorización del lote.</w:t>
            </w:r>
          </w:p>
        </w:tc>
      </w:tr>
      <w:tr>
        <w:tc>
          <w:tcPr>
            <w:tcW w:type="dxa" w:w="2835"/>
            <w:shd w:val="clear" w:color="auto" w:fill="EBF0F8"/>
          </w:tcPr>
          <w:p>
            <w:r>
              <w:rPr>
                <w:sz w:val="18"/>
              </w:rPr>
              <w:t>internal_type</w:t>
            </w:r>
          </w:p>
        </w:tc>
        <w:tc>
          <w:tcPr>
            <w:tcW w:type="dxa" w:w="1701"/>
            <w:shd w:val="clear" w:color="auto" w:fill="EBF0F8"/>
          </w:tcPr>
          <w:p>
            <w:r>
              <w:rPr>
                <w:sz w:val="18"/>
              </w:rPr>
              <w:t>Selection (extendido)</w:t>
            </w:r>
          </w:p>
        </w:tc>
        <w:tc>
          <w:tcPr>
            <w:tcW w:type="dxa" w:w="4535"/>
            <w:shd w:val="clear" w:color="auto" w:fill="EBF0F8"/>
          </w:tcPr>
          <w:p>
            <w:r>
              <w:rPr>
                <w:sz w:val="18"/>
              </w:rPr>
              <w:t>Se añaden los valores in_invoice, in_credit_note e in_debit_note para facturas de compra.</w:t>
            </w:r>
          </w:p>
        </w:tc>
      </w:tr>
      <w:tr>
        <w:tc>
          <w:tcPr>
            <w:tcW w:type="dxa" w:w="2835"/>
            <w:shd w:val="clear" w:color="auto" w:fill="FFFFFF"/>
          </w:tcPr>
          <w:p>
            <w:r>
              <w:rPr>
                <w:sz w:val="18"/>
              </w:rPr>
              <w:t>is_vat_required</w:t>
            </w:r>
          </w:p>
        </w:tc>
        <w:tc>
          <w:tcPr>
            <w:tcW w:type="dxa" w:w="1701"/>
            <w:shd w:val="clear" w:color="auto" w:fill="FFFFFF"/>
          </w:tcPr>
          <w:p>
            <w:r>
              <w:rPr>
                <w:sz w:val="18"/>
              </w:rPr>
              <w:t>Boolean</w:t>
            </w:r>
          </w:p>
        </w:tc>
        <w:tc>
          <w:tcPr>
            <w:tcW w:type="dxa" w:w="4535"/>
            <w:shd w:val="clear" w:color="auto" w:fill="FFFFFF"/>
          </w:tcPr>
          <w:p>
            <w:r>
              <w:rPr>
                <w:sz w:val="18"/>
              </w:rPr>
              <w:t>Cuando es True, el sistema exige que el contacto tenga VAT registrado independientemente del monto.</w:t>
            </w:r>
          </w:p>
        </w:tc>
      </w:tr>
    </w:tbl>
    <w:p/>
    <w:p>
      <w:r>
        <w:rPr>
          <w:b/>
          <w:i w:val="0"/>
        </w:rPr>
        <w:t>Expresiones regulares de validación de formato NCF:</w:t>
      </w:r>
    </w:p>
    <w:p>
      <w:pPr>
        <w:spacing w:before="40" w:after="40"/>
        <w:ind w:left="680"/>
      </w:pPr>
      <w:r>
        <w:rPr>
          <w:rFonts w:ascii="Courier New" w:hAnsi="Courier New"/>
          <w:color w:val="1A1A8C"/>
          <w:sz w:val="18"/>
        </w:rPr>
        <w:t>NCF tradicional (11 caracteres) : B[0-9]{2}[0-9]{8}   →  Ejemplo: B0100000001</w:t>
      </w:r>
    </w:p>
    <w:p>
      <w:pPr>
        <w:spacing w:before="40" w:after="40"/>
        <w:ind w:left="680"/>
      </w:pPr>
      <w:r>
        <w:rPr>
          <w:rFonts w:ascii="Courier New" w:hAnsi="Courier New"/>
          <w:color w:val="1A1A8C"/>
          <w:sz w:val="18"/>
        </w:rPr>
        <w:t>e-CF electrónico (13 caracteres): E[0-9]{2}[0-9]{10}  →  Ejemplo: E310000000001</w:t>
      </w:r>
    </w:p>
    <w:p/>
    <w:p>
      <w:r>
        <w:rPr>
          <w:b/>
          <w:i w:val="0"/>
        </w:rPr>
        <w:t>Catálogo completo de tipos de documento:</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val="clear" w:color="auto" w:fill="1F3864"/>
          </w:tcPr>
          <w:p>
            <w:pPr>
              <w:jc w:val="center"/>
            </w:pPr>
            <w:r>
              <w:rPr>
                <w:b/>
                <w:color w:val="FFFFFF"/>
                <w:sz w:val="18"/>
              </w:rPr>
              <w:t>Nombre</w:t>
            </w:r>
          </w:p>
        </w:tc>
        <w:tc>
          <w:tcPr>
            <w:tcW w:type="dxa" w:w="1701"/>
            <w:shd w:val="clear" w:color="auto" w:fill="1F3864"/>
          </w:tcPr>
          <w:p>
            <w:pPr>
              <w:jc w:val="center"/>
            </w:pPr>
            <w:r>
              <w:rPr>
                <w:b/>
                <w:color w:val="FFFFFF"/>
                <w:sz w:val="18"/>
              </w:rPr>
              <w:t>Prefijo NCF</w:t>
            </w:r>
          </w:p>
        </w:tc>
        <w:tc>
          <w:tcPr>
            <w:tcW w:type="dxa" w:w="1417"/>
            <w:shd w:val="clear" w:color="auto" w:fill="1F3864"/>
          </w:tcPr>
          <w:p>
            <w:pPr>
              <w:jc w:val="center"/>
            </w:pPr>
            <w:r>
              <w:rPr>
                <w:b/>
                <w:color w:val="FFFFFF"/>
                <w:sz w:val="18"/>
              </w:rPr>
              <w:t>Tipo interno</w:t>
            </w:r>
          </w:p>
        </w:tc>
        <w:tc>
          <w:tcPr>
            <w:tcW w:type="dxa" w:w="3685"/>
            <w:shd w:val="clear" w:color="auto" w:fill="1F3864"/>
          </w:tcPr>
          <w:p>
            <w:pPr>
              <w:jc w:val="center"/>
            </w:pPr>
            <w:r>
              <w:rPr>
                <w:b/>
                <w:color w:val="FFFFFF"/>
                <w:sz w:val="18"/>
              </w:rPr>
              <w:t>Uso</w:t>
            </w:r>
          </w:p>
        </w:tc>
      </w:tr>
      <w:tr>
        <w:tc>
          <w:tcPr>
            <w:tcW w:type="dxa" w:w="2268"/>
            <w:shd w:val="clear" w:color="auto" w:fill="EBF0F8"/>
          </w:tcPr>
          <w:p>
            <w:r>
              <w:rPr>
                <w:sz w:val="18"/>
              </w:rPr>
              <w:t>Crédito Fiscal</w:t>
            </w:r>
          </w:p>
        </w:tc>
        <w:tc>
          <w:tcPr>
            <w:tcW w:type="dxa" w:w="1701"/>
            <w:shd w:val="clear" w:color="auto" w:fill="EBF0F8"/>
          </w:tcPr>
          <w:p>
            <w:r>
              <w:rPr>
                <w:sz w:val="18"/>
              </w:rPr>
              <w:t>B01 / E31</w:t>
            </w:r>
          </w:p>
        </w:tc>
        <w:tc>
          <w:tcPr>
            <w:tcW w:type="dxa" w:w="1417"/>
            <w:shd w:val="clear" w:color="auto" w:fill="EBF0F8"/>
          </w:tcPr>
          <w:p>
            <w:r>
              <w:rPr>
                <w:sz w:val="18"/>
              </w:rPr>
              <w:t>invoice</w:t>
            </w:r>
          </w:p>
        </w:tc>
        <w:tc>
          <w:tcPr>
            <w:tcW w:type="dxa" w:w="3685"/>
            <w:shd w:val="clear" w:color="auto" w:fill="EBF0F8"/>
          </w:tcPr>
          <w:p>
            <w:r>
              <w:rPr>
                <w:sz w:val="18"/>
              </w:rPr>
              <w:t>Ventas a contribuyentes fiscales con RNC</w:t>
            </w:r>
          </w:p>
        </w:tc>
      </w:tr>
      <w:tr>
        <w:tc>
          <w:tcPr>
            <w:tcW w:type="dxa" w:w="2268"/>
            <w:shd w:val="clear" w:color="auto" w:fill="FFFFFF"/>
          </w:tcPr>
          <w:p>
            <w:r>
              <w:rPr>
                <w:sz w:val="18"/>
              </w:rPr>
              <w:t>Consumo</w:t>
            </w:r>
          </w:p>
        </w:tc>
        <w:tc>
          <w:tcPr>
            <w:tcW w:type="dxa" w:w="1701"/>
            <w:shd w:val="clear" w:color="auto" w:fill="FFFFFF"/>
          </w:tcPr>
          <w:p>
            <w:r>
              <w:rPr>
                <w:sz w:val="18"/>
              </w:rPr>
              <w:t>B02 / E32</w:t>
            </w:r>
          </w:p>
        </w:tc>
        <w:tc>
          <w:tcPr>
            <w:tcW w:type="dxa" w:w="1417"/>
            <w:shd w:val="clear" w:color="auto" w:fill="FFFFFF"/>
          </w:tcPr>
          <w:p>
            <w:r>
              <w:rPr>
                <w:sz w:val="18"/>
              </w:rPr>
              <w:t>invoice</w:t>
            </w:r>
          </w:p>
        </w:tc>
        <w:tc>
          <w:tcPr>
            <w:tcW w:type="dxa" w:w="3685"/>
            <w:shd w:val="clear" w:color="auto" w:fill="FFFFFF"/>
          </w:tcPr>
          <w:p>
            <w:r>
              <w:rPr>
                <w:sz w:val="18"/>
              </w:rPr>
              <w:t>Ventas a consumidores finales</w:t>
            </w:r>
          </w:p>
        </w:tc>
      </w:tr>
      <w:tr>
        <w:tc>
          <w:tcPr>
            <w:tcW w:type="dxa" w:w="2268"/>
            <w:shd w:val="clear" w:color="auto" w:fill="EBF0F8"/>
          </w:tcPr>
          <w:p>
            <w:r>
              <w:rPr>
                <w:sz w:val="18"/>
              </w:rPr>
              <w:t>Nota de Débito</w:t>
            </w:r>
          </w:p>
        </w:tc>
        <w:tc>
          <w:tcPr>
            <w:tcW w:type="dxa" w:w="1701"/>
            <w:shd w:val="clear" w:color="auto" w:fill="EBF0F8"/>
          </w:tcPr>
          <w:p>
            <w:r>
              <w:rPr>
                <w:sz w:val="18"/>
              </w:rPr>
              <w:t>B03 / E33</w:t>
            </w:r>
          </w:p>
        </w:tc>
        <w:tc>
          <w:tcPr>
            <w:tcW w:type="dxa" w:w="1417"/>
            <w:shd w:val="clear" w:color="auto" w:fill="EBF0F8"/>
          </w:tcPr>
          <w:p>
            <w:r>
              <w:rPr>
                <w:sz w:val="18"/>
              </w:rPr>
              <w:t>debit_note</w:t>
            </w:r>
          </w:p>
        </w:tc>
        <w:tc>
          <w:tcPr>
            <w:tcW w:type="dxa" w:w="3685"/>
            <w:shd w:val="clear" w:color="auto" w:fill="EBF0F8"/>
          </w:tcPr>
          <w:p>
            <w:r>
              <w:rPr>
                <w:sz w:val="18"/>
              </w:rPr>
              <w:t>Incremento sobre facturas emitidas</w:t>
            </w:r>
          </w:p>
        </w:tc>
      </w:tr>
      <w:tr>
        <w:tc>
          <w:tcPr>
            <w:tcW w:type="dxa" w:w="2268"/>
            <w:shd w:val="clear" w:color="auto" w:fill="FFFFFF"/>
          </w:tcPr>
          <w:p>
            <w:r>
              <w:rPr>
                <w:sz w:val="18"/>
              </w:rPr>
              <w:t>Nota de Crédito</w:t>
            </w:r>
          </w:p>
        </w:tc>
        <w:tc>
          <w:tcPr>
            <w:tcW w:type="dxa" w:w="1701"/>
            <w:shd w:val="clear" w:color="auto" w:fill="FFFFFF"/>
          </w:tcPr>
          <w:p>
            <w:r>
              <w:rPr>
                <w:sz w:val="18"/>
              </w:rPr>
              <w:t>B04 / E34</w:t>
            </w:r>
          </w:p>
        </w:tc>
        <w:tc>
          <w:tcPr>
            <w:tcW w:type="dxa" w:w="1417"/>
            <w:shd w:val="clear" w:color="auto" w:fill="FFFFFF"/>
          </w:tcPr>
          <w:p>
            <w:r>
              <w:rPr>
                <w:sz w:val="18"/>
              </w:rPr>
              <w:t>credit_note</w:t>
            </w:r>
          </w:p>
        </w:tc>
        <w:tc>
          <w:tcPr>
            <w:tcW w:type="dxa" w:w="3685"/>
            <w:shd w:val="clear" w:color="auto" w:fill="FFFFFF"/>
          </w:tcPr>
          <w:p>
            <w:r>
              <w:rPr>
                <w:sz w:val="18"/>
              </w:rPr>
              <w:t>Descuento o reversa sobre facturas emitidas</w:t>
            </w:r>
          </w:p>
        </w:tc>
      </w:tr>
      <w:tr>
        <w:tc>
          <w:tcPr>
            <w:tcW w:type="dxa" w:w="2268"/>
            <w:shd w:val="clear" w:color="auto" w:fill="EBF0F8"/>
          </w:tcPr>
          <w:p>
            <w:r>
              <w:rPr>
                <w:sz w:val="18"/>
              </w:rPr>
              <w:t>Comprobante de Compra</w:t>
            </w:r>
          </w:p>
        </w:tc>
        <w:tc>
          <w:tcPr>
            <w:tcW w:type="dxa" w:w="1701"/>
            <w:shd w:val="clear" w:color="auto" w:fill="EBF0F8"/>
          </w:tcPr>
          <w:p>
            <w:r>
              <w:rPr>
                <w:sz w:val="18"/>
              </w:rPr>
              <w:t>B11 / E41</w:t>
            </w:r>
          </w:p>
        </w:tc>
        <w:tc>
          <w:tcPr>
            <w:tcW w:type="dxa" w:w="1417"/>
            <w:shd w:val="clear" w:color="auto" w:fill="EBF0F8"/>
          </w:tcPr>
          <w:p>
            <w:r>
              <w:rPr>
                <w:sz w:val="18"/>
              </w:rPr>
              <w:t>invoice</w:t>
            </w:r>
          </w:p>
        </w:tc>
        <w:tc>
          <w:tcPr>
            <w:tcW w:type="dxa" w:w="3685"/>
            <w:shd w:val="clear" w:color="auto" w:fill="EBF0F8"/>
          </w:tcPr>
          <w:p>
            <w:r>
              <w:rPr>
                <w:sz w:val="18"/>
              </w:rPr>
              <w:t>Compras a proveedores informales (sin RNC)</w:t>
            </w:r>
          </w:p>
        </w:tc>
      </w:tr>
      <w:tr>
        <w:tc>
          <w:tcPr>
            <w:tcW w:type="dxa" w:w="2268"/>
            <w:shd w:val="clear" w:color="auto" w:fill="FFFFFF"/>
          </w:tcPr>
          <w:p>
            <w:r>
              <w:rPr>
                <w:sz w:val="18"/>
              </w:rPr>
              <w:t>Único Ingreso</w:t>
            </w:r>
          </w:p>
        </w:tc>
        <w:tc>
          <w:tcPr>
            <w:tcW w:type="dxa" w:w="1701"/>
            <w:shd w:val="clear" w:color="auto" w:fill="FFFFFF"/>
          </w:tcPr>
          <w:p>
            <w:r>
              <w:rPr>
                <w:sz w:val="18"/>
              </w:rPr>
              <w:t>B12</w:t>
            </w:r>
          </w:p>
        </w:tc>
        <w:tc>
          <w:tcPr>
            <w:tcW w:type="dxa" w:w="1417"/>
            <w:shd w:val="clear" w:color="auto" w:fill="FFFFFF"/>
          </w:tcPr>
          <w:p>
            <w:r>
              <w:rPr>
                <w:sz w:val="18"/>
              </w:rPr>
              <w:t>invoice</w:t>
            </w:r>
          </w:p>
        </w:tc>
        <w:tc>
          <w:tcPr>
            <w:tcW w:type="dxa" w:w="3685"/>
            <w:shd w:val="clear" w:color="auto" w:fill="FFFFFF"/>
          </w:tcPr>
          <w:p>
            <w:r>
              <w:rPr>
                <w:sz w:val="18"/>
              </w:rPr>
              <w:t>Ingreso de una sola operación</w:t>
            </w:r>
          </w:p>
        </w:tc>
      </w:tr>
      <w:tr>
        <w:tc>
          <w:tcPr>
            <w:tcW w:type="dxa" w:w="2268"/>
            <w:shd w:val="clear" w:color="auto" w:fill="EBF0F8"/>
          </w:tcPr>
          <w:p>
            <w:r>
              <w:rPr>
                <w:sz w:val="18"/>
              </w:rPr>
              <w:t>Gasto Menor</w:t>
            </w:r>
          </w:p>
        </w:tc>
        <w:tc>
          <w:tcPr>
            <w:tcW w:type="dxa" w:w="1701"/>
            <w:shd w:val="clear" w:color="auto" w:fill="EBF0F8"/>
          </w:tcPr>
          <w:p>
            <w:r>
              <w:rPr>
                <w:sz w:val="18"/>
              </w:rPr>
              <w:t>B13 / E43</w:t>
            </w:r>
          </w:p>
        </w:tc>
        <w:tc>
          <w:tcPr>
            <w:tcW w:type="dxa" w:w="1417"/>
            <w:shd w:val="clear" w:color="auto" w:fill="EBF0F8"/>
          </w:tcPr>
          <w:p>
            <w:r>
              <w:rPr>
                <w:sz w:val="18"/>
              </w:rPr>
              <w:t>invoice</w:t>
            </w:r>
          </w:p>
        </w:tc>
        <w:tc>
          <w:tcPr>
            <w:tcW w:type="dxa" w:w="3685"/>
            <w:shd w:val="clear" w:color="auto" w:fill="EBF0F8"/>
          </w:tcPr>
          <w:p>
            <w:r>
              <w:rPr>
                <w:sz w:val="18"/>
              </w:rPr>
              <w:t>Gastos de monto menor según DGII</w:t>
            </w:r>
          </w:p>
        </w:tc>
      </w:tr>
      <w:tr>
        <w:tc>
          <w:tcPr>
            <w:tcW w:type="dxa" w:w="2268"/>
            <w:shd w:val="clear" w:color="auto" w:fill="FFFFFF"/>
          </w:tcPr>
          <w:p>
            <w:r>
              <w:rPr>
                <w:sz w:val="18"/>
              </w:rPr>
              <w:t>Régimen Especial</w:t>
            </w:r>
          </w:p>
        </w:tc>
        <w:tc>
          <w:tcPr>
            <w:tcW w:type="dxa" w:w="1701"/>
            <w:shd w:val="clear" w:color="auto" w:fill="FFFFFF"/>
          </w:tcPr>
          <w:p>
            <w:r>
              <w:rPr>
                <w:sz w:val="18"/>
              </w:rPr>
              <w:t>B14 / E44</w:t>
            </w:r>
          </w:p>
        </w:tc>
        <w:tc>
          <w:tcPr>
            <w:tcW w:type="dxa" w:w="1417"/>
            <w:shd w:val="clear" w:color="auto" w:fill="FFFFFF"/>
          </w:tcPr>
          <w:p>
            <w:r>
              <w:rPr>
                <w:sz w:val="18"/>
              </w:rPr>
              <w:t>invoice</w:t>
            </w:r>
          </w:p>
        </w:tc>
        <w:tc>
          <w:tcPr>
            <w:tcW w:type="dxa" w:w="3685"/>
            <w:shd w:val="clear" w:color="auto" w:fill="FFFFFF"/>
          </w:tcPr>
          <w:p>
            <w:r>
              <w:rPr>
                <w:sz w:val="18"/>
              </w:rPr>
              <w:t>Zonas francas, iglesias y regímenes especiales</w:t>
            </w:r>
          </w:p>
        </w:tc>
      </w:tr>
      <w:tr>
        <w:tc>
          <w:tcPr>
            <w:tcW w:type="dxa" w:w="2268"/>
            <w:shd w:val="clear" w:color="auto" w:fill="EBF0F8"/>
          </w:tcPr>
          <w:p>
            <w:r>
              <w:rPr>
                <w:sz w:val="18"/>
              </w:rPr>
              <w:t>Gubernamental</w:t>
            </w:r>
          </w:p>
        </w:tc>
        <w:tc>
          <w:tcPr>
            <w:tcW w:type="dxa" w:w="1701"/>
            <w:shd w:val="clear" w:color="auto" w:fill="EBF0F8"/>
          </w:tcPr>
          <w:p>
            <w:r>
              <w:rPr>
                <w:sz w:val="18"/>
              </w:rPr>
              <w:t>B15 / E45</w:t>
            </w:r>
          </w:p>
        </w:tc>
        <w:tc>
          <w:tcPr>
            <w:tcW w:type="dxa" w:w="1417"/>
            <w:shd w:val="clear" w:color="auto" w:fill="EBF0F8"/>
          </w:tcPr>
          <w:p>
            <w:r>
              <w:rPr>
                <w:sz w:val="18"/>
              </w:rPr>
              <w:t>invoice</w:t>
            </w:r>
          </w:p>
        </w:tc>
        <w:tc>
          <w:tcPr>
            <w:tcW w:type="dxa" w:w="3685"/>
            <w:shd w:val="clear" w:color="auto" w:fill="EBF0F8"/>
          </w:tcPr>
          <w:p>
            <w:r>
              <w:rPr>
                <w:sz w:val="18"/>
              </w:rPr>
              <w:t>Operaciones con organismos gubernamentales</w:t>
            </w:r>
          </w:p>
        </w:tc>
      </w:tr>
      <w:tr>
        <w:tc>
          <w:tcPr>
            <w:tcW w:type="dxa" w:w="2268"/>
            <w:shd w:val="clear" w:color="auto" w:fill="FFFFFF"/>
          </w:tcPr>
          <w:p>
            <w:r>
              <w:rPr>
                <w:sz w:val="18"/>
              </w:rPr>
              <w:t>Exportación</w:t>
            </w:r>
          </w:p>
        </w:tc>
        <w:tc>
          <w:tcPr>
            <w:tcW w:type="dxa" w:w="1701"/>
            <w:shd w:val="clear" w:color="auto" w:fill="FFFFFF"/>
          </w:tcPr>
          <w:p>
            <w:r>
              <w:rPr>
                <w:sz w:val="18"/>
              </w:rPr>
              <w:t>B16 / E46</w:t>
            </w:r>
          </w:p>
        </w:tc>
        <w:tc>
          <w:tcPr>
            <w:tcW w:type="dxa" w:w="1417"/>
            <w:shd w:val="clear" w:color="auto" w:fill="FFFFFF"/>
          </w:tcPr>
          <w:p>
            <w:r>
              <w:rPr>
                <w:sz w:val="18"/>
              </w:rPr>
              <w:t>invoice</w:t>
            </w:r>
          </w:p>
        </w:tc>
        <w:tc>
          <w:tcPr>
            <w:tcW w:type="dxa" w:w="3685"/>
            <w:shd w:val="clear" w:color="auto" w:fill="FFFFFF"/>
          </w:tcPr>
          <w:p>
            <w:r>
              <w:rPr>
                <w:sz w:val="18"/>
              </w:rPr>
              <w:t>Ventas al exterior</w:t>
            </w:r>
          </w:p>
        </w:tc>
      </w:tr>
      <w:tr>
        <w:tc>
          <w:tcPr>
            <w:tcW w:type="dxa" w:w="2268"/>
            <w:shd w:val="clear" w:color="auto" w:fill="EBF0F8"/>
          </w:tcPr>
          <w:p>
            <w:r>
              <w:rPr>
                <w:sz w:val="18"/>
              </w:rPr>
              <w:t>Pago al Exterior</w:t>
            </w:r>
          </w:p>
        </w:tc>
        <w:tc>
          <w:tcPr>
            <w:tcW w:type="dxa" w:w="1701"/>
            <w:shd w:val="clear" w:color="auto" w:fill="EBF0F8"/>
          </w:tcPr>
          <w:p>
            <w:r>
              <w:rPr>
                <w:sz w:val="18"/>
              </w:rPr>
              <w:t>B17 / E47</w:t>
            </w:r>
          </w:p>
        </w:tc>
        <w:tc>
          <w:tcPr>
            <w:tcW w:type="dxa" w:w="1417"/>
            <w:shd w:val="clear" w:color="auto" w:fill="EBF0F8"/>
          </w:tcPr>
          <w:p>
            <w:r>
              <w:rPr>
                <w:sz w:val="18"/>
              </w:rPr>
              <w:t>invoice</w:t>
            </w:r>
          </w:p>
        </w:tc>
        <w:tc>
          <w:tcPr>
            <w:tcW w:type="dxa" w:w="3685"/>
            <w:shd w:val="clear" w:color="auto" w:fill="EBF0F8"/>
          </w:tcPr>
          <w:p>
            <w:r>
              <w:rPr>
                <w:sz w:val="18"/>
              </w:rPr>
              <w:t>Pagos a proveedores en el extranjero</w:t>
            </w:r>
          </w:p>
        </w:tc>
      </w:tr>
    </w:tbl>
    <w:p/>
    <w:p>
      <w:pPr>
        <w:pStyle w:val="Heading2"/>
        <w:jc w:val="left"/>
      </w:pPr>
      <w:r>
        <w:t>3.4 account.journal  —  account_journal.py</w:t>
      </w:r>
    </w:p>
    <w:p>
      <w:r>
        <w:rPr>
          <w:b w:val="0"/>
          <w:i w:val="0"/>
        </w:rPr>
        <w:t>Gestiona la configuración fiscal de los diarios contables y la creación automática de los tipos de documento fiscales asociados.</w:t>
      </w:r>
    </w:p>
    <w:p>
      <w:r>
        <w:rPr>
          <w:b/>
          <w:i w:val="0"/>
        </w:rPr>
        <w:t>Campos adicionales:</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701"/>
            <w:shd w:val="clear" w:color="auto" w:fill="1F3864"/>
          </w:tcPr>
          <w:p>
            <w:pPr>
              <w:jc w:val="center"/>
            </w:pPr>
            <w:r>
              <w:rPr>
                <w:b/>
                <w:color w:val="FFFFFF"/>
                <w:sz w:val="18"/>
              </w:rPr>
              <w:t>Tipo ORM</w:t>
            </w:r>
          </w:p>
        </w:tc>
        <w:tc>
          <w:tcPr>
            <w:tcW w:type="dxa" w:w="4535"/>
            <w:shd w:val="clear" w:color="auto" w:fill="1F3864"/>
          </w:tcPr>
          <w:p>
            <w:pPr>
              <w:jc w:val="center"/>
            </w:pPr>
            <w:r>
              <w:rPr>
                <w:b/>
                <w:color w:val="FFFFFF"/>
                <w:sz w:val="18"/>
              </w:rPr>
              <w:t>Descripción</w:t>
            </w:r>
          </w:p>
        </w:tc>
      </w:tr>
      <w:tr>
        <w:tc>
          <w:tcPr>
            <w:tcW w:type="dxa" w:w="2835"/>
            <w:shd w:val="clear" w:color="auto" w:fill="EBF0F8"/>
          </w:tcPr>
          <w:p>
            <w:r>
              <w:rPr>
                <w:sz w:val="18"/>
              </w:rPr>
              <w:t>l10n_do_payment_form</w:t>
            </w:r>
          </w:p>
        </w:tc>
        <w:tc>
          <w:tcPr>
            <w:tcW w:type="dxa" w:w="1701"/>
            <w:shd w:val="clear" w:color="auto" w:fill="EBF0F8"/>
          </w:tcPr>
          <w:p>
            <w:r>
              <w:rPr>
                <w:sz w:val="18"/>
              </w:rPr>
              <w:t>Selection</w:t>
            </w:r>
          </w:p>
        </w:tc>
        <w:tc>
          <w:tcPr>
            <w:tcW w:type="dxa" w:w="4535"/>
            <w:shd w:val="clear" w:color="auto" w:fill="EBF0F8"/>
          </w:tcPr>
          <w:p>
            <w:r>
              <w:rPr>
                <w:sz w:val="18"/>
              </w:rPr>
              <w:t>Forma de pago para diarios de efectivo y banco: Efectivo | Cheque/Transferencia | Tarjeta de Crédito | Crédito | Permuta | Bono | Otro.</w:t>
            </w:r>
          </w:p>
        </w:tc>
      </w:tr>
      <w:tr>
        <w:tc>
          <w:tcPr>
            <w:tcW w:type="dxa" w:w="2835"/>
            <w:shd w:val="clear" w:color="auto" w:fill="FFFFFF"/>
          </w:tcPr>
          <w:p>
            <w:r>
              <w:rPr>
                <w:sz w:val="18"/>
              </w:rPr>
              <w:t>l10n_do_document_type_ids</w:t>
            </w:r>
          </w:p>
        </w:tc>
        <w:tc>
          <w:tcPr>
            <w:tcW w:type="dxa" w:w="1701"/>
            <w:shd w:val="clear" w:color="auto" w:fill="FFFFFF"/>
          </w:tcPr>
          <w:p>
            <w:r>
              <w:rPr>
                <w:sz w:val="18"/>
              </w:rPr>
              <w:t>One2many → l10n_do.account.journal.document_type</w:t>
            </w:r>
          </w:p>
        </w:tc>
        <w:tc>
          <w:tcPr>
            <w:tcW w:type="dxa" w:w="4535"/>
            <w:shd w:val="clear" w:color="auto" w:fill="FFFFFF"/>
          </w:tcPr>
          <w:p>
            <w:r>
              <w:rPr>
                <w:sz w:val="18"/>
              </w:rPr>
              <w:t>Registros de tipos de documento fiscal vinculados al diario.</w:t>
            </w:r>
          </w:p>
        </w:tc>
      </w:tr>
    </w:tbl>
    <w:p/>
    <w:p>
      <w:r>
        <w:rPr>
          <w:b/>
          <w:i w:val="0"/>
        </w:rPr>
        <w:t>Métodos clave:</w:t>
      </w:r>
    </w:p>
    <w:tbl>
      <w:tblPr>
        <w:tblStyle w:val="TableGrid"/>
        <w:tblW w:type="auto" w:w="0"/>
        <w:tblLook w:firstColumn="1" w:firstRow="1" w:lastColumn="0" w:lastRow="0" w:noHBand="0" w:noVBand="1" w:val="04A0"/>
      </w:tblPr>
      <w:tblGrid>
        <w:gridCol w:w="4561"/>
        <w:gridCol w:w="4561"/>
      </w:tblGrid>
      <w:tr>
        <w:tc>
          <w:tcPr>
            <w:tcW w:type="dxa" w:w="3685"/>
            <w:shd w:val="clear" w:color="auto" w:fill="1F3864"/>
          </w:tcPr>
          <w:p>
            <w:pPr>
              <w:jc w:val="center"/>
            </w:pPr>
            <w:r>
              <w:rPr>
                <w:b/>
                <w:color w:val="FFFFFF"/>
                <w:sz w:val="18"/>
              </w:rPr>
              <w:t>Método</w:t>
            </w:r>
          </w:p>
        </w:tc>
        <w:tc>
          <w:tcPr>
            <w:tcW w:type="dxa" w:w="5386"/>
            <w:shd w:val="clear" w:color="auto" w:fill="1F3864"/>
          </w:tcPr>
          <w:p>
            <w:pPr>
              <w:jc w:val="center"/>
            </w:pPr>
            <w:r>
              <w:rPr>
                <w:b/>
                <w:color w:val="FFFFFF"/>
                <w:sz w:val="18"/>
              </w:rPr>
              <w:t>Descripción</w:t>
            </w:r>
          </w:p>
        </w:tc>
      </w:tr>
      <w:tr>
        <w:tc>
          <w:tcPr>
            <w:tcW w:type="dxa" w:w="3685"/>
            <w:shd w:val="clear" w:color="auto" w:fill="EBF0F8"/>
          </w:tcPr>
          <w:p>
            <w:r>
              <w:rPr>
                <w:sz w:val="18"/>
              </w:rPr>
              <w:t>_get_journal_ncf_types(counterpart_partner, invoice)</w:t>
            </w:r>
          </w:p>
        </w:tc>
        <w:tc>
          <w:tcPr>
            <w:tcW w:type="dxa" w:w="5386"/>
            <w:shd w:val="clear" w:color="auto" w:fill="EBF0F8"/>
          </w:tcPr>
          <w:p>
            <w:r>
              <w:rPr>
                <w:sz w:val="18"/>
              </w:rPr>
              <w:t>Determina el listado de tipos NCF permitidos en función del tipo de diario (venta/compra) y del tipo de contribuyente del socio.</w:t>
            </w:r>
          </w:p>
        </w:tc>
      </w:tr>
      <w:tr>
        <w:tc>
          <w:tcPr>
            <w:tcW w:type="dxa" w:w="3685"/>
            <w:shd w:val="clear" w:color="auto" w:fill="FFFFFF"/>
          </w:tcPr>
          <w:p>
            <w:r>
              <w:rPr>
                <w:sz w:val="18"/>
              </w:rPr>
              <w:t>_get_all_ncf_types(types_list, invoice)</w:t>
            </w:r>
          </w:p>
        </w:tc>
        <w:tc>
          <w:tcPr>
            <w:tcW w:type="dxa" w:w="5386"/>
            <w:shd w:val="clear" w:color="auto" w:fill="FFFFFF"/>
          </w:tcPr>
          <w:p>
            <w:r>
              <w:rPr>
                <w:sz w:val="18"/>
              </w:rPr>
              <w:t>Agrega las variantes electrónicas (prefijo E) al listado cuando la compañía tiene activado l10n_do_ecf_issuer.</w:t>
            </w:r>
          </w:p>
        </w:tc>
      </w:tr>
      <w:tr>
        <w:tc>
          <w:tcPr>
            <w:tcW w:type="dxa" w:w="3685"/>
            <w:shd w:val="clear" w:color="auto" w:fill="EBF0F8"/>
          </w:tcPr>
          <w:p>
            <w:r>
              <w:rPr>
                <w:sz w:val="18"/>
              </w:rPr>
              <w:t>_l10n_do_create_document_types()</w:t>
            </w:r>
          </w:p>
        </w:tc>
        <w:tc>
          <w:tcPr>
            <w:tcW w:type="dxa" w:w="5386"/>
            <w:shd w:val="clear" w:color="auto" w:fill="EBF0F8"/>
          </w:tcPr>
          <w:p>
            <w:r>
              <w:rPr>
                <w:sz w:val="18"/>
              </w:rPr>
              <w:t>Crea automáticamente los registros l10n_do.account.journal.document_type al crear un diario o al activar l10n_latam_use_documents.</w:t>
            </w:r>
          </w:p>
        </w:tc>
      </w:tr>
    </w:tbl>
    <w:p/>
    <w:p>
      <w:r>
        <w:rPr>
          <w:b/>
          <w:i w:val="0"/>
        </w:rPr>
        <w:t>Modelo hijo: l10n_do.account.journal.document_type</w:t>
      </w:r>
    </w:p>
    <w:p>
      <w:r>
        <w:rPr>
          <w:b w:val="0"/>
          <w:i w:val="0"/>
        </w:rPr>
        <w:t>Vincula un diario con un tipo de documento específico y gestiona los lotes NCF asociados.</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pPr>
              <w:jc w:val="center"/>
            </w:pPr>
            <w:r>
              <w:rPr>
                <w:b/>
                <w:color w:val="FFFFFF"/>
                <w:sz w:val="18"/>
              </w:rPr>
              <w:t>Campo</w:t>
            </w:r>
          </w:p>
        </w:tc>
        <w:tc>
          <w:tcPr>
            <w:tcW w:type="dxa" w:w="5953"/>
            <w:shd w:val="clear" w:color="auto" w:fill="1F3864"/>
          </w:tcPr>
          <w:p>
            <w:pPr>
              <w:jc w:val="center"/>
            </w:pPr>
            <w:r>
              <w:rPr>
                <w:b/>
                <w:color w:val="FFFFFF"/>
                <w:sz w:val="18"/>
              </w:rPr>
              <w:t>Descripción</w:t>
            </w:r>
          </w:p>
        </w:tc>
      </w:tr>
      <w:tr>
        <w:tc>
          <w:tcPr>
            <w:tcW w:type="dxa" w:w="3118"/>
            <w:shd w:val="clear" w:color="auto" w:fill="EBF0F8"/>
          </w:tcPr>
          <w:p>
            <w:r>
              <w:rPr>
                <w:sz w:val="18"/>
              </w:rPr>
              <w:t>journal_id</w:t>
            </w:r>
          </w:p>
        </w:tc>
        <w:tc>
          <w:tcPr>
            <w:tcW w:type="dxa" w:w="5953"/>
            <w:shd w:val="clear" w:color="auto" w:fill="EBF0F8"/>
          </w:tcPr>
          <w:p>
            <w:r>
              <w:rPr>
                <w:sz w:val="18"/>
              </w:rPr>
              <w:t>Referencia al diario padre.</w:t>
            </w:r>
          </w:p>
        </w:tc>
      </w:tr>
      <w:tr>
        <w:tc>
          <w:tcPr>
            <w:tcW w:type="dxa" w:w="3118"/>
            <w:shd w:val="clear" w:color="auto" w:fill="FFFFFF"/>
          </w:tcPr>
          <w:p>
            <w:r>
              <w:rPr>
                <w:sz w:val="18"/>
              </w:rPr>
              <w:t>l10n_latam_document_type_id</w:t>
            </w:r>
          </w:p>
        </w:tc>
        <w:tc>
          <w:tcPr>
            <w:tcW w:type="dxa" w:w="5953"/>
            <w:shd w:val="clear" w:color="auto" w:fill="FFFFFF"/>
          </w:tcPr>
          <w:p>
            <w:r>
              <w:rPr>
                <w:sz w:val="18"/>
              </w:rPr>
              <w:t>Tipo de documento fiscal vinculado.</w:t>
            </w:r>
          </w:p>
        </w:tc>
      </w:tr>
      <w:tr>
        <w:tc>
          <w:tcPr>
            <w:tcW w:type="dxa" w:w="3118"/>
            <w:shd w:val="clear" w:color="auto" w:fill="EBF0F8"/>
          </w:tcPr>
          <w:p>
            <w:r>
              <w:rPr>
                <w:sz w:val="18"/>
              </w:rPr>
              <w:t>l10n_do_batch_ids</w:t>
            </w:r>
          </w:p>
        </w:tc>
        <w:tc>
          <w:tcPr>
            <w:tcW w:type="dxa" w:w="5953"/>
            <w:shd w:val="clear" w:color="auto" w:fill="EBF0F8"/>
          </w:tcPr>
          <w:p>
            <w:r>
              <w:rPr>
                <w:sz w:val="18"/>
              </w:rPr>
              <w:t>Lotes NCF asociados a este par diario-tipo de documento (One2many → l10n_do.ncf.batch).</w:t>
            </w:r>
          </w:p>
        </w:tc>
      </w:tr>
      <w:tr>
        <w:tc>
          <w:tcPr>
            <w:tcW w:type="dxa" w:w="3118"/>
            <w:shd w:val="clear" w:color="auto" w:fill="FFFFFF"/>
          </w:tcPr>
          <w:p>
            <w:r>
              <w:rPr>
                <w:sz w:val="18"/>
              </w:rPr>
              <w:t>l10n_do_active_batch_id</w:t>
            </w:r>
          </w:p>
        </w:tc>
        <w:tc>
          <w:tcPr>
            <w:tcW w:type="dxa" w:w="5953"/>
            <w:shd w:val="clear" w:color="auto" w:fill="FFFFFF"/>
          </w:tcPr>
          <w:p>
            <w:r>
              <w:rPr>
                <w:sz w:val="18"/>
              </w:rPr>
              <w:t>Lote activo calculado para la fecha actual (computed). Se actualiza dinámicamente.</w:t>
            </w:r>
          </w:p>
        </w:tc>
      </w:tr>
      <w:tr>
        <w:tc>
          <w:tcPr>
            <w:tcW w:type="dxa" w:w="3118"/>
            <w:shd w:val="clear" w:color="auto" w:fill="EBF0F8"/>
          </w:tcPr>
          <w:p>
            <w:r>
              <w:rPr>
                <w:sz w:val="18"/>
              </w:rPr>
              <w:t>_get_first_document_number()</w:t>
            </w:r>
          </w:p>
        </w:tc>
        <w:tc>
          <w:tcPr>
            <w:tcW w:type="dxa" w:w="5953"/>
            <w:shd w:val="clear" w:color="auto" w:fill="EBF0F8"/>
          </w:tcPr>
          <w:p>
            <w:r>
              <w:rPr>
                <w:sz w:val="18"/>
              </w:rPr>
              <w:t>Retorna el siguiente NCF disponible consultando el lote activo. Retorna None si no existe lote.</w:t>
            </w:r>
          </w:p>
        </w:tc>
      </w:tr>
    </w:tbl>
    <w:p/>
    <w:p>
      <w:pPr>
        <w:pStyle w:val="Heading2"/>
        <w:jc w:val="left"/>
      </w:pPr>
      <w:r>
        <w:t>3.5 l10n_do.ncf.batch  —  ncf_batch.py</w:t>
      </w:r>
    </w:p>
    <w:p>
      <w:r>
        <w:rPr>
          <w:b w:val="0"/>
          <w:i w:val="0"/>
        </w:rPr>
        <w:t>Constituye el modelo central de la localización. Cada registro representa un rango de números de comprobante autorizado por la DGII para un tipo de documento específico en un diario determinado. La integridad de estos registros garantiza el cumplimiento de la normativa fiscal.</w:t>
      </w:r>
    </w:p>
    <w:p>
      <w:r>
        <w:rPr>
          <w:b/>
          <w:i w:val="0"/>
        </w:rPr>
        <w:t>Campos de configuración (definidos por el usuario):</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701"/>
            <w:shd w:val="clear" w:color="auto" w:fill="1F3864"/>
          </w:tcPr>
          <w:p>
            <w:pPr>
              <w:jc w:val="center"/>
            </w:pPr>
            <w:r>
              <w:rPr>
                <w:b/>
                <w:color w:val="FFFFFF"/>
                <w:sz w:val="18"/>
              </w:rPr>
              <w:t>Tipo ORM</w:t>
            </w:r>
          </w:p>
        </w:tc>
        <w:tc>
          <w:tcPr>
            <w:tcW w:type="dxa" w:w="4535"/>
            <w:shd w:val="clear" w:color="auto" w:fill="1F3864"/>
          </w:tcPr>
          <w:p>
            <w:pPr>
              <w:jc w:val="center"/>
            </w:pPr>
            <w:r>
              <w:rPr>
                <w:b/>
                <w:color w:val="FFFFFF"/>
                <w:sz w:val="18"/>
              </w:rPr>
              <w:t>Descripción</w:t>
            </w:r>
          </w:p>
        </w:tc>
      </w:tr>
      <w:tr>
        <w:tc>
          <w:tcPr>
            <w:tcW w:type="dxa" w:w="2835"/>
            <w:shd w:val="clear" w:color="auto" w:fill="EBF0F8"/>
          </w:tcPr>
          <w:p>
            <w:r>
              <w:rPr>
                <w:sz w:val="18"/>
              </w:rPr>
              <w:t>journal_document_type_id</w:t>
            </w:r>
          </w:p>
        </w:tc>
        <w:tc>
          <w:tcPr>
            <w:tcW w:type="dxa" w:w="1701"/>
            <w:shd w:val="clear" w:color="auto" w:fill="EBF0F8"/>
          </w:tcPr>
          <w:p>
            <w:r>
              <w:rPr>
                <w:sz w:val="18"/>
              </w:rPr>
              <w:t>Many2one (required)</w:t>
            </w:r>
          </w:p>
        </w:tc>
        <w:tc>
          <w:tcPr>
            <w:tcW w:type="dxa" w:w="4535"/>
            <w:shd w:val="clear" w:color="auto" w:fill="EBF0F8"/>
          </w:tcPr>
          <w:p>
            <w:r>
              <w:rPr>
                <w:sz w:val="18"/>
              </w:rPr>
              <w:t>Tipo de documento fiscal padre al que pertenece el lote.</w:t>
            </w:r>
          </w:p>
        </w:tc>
      </w:tr>
      <w:tr>
        <w:tc>
          <w:tcPr>
            <w:tcW w:type="dxa" w:w="2835"/>
            <w:shd w:val="clear" w:color="auto" w:fill="FFFFFF"/>
          </w:tcPr>
          <w:p>
            <w:r>
              <w:rPr>
                <w:sz w:val="18"/>
              </w:rPr>
              <w:t>l10n_do_sequence_start</w:t>
            </w:r>
          </w:p>
        </w:tc>
        <w:tc>
          <w:tcPr>
            <w:tcW w:type="dxa" w:w="1701"/>
            <w:shd w:val="clear" w:color="auto" w:fill="FFFFFF"/>
          </w:tcPr>
          <w:p>
            <w:r>
              <w:rPr>
                <w:sz w:val="18"/>
              </w:rPr>
              <w:t>Char</w:t>
            </w:r>
          </w:p>
        </w:tc>
        <w:tc>
          <w:tcPr>
            <w:tcW w:type="dxa" w:w="4535"/>
            <w:shd w:val="clear" w:color="auto" w:fill="FFFFFF"/>
          </w:tcPr>
          <w:p>
            <w:r>
              <w:rPr>
                <w:sz w:val="18"/>
              </w:rPr>
              <w:t>Primer NCF del rango autorizado (ej: B0100000001, E310000000001).</w:t>
            </w:r>
          </w:p>
        </w:tc>
      </w:tr>
      <w:tr>
        <w:tc>
          <w:tcPr>
            <w:tcW w:type="dxa" w:w="2835"/>
            <w:shd w:val="clear" w:color="auto" w:fill="EBF0F8"/>
          </w:tcPr>
          <w:p>
            <w:r>
              <w:rPr>
                <w:sz w:val="18"/>
              </w:rPr>
              <w:t>l10n_do_sequence_end</w:t>
            </w:r>
          </w:p>
        </w:tc>
        <w:tc>
          <w:tcPr>
            <w:tcW w:type="dxa" w:w="1701"/>
            <w:shd w:val="clear" w:color="auto" w:fill="EBF0F8"/>
          </w:tcPr>
          <w:p>
            <w:r>
              <w:rPr>
                <w:sz w:val="18"/>
              </w:rPr>
              <w:t>Char</w:t>
            </w:r>
          </w:p>
        </w:tc>
        <w:tc>
          <w:tcPr>
            <w:tcW w:type="dxa" w:w="4535"/>
            <w:shd w:val="clear" w:color="auto" w:fill="EBF0F8"/>
          </w:tcPr>
          <w:p>
            <w:r>
              <w:rPr>
                <w:sz w:val="18"/>
              </w:rPr>
              <w:t>Último NCF del rango autorizado.</w:t>
            </w:r>
          </w:p>
        </w:tc>
      </w:tr>
      <w:tr>
        <w:tc>
          <w:tcPr>
            <w:tcW w:type="dxa" w:w="2835"/>
            <w:shd w:val="clear" w:color="auto" w:fill="FFFFFF"/>
          </w:tcPr>
          <w:p>
            <w:r>
              <w:rPr>
                <w:sz w:val="18"/>
              </w:rPr>
              <w:t>l10n_do_date_from</w:t>
            </w:r>
          </w:p>
        </w:tc>
        <w:tc>
          <w:tcPr>
            <w:tcW w:type="dxa" w:w="1701"/>
            <w:shd w:val="clear" w:color="auto" w:fill="FFFFFF"/>
          </w:tcPr>
          <w:p>
            <w:r>
              <w:rPr>
                <w:sz w:val="18"/>
              </w:rPr>
              <w:t>Date</w:t>
            </w:r>
          </w:p>
        </w:tc>
        <w:tc>
          <w:tcPr>
            <w:tcW w:type="dxa" w:w="4535"/>
            <w:shd w:val="clear" w:color="auto" w:fill="FFFFFF"/>
          </w:tcPr>
          <w:p>
            <w:r>
              <w:rPr>
                <w:sz w:val="18"/>
              </w:rPr>
              <w:t>Fecha de inicio de validez del lote.</w:t>
            </w:r>
          </w:p>
        </w:tc>
      </w:tr>
      <w:tr>
        <w:tc>
          <w:tcPr>
            <w:tcW w:type="dxa" w:w="2835"/>
            <w:shd w:val="clear" w:color="auto" w:fill="EBF0F8"/>
          </w:tcPr>
          <w:p>
            <w:r>
              <w:rPr>
                <w:sz w:val="18"/>
              </w:rPr>
              <w:t>l10n_do_date_to</w:t>
            </w:r>
          </w:p>
        </w:tc>
        <w:tc>
          <w:tcPr>
            <w:tcW w:type="dxa" w:w="1701"/>
            <w:shd w:val="clear" w:color="auto" w:fill="EBF0F8"/>
          </w:tcPr>
          <w:p>
            <w:r>
              <w:rPr>
                <w:sz w:val="18"/>
              </w:rPr>
              <w:t>Date</w:t>
            </w:r>
          </w:p>
        </w:tc>
        <w:tc>
          <w:tcPr>
            <w:tcW w:type="dxa" w:w="4535"/>
            <w:shd w:val="clear" w:color="auto" w:fill="EBF0F8"/>
          </w:tcPr>
          <w:p>
            <w:r>
              <w:rPr>
                <w:sz w:val="18"/>
              </w:rPr>
              <w:t>Fecha de vencimiento de la autorización DGII.</w:t>
            </w:r>
          </w:p>
        </w:tc>
      </w:tr>
    </w:tbl>
    <w:p/>
    <w:p>
      <w:r>
        <w:rPr>
          <w:b/>
          <w:i w:val="0"/>
        </w:rPr>
        <w:t>Campos calculados (computed):</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Campo</w:t>
            </w:r>
          </w:p>
        </w:tc>
        <w:tc>
          <w:tcPr>
            <w:tcW w:type="dxa" w:w="1701"/>
            <w:shd w:val="clear" w:color="auto" w:fill="1F3864"/>
          </w:tcPr>
          <w:p>
            <w:pPr>
              <w:jc w:val="center"/>
            </w:pPr>
            <w:r>
              <w:rPr>
                <w:b/>
                <w:color w:val="FFFFFF"/>
                <w:sz w:val="18"/>
              </w:rPr>
              <w:t>Tipo ORM</w:t>
            </w:r>
          </w:p>
        </w:tc>
        <w:tc>
          <w:tcPr>
            <w:tcW w:type="dxa" w:w="4535"/>
            <w:shd w:val="clear" w:color="auto" w:fill="1F3864"/>
          </w:tcPr>
          <w:p>
            <w:pPr>
              <w:jc w:val="center"/>
            </w:pPr>
            <w:r>
              <w:rPr>
                <w:b/>
                <w:color w:val="FFFFFF"/>
                <w:sz w:val="18"/>
              </w:rPr>
              <w:t>Descripción</w:t>
            </w:r>
          </w:p>
        </w:tc>
      </w:tr>
      <w:tr>
        <w:tc>
          <w:tcPr>
            <w:tcW w:type="dxa" w:w="3041"/>
          </w:tcPr>
          <w:p>
            <w:r>
              <w:t>name</w:t>
            </w:r>
          </w:p>
        </w:tc>
        <w:tc>
          <w:tcPr>
            <w:tcW w:type="dxa" w:w="3041"/>
          </w:tcPr>
          <w:p>
            <w:r>
              <w:t>Char (computed, stored)</w:t>
            </w:r>
          </w:p>
        </w:tc>
        <w:tc>
          <w:tcPr>
            <w:tcW w:type="dxa" w:w="3041"/>
          </w:tcPr>
          <w:p>
            <w:r>
              <w:t>Nombre legible del lote en formato "INICIO → FIN" (ej: B0100000001 → B0100001000). Es el _rec_name del modelo, usado para mostrar el lote en campos Many2one.</w:t>
            </w:r>
          </w:p>
        </w:tc>
      </w:tr>
      <w:tr>
        <w:tc>
          <w:tcPr>
            <w:tcW w:type="dxa" w:w="2835"/>
            <w:shd w:val="clear" w:color="auto" w:fill="EBF0F8"/>
          </w:tcPr>
          <w:p>
            <w:r>
              <w:rPr>
                <w:sz w:val="18"/>
              </w:rPr>
              <w:t>l10n_do_prefix</w:t>
            </w:r>
          </w:p>
        </w:tc>
        <w:tc>
          <w:tcPr>
            <w:tcW w:type="dxa" w:w="1701"/>
            <w:shd w:val="clear" w:color="auto" w:fill="EBF0F8"/>
          </w:tcPr>
          <w:p>
            <w:r>
              <w:rPr>
                <w:sz w:val="18"/>
              </w:rPr>
              <w:t>Char (computed)</w:t>
            </w:r>
          </w:p>
        </w:tc>
        <w:tc>
          <w:tcPr>
            <w:tcW w:type="dxa" w:w="4535"/>
            <w:shd w:val="clear" w:color="auto" w:fill="EBF0F8"/>
          </w:tcPr>
          <w:p>
            <w:r>
              <w:rPr>
                <w:sz w:val="18"/>
              </w:rPr>
              <w:t>Prefijo extraído del NCF de inicio (ej: "B01", "E31").</w:t>
            </w:r>
          </w:p>
        </w:tc>
      </w:tr>
      <w:tr>
        <w:tc>
          <w:tcPr>
            <w:tcW w:type="dxa" w:w="2835"/>
            <w:shd w:val="clear" w:color="auto" w:fill="FFFFFF"/>
          </w:tcPr>
          <w:p>
            <w:r>
              <w:rPr>
                <w:sz w:val="18"/>
              </w:rPr>
              <w:t>l10n_do_start_number</w:t>
            </w:r>
          </w:p>
        </w:tc>
        <w:tc>
          <w:tcPr>
            <w:tcW w:type="dxa" w:w="1701"/>
            <w:shd w:val="clear" w:color="auto" w:fill="FFFFFF"/>
          </w:tcPr>
          <w:p>
            <w:r>
              <w:rPr>
                <w:sz w:val="18"/>
              </w:rPr>
              <w:t>Integer (computed)</w:t>
            </w:r>
          </w:p>
        </w:tc>
        <w:tc>
          <w:tcPr>
            <w:tcW w:type="dxa" w:w="4535"/>
            <w:shd w:val="clear" w:color="auto" w:fill="FFFFFF"/>
          </w:tcPr>
          <w:p>
            <w:r>
              <w:rPr>
                <w:sz w:val="18"/>
              </w:rPr>
              <w:t>Número de secuencia extraído del NCF de inicio.</w:t>
            </w:r>
          </w:p>
        </w:tc>
      </w:tr>
      <w:tr>
        <w:tc>
          <w:tcPr>
            <w:tcW w:type="dxa" w:w="2835"/>
            <w:shd w:val="clear" w:color="auto" w:fill="EBF0F8"/>
          </w:tcPr>
          <w:p>
            <w:r>
              <w:rPr>
                <w:sz w:val="18"/>
              </w:rPr>
              <w:t>l10n_do_end_number</w:t>
            </w:r>
          </w:p>
        </w:tc>
        <w:tc>
          <w:tcPr>
            <w:tcW w:type="dxa" w:w="1701"/>
            <w:shd w:val="clear" w:color="auto" w:fill="EBF0F8"/>
          </w:tcPr>
          <w:p>
            <w:r>
              <w:rPr>
                <w:sz w:val="18"/>
              </w:rPr>
              <w:t>Integer (computed)</w:t>
            </w:r>
          </w:p>
        </w:tc>
        <w:tc>
          <w:tcPr>
            <w:tcW w:type="dxa" w:w="4535"/>
            <w:shd w:val="clear" w:color="auto" w:fill="EBF0F8"/>
          </w:tcPr>
          <w:p>
            <w:r>
              <w:rPr>
                <w:sz w:val="18"/>
              </w:rPr>
              <w:t>Número de secuencia extraído del NCF de fin.</w:t>
            </w:r>
          </w:p>
        </w:tc>
      </w:tr>
      <w:tr>
        <w:tc>
          <w:tcPr>
            <w:tcW w:type="dxa" w:w="2835"/>
            <w:shd w:val="clear" w:color="auto" w:fill="FFFFFF"/>
          </w:tcPr>
          <w:p>
            <w:r>
              <w:rPr>
                <w:sz w:val="18"/>
              </w:rPr>
              <w:t>l10n_do_next_number</w:t>
            </w:r>
          </w:p>
        </w:tc>
        <w:tc>
          <w:tcPr>
            <w:tcW w:type="dxa" w:w="1701"/>
            <w:shd w:val="clear" w:color="auto" w:fill="FFFFFF"/>
          </w:tcPr>
          <w:p>
            <w:r>
              <w:rPr>
                <w:sz w:val="18"/>
              </w:rPr>
              <w:t>Integer (computed)</w:t>
            </w:r>
          </w:p>
        </w:tc>
        <w:tc>
          <w:tcPr>
            <w:tcW w:type="dxa" w:w="4535"/>
            <w:shd w:val="clear" w:color="auto" w:fill="FFFFFF"/>
          </w:tcPr>
          <w:p>
            <w:r>
              <w:rPr>
                <w:sz w:val="18"/>
              </w:rPr>
              <w:t>Siguiente número disponible a emitir en el lote.</w:t>
            </w:r>
          </w:p>
        </w:tc>
      </w:tr>
      <w:tr>
        <w:tc>
          <w:tcPr>
            <w:tcW w:type="dxa" w:w="2835"/>
            <w:shd w:val="clear" w:color="auto" w:fill="EBF0F8"/>
          </w:tcPr>
          <w:p>
            <w:r>
              <w:rPr>
                <w:sz w:val="18"/>
              </w:rPr>
              <w:t>l10n_do_remaining</w:t>
            </w:r>
          </w:p>
        </w:tc>
        <w:tc>
          <w:tcPr>
            <w:tcW w:type="dxa" w:w="1701"/>
            <w:shd w:val="clear" w:color="auto" w:fill="EBF0F8"/>
          </w:tcPr>
          <w:p>
            <w:r>
              <w:rPr>
                <w:sz w:val="18"/>
              </w:rPr>
              <w:t>Integer (computed)</w:t>
            </w:r>
          </w:p>
        </w:tc>
        <w:tc>
          <w:tcPr>
            <w:tcW w:type="dxa" w:w="4535"/>
            <w:shd w:val="clear" w:color="auto" w:fill="EBF0F8"/>
          </w:tcPr>
          <w:p>
            <w:r>
              <w:rPr>
                <w:sz w:val="18"/>
              </w:rPr>
              <w:t>Cantidad de comprobantes disponibles restantes.</w:t>
            </w:r>
          </w:p>
        </w:tc>
      </w:tr>
      <w:tr>
        <w:tc>
          <w:tcPr>
            <w:tcW w:type="dxa" w:w="2835"/>
            <w:shd w:val="clear" w:color="auto" w:fill="FFFFFF"/>
          </w:tcPr>
          <w:p>
            <w:r>
              <w:rPr>
                <w:sz w:val="18"/>
              </w:rPr>
              <w:t>l10n_do_is_used</w:t>
            </w:r>
          </w:p>
        </w:tc>
        <w:tc>
          <w:tcPr>
            <w:tcW w:type="dxa" w:w="1701"/>
            <w:shd w:val="clear" w:color="auto" w:fill="FFFFFF"/>
          </w:tcPr>
          <w:p>
            <w:r>
              <w:rPr>
                <w:sz w:val="18"/>
              </w:rPr>
              <w:t>Boolean (computed)</w:t>
            </w:r>
          </w:p>
        </w:tc>
        <w:tc>
          <w:tcPr>
            <w:tcW w:type="dxa" w:w="4535"/>
            <w:shd w:val="clear" w:color="auto" w:fill="FFFFFF"/>
          </w:tcPr>
          <w:p>
            <w:r>
              <w:rPr>
                <w:sz w:val="18"/>
              </w:rPr>
              <w:t>True si al menos una factura publicada utiliza este lote.</w:t>
            </w:r>
          </w:p>
        </w:tc>
      </w:tr>
      <w:tr>
        <w:tc>
          <w:tcPr>
            <w:tcW w:type="dxa" w:w="2835"/>
            <w:shd w:val="clear" w:color="auto" w:fill="EBF0F8"/>
          </w:tcPr>
          <w:p>
            <w:r>
              <w:rPr>
                <w:sz w:val="18"/>
              </w:rPr>
              <w:t>l10n_do_state</w:t>
            </w:r>
          </w:p>
        </w:tc>
        <w:tc>
          <w:tcPr>
            <w:tcW w:type="dxa" w:w="1701"/>
            <w:shd w:val="clear" w:color="auto" w:fill="EBF0F8"/>
          </w:tcPr>
          <w:p>
            <w:r>
              <w:rPr>
                <w:sz w:val="18"/>
              </w:rPr>
              <w:t>Selection (computed, stored)</w:t>
            </w:r>
          </w:p>
        </w:tc>
        <w:tc>
          <w:tcPr>
            <w:tcW w:type="dxa" w:w="4535"/>
            <w:shd w:val="clear" w:color="auto" w:fill="EBF0F8"/>
          </w:tcPr>
          <w:p>
            <w:r>
              <w:rPr>
                <w:sz w:val="18"/>
              </w:rPr>
              <w:t>Estado del lote: active | exhausted | expired.</w:t>
            </w:r>
          </w:p>
        </w:tc>
      </w:tr>
    </w:tbl>
    <w:p/>
    <w:p>
      <w:r>
        <w:rPr>
          <w:b/>
          <w:i w:val="0"/>
        </w:rPr>
        <w:t>Mecanismo de bloqueo por integridad:</w:t>
      </w:r>
    </w:p>
    <w:p>
      <w:r>
        <w:rPr>
          <w:b w:val="0"/>
          <w:i w:val="0"/>
        </w:rPr>
        <w:t>Una vez que el campo l10n_do_is_used pasa a True (primer comprobante emitido), el ORM aplica las siguientes restricciones:</w:t>
      </w:r>
    </w:p>
    <w:p>
      <w:pPr>
        <w:pStyle w:val="ListBullet"/>
        <w:ind w:left="283"/>
      </w:pPr>
      <w:r>
        <w:t>Los campos journal_document_type_id, l10n_do_sequence_start, l10n_do_sequence_end y l10n_do_date_from son de solo lectura. El método write() lanzará UserError ante cualquier intento de modificación.</w:t>
      </w:r>
    </w:p>
    <w:p>
      <w:pPr>
        <w:pStyle w:val="ListBullet"/>
        <w:ind w:left="283"/>
      </w:pPr>
      <w:r>
        <w:t>El método unlink() es bloqueado, lanzando UserError para preservar el histórico de auditoría.</w:t>
      </w:r>
    </w:p>
    <w:p>
      <w:pPr>
        <w:pStyle w:val="ListBullet"/>
        <w:ind w:left="283"/>
      </w:pPr>
      <w:r>
        <w:t>Únicamente el campo l10n_do_date_to puede ser modificado, para permitir la extensión de la vigencia del lote.</w:t>
      </w:r>
    </w:p>
    <w:p>
      <w:r>
        <w:rPr>
          <w:b/>
          <w:i w:val="0"/>
        </w:rPr>
        <w:t>Métodos clave:</w:t>
      </w:r>
    </w:p>
    <w:tbl>
      <w:tblPr>
        <w:tblStyle w:val="TableGrid"/>
        <w:tblW w:type="auto" w:w="0"/>
        <w:tblLook w:firstColumn="1" w:firstRow="1" w:lastColumn="0" w:lastRow="0" w:noHBand="0" w:noVBand="1" w:val="04A0"/>
      </w:tblPr>
      <w:tblGrid>
        <w:gridCol w:w="4561"/>
        <w:gridCol w:w="4561"/>
      </w:tblGrid>
      <w:tr>
        <w:tc>
          <w:tcPr>
            <w:tcW w:type="dxa" w:w="3685"/>
            <w:shd w:val="clear" w:color="auto" w:fill="1F3864"/>
          </w:tcPr>
          <w:p>
            <w:pPr>
              <w:jc w:val="center"/>
            </w:pPr>
            <w:r>
              <w:rPr>
                <w:b/>
                <w:color w:val="FFFFFF"/>
                <w:sz w:val="18"/>
              </w:rPr>
              <w:t>Método</w:t>
            </w:r>
          </w:p>
        </w:tc>
        <w:tc>
          <w:tcPr>
            <w:tcW w:type="dxa" w:w="5386"/>
            <w:shd w:val="clear" w:color="auto" w:fill="1F3864"/>
          </w:tcPr>
          <w:p>
            <w:pPr>
              <w:jc w:val="center"/>
            </w:pPr>
            <w:r>
              <w:rPr>
                <w:b/>
                <w:color w:val="FFFFFF"/>
                <w:sz w:val="18"/>
              </w:rPr>
              <w:t>Descripción</w:t>
            </w:r>
          </w:p>
        </w:tc>
      </w:tr>
      <w:tr>
        <w:tc>
          <w:tcPr>
            <w:tcW w:type="dxa" w:w="4561"/>
          </w:tcPr>
          <w:p>
            <w:r>
              <w:t>_compute_name()</w:t>
            </w:r>
          </w:p>
        </w:tc>
        <w:tc>
          <w:tcPr>
            <w:tcW w:type="dxa" w:w="4561"/>
          </w:tcPr>
          <w:p>
            <w:r>
              <w:t>Calcula el campo name concatenando l10n_do_sequence_start y l10n_do_sequence_end con flecha (→). Depende de los mismos campos que _compute_parsed_numbers.</w:t>
            </w:r>
          </w:p>
        </w:tc>
      </w:tr>
      <w:tr>
        <w:tc>
          <w:tcPr>
            <w:tcW w:type="dxa" w:w="3685"/>
            <w:shd w:val="clear" w:color="auto" w:fill="EBF0F8"/>
          </w:tcPr>
          <w:p>
            <w:r>
              <w:rPr>
                <w:sz w:val="18"/>
              </w:rPr>
              <w:t>_get_active_batch(journal_document_type_id, date)</w:t>
            </w:r>
          </w:p>
        </w:tc>
        <w:tc>
          <w:tcPr>
            <w:tcW w:type="dxa" w:w="5386"/>
            <w:shd w:val="clear" w:color="auto" w:fill="EBF0F8"/>
          </w:tcPr>
          <w:p>
            <w:r>
              <w:rPr>
                <w:sz w:val="18"/>
              </w:rPr>
              <w:t>Método estático. Retorna el lote cuya ventana de fechas cubre la fecha proporcionada y cuyo estado no es expired.</w:t>
            </w:r>
          </w:p>
        </w:tc>
      </w:tr>
      <w:tr>
        <w:tc>
          <w:tcPr>
            <w:tcW w:type="dxa" w:w="3685"/>
            <w:shd w:val="clear" w:color="auto" w:fill="FFFFFF"/>
          </w:tcPr>
          <w:p>
            <w:r>
              <w:rPr>
                <w:sz w:val="18"/>
              </w:rPr>
              <w:t>get_next_fiscal_number()</w:t>
            </w:r>
          </w:p>
        </w:tc>
        <w:tc>
          <w:tcPr>
            <w:tcW w:type="dxa" w:w="5386"/>
            <w:shd w:val="clear" w:color="auto" w:fill="FFFFFF"/>
          </w:tcPr>
          <w:p>
            <w:r>
              <w:rPr>
                <w:sz w:val="18"/>
              </w:rPr>
              <w:t>Retorna el siguiente NCF formateado y listo para asignar. Lanza UserError si el lote está agotado o vencido.</w:t>
            </w:r>
          </w:p>
        </w:tc>
      </w:tr>
      <w:tr>
        <w:tc>
          <w:tcPr>
            <w:tcW w:type="dxa" w:w="3685"/>
            <w:shd w:val="clear" w:color="auto" w:fill="EBF0F8"/>
          </w:tcPr>
          <w:p>
            <w:r>
              <w:rPr>
                <w:sz w:val="18"/>
              </w:rPr>
              <w:t>_check_no_overlap()</w:t>
            </w:r>
          </w:p>
        </w:tc>
        <w:tc>
          <w:tcPr>
            <w:tcW w:type="dxa" w:w="5386"/>
            <w:shd w:val="clear" w:color="auto" w:fill="EBF0F8"/>
          </w:tcPr>
          <w:p>
            <w:r>
              <w:rPr>
                <w:sz w:val="18"/>
              </w:rPr>
              <w:t>Constraint SQL: valida que no existan rangos de secuencia solapados para el mismo tipo de documento en el mismo diario.</w:t>
            </w:r>
          </w:p>
        </w:tc>
      </w:tr>
      <w:tr>
        <w:tc>
          <w:tcPr>
            <w:tcW w:type="dxa" w:w="3685"/>
            <w:shd w:val="clear" w:color="auto" w:fill="FFFFFF"/>
          </w:tcPr>
          <w:p>
            <w:r>
              <w:rPr>
                <w:sz w:val="18"/>
              </w:rPr>
              <w:t>_check_dates()</w:t>
            </w:r>
          </w:p>
        </w:tc>
        <w:tc>
          <w:tcPr>
            <w:tcW w:type="dxa" w:w="5386"/>
            <w:shd w:val="clear" w:color="auto" w:fill="FFFFFF"/>
          </w:tcPr>
          <w:p>
            <w:r>
              <w:rPr>
                <w:sz w:val="18"/>
              </w:rPr>
              <w:t>Constraint: valida que l10n_do_date_from sea anterior a l10n_do_date_to.</w:t>
            </w:r>
          </w:p>
        </w:tc>
      </w:tr>
      <w:tr>
        <w:tc>
          <w:tcPr>
            <w:tcW w:type="dxa" w:w="3685"/>
            <w:shd w:val="clear" w:color="auto" w:fill="EBF0F8"/>
          </w:tcPr>
          <w:p>
            <w:r>
              <w:rPr>
                <w:sz w:val="18"/>
              </w:rPr>
              <w:t>_check_format()</w:t>
            </w:r>
          </w:p>
        </w:tc>
        <w:tc>
          <w:tcPr>
            <w:tcW w:type="dxa" w:w="5386"/>
            <w:shd w:val="clear" w:color="auto" w:fill="EBF0F8"/>
          </w:tcPr>
          <w:p>
            <w:r>
              <w:rPr>
                <w:sz w:val="18"/>
              </w:rPr>
              <w:t>Constraint: valida que el formato del NCF de inicio y fin cumpla con el regex correspondiente (B o E).</w:t>
            </w:r>
          </w:p>
        </w:tc>
      </w:tr>
    </w:tbl>
    <w:p/>
    <w:p>
      <w:pPr>
        <w:pStyle w:val="Heading2"/>
        <w:jc w:val="left"/>
      </w:pPr>
      <w:r>
        <w:t>3.6 account.move  —  account_move.py</w:t>
      </w:r>
    </w:p>
    <w:p>
      <w:r>
        <w:rPr>
          <w:b w:val="0"/>
          <w:i w:val="0"/>
        </w:rPr>
        <w:t>Es el modelo de mayor extensión del módulo. Agrega toda la funcionalidad de numeración fiscal, soporte para e-CF y los metadatos requeridos por la DGII al modelo estándar de facturas/asientos de Odoo.</w:t>
      </w:r>
    </w:p>
    <w:p>
      <w:r>
        <w:rPr>
          <w:b/>
          <w:i w:val="0"/>
        </w:rPr>
        <w:t>Campos de numeración fiscal:</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1F3864"/>
          </w:tcPr>
          <w:p>
            <w:pPr>
              <w:jc w:val="center"/>
            </w:pPr>
            <w:r>
              <w:rPr>
                <w:b/>
                <w:color w:val="FFFFFF"/>
                <w:sz w:val="18"/>
              </w:rPr>
              <w:t>Campo</w:t>
            </w:r>
          </w:p>
        </w:tc>
        <w:tc>
          <w:tcPr>
            <w:tcW w:type="dxa" w:w="1984"/>
            <w:shd w:val="clear" w:color="auto" w:fill="1F3864"/>
          </w:tcPr>
          <w:p>
            <w:pPr>
              <w:jc w:val="center"/>
            </w:pPr>
            <w:r>
              <w:rPr>
                <w:b/>
                <w:color w:val="FFFFFF"/>
                <w:sz w:val="18"/>
              </w:rPr>
              <w:t>Tipo ORM</w:t>
            </w:r>
          </w:p>
        </w:tc>
        <w:tc>
          <w:tcPr>
            <w:tcW w:type="dxa" w:w="3969"/>
            <w:shd w:val="clear" w:color="auto" w:fill="1F3864"/>
          </w:tcPr>
          <w:p>
            <w:pPr>
              <w:jc w:val="center"/>
            </w:pPr>
            <w:r>
              <w:rPr>
                <w:b/>
                <w:color w:val="FFFFFF"/>
                <w:sz w:val="18"/>
              </w:rPr>
              <w:t>Descripción</w:t>
            </w:r>
          </w:p>
        </w:tc>
      </w:tr>
      <w:tr>
        <w:tc>
          <w:tcPr>
            <w:tcW w:type="dxa" w:w="3118"/>
            <w:shd w:val="clear" w:color="auto" w:fill="EBF0F8"/>
          </w:tcPr>
          <w:p>
            <w:r>
              <w:rPr>
                <w:sz w:val="18"/>
              </w:rPr>
              <w:t>l10n_do_fiscal_number</w:t>
            </w:r>
          </w:p>
        </w:tc>
        <w:tc>
          <w:tcPr>
            <w:tcW w:type="dxa" w:w="1984"/>
            <w:shd w:val="clear" w:color="auto" w:fill="EBF0F8"/>
          </w:tcPr>
          <w:p>
            <w:r>
              <w:rPr>
                <w:sz w:val="18"/>
              </w:rPr>
              <w:t>Char (indexed)</w:t>
            </w:r>
          </w:p>
        </w:tc>
        <w:tc>
          <w:tcPr>
            <w:tcW w:type="dxa" w:w="3969"/>
            <w:shd w:val="clear" w:color="auto" w:fill="EBF0F8"/>
          </w:tcPr>
          <w:p>
            <w:r>
              <w:rPr>
                <w:sz w:val="18"/>
              </w:rPr>
              <w:t>NCF o e-CF asignado a la factura. Indexado para búsquedas rápidas.</w:t>
            </w:r>
          </w:p>
        </w:tc>
      </w:tr>
      <w:tr>
        <w:tc>
          <w:tcPr>
            <w:tcW w:type="dxa" w:w="3118"/>
            <w:shd w:val="clear" w:color="auto" w:fill="FFFFFF"/>
          </w:tcPr>
          <w:p>
            <w:r>
              <w:rPr>
                <w:sz w:val="18"/>
              </w:rPr>
              <w:t>l10n_do_sequence_prefix</w:t>
            </w:r>
          </w:p>
        </w:tc>
        <w:tc>
          <w:tcPr>
            <w:tcW w:type="dxa" w:w="1984"/>
            <w:shd w:val="clear" w:color="auto" w:fill="FFFFFF"/>
          </w:tcPr>
          <w:p>
            <w:r>
              <w:rPr>
                <w:sz w:val="18"/>
              </w:rPr>
              <w:t>Char (computed, stored)</w:t>
            </w:r>
          </w:p>
        </w:tc>
        <w:tc>
          <w:tcPr>
            <w:tcW w:type="dxa" w:w="3969"/>
            <w:shd w:val="clear" w:color="auto" w:fill="FFFFFF"/>
          </w:tcPr>
          <w:p>
            <w:r>
              <w:rPr>
                <w:sz w:val="18"/>
              </w:rPr>
              <w:t>Prefijo extraído de l10n_do_fiscal_number (ej: "B01", "E31").</w:t>
            </w:r>
          </w:p>
        </w:tc>
      </w:tr>
      <w:tr>
        <w:tc>
          <w:tcPr>
            <w:tcW w:type="dxa" w:w="3118"/>
            <w:shd w:val="clear" w:color="auto" w:fill="EBF0F8"/>
          </w:tcPr>
          <w:p>
            <w:r>
              <w:rPr>
                <w:sz w:val="18"/>
              </w:rPr>
              <w:t>l10n_do_sequence_number</w:t>
            </w:r>
          </w:p>
        </w:tc>
        <w:tc>
          <w:tcPr>
            <w:tcW w:type="dxa" w:w="1984"/>
            <w:shd w:val="clear" w:color="auto" w:fill="EBF0F8"/>
          </w:tcPr>
          <w:p>
            <w:r>
              <w:rPr>
                <w:sz w:val="18"/>
              </w:rPr>
              <w:t>Integer (computed, stored)</w:t>
            </w:r>
          </w:p>
        </w:tc>
        <w:tc>
          <w:tcPr>
            <w:tcW w:type="dxa" w:w="3969"/>
            <w:shd w:val="clear" w:color="auto" w:fill="EBF0F8"/>
          </w:tcPr>
          <w:p>
            <w:r>
              <w:rPr>
                <w:sz w:val="18"/>
              </w:rPr>
              <w:t>Número de secuencia extraído de l10n_do_fiscal_number.</w:t>
            </w:r>
          </w:p>
        </w:tc>
      </w:tr>
      <w:tr>
        <w:tc>
          <w:tcPr>
            <w:tcW w:type="dxa" w:w="3118"/>
            <w:shd w:val="clear" w:color="auto" w:fill="FFFFFF"/>
          </w:tcPr>
          <w:p>
            <w:r>
              <w:rPr>
                <w:sz w:val="18"/>
              </w:rPr>
              <w:t>is_l10n_do_fiscal_invoice</w:t>
            </w:r>
          </w:p>
        </w:tc>
        <w:tc>
          <w:tcPr>
            <w:tcW w:type="dxa" w:w="1984"/>
            <w:shd w:val="clear" w:color="auto" w:fill="FFFFFF"/>
          </w:tcPr>
          <w:p>
            <w:r>
              <w:rPr>
                <w:sz w:val="18"/>
              </w:rPr>
              <w:t>Boolean (computed, stored)</w:t>
            </w:r>
          </w:p>
        </w:tc>
        <w:tc>
          <w:tcPr>
            <w:tcW w:type="dxa" w:w="3969"/>
            <w:shd w:val="clear" w:color="auto" w:fill="FFFFFF"/>
          </w:tcPr>
          <w:p>
            <w:r>
              <w:rPr>
                <w:sz w:val="18"/>
              </w:rPr>
              <w:t>True cuando l10n_do_fiscal_number está definido y no está vacío.</w:t>
            </w:r>
          </w:p>
        </w:tc>
      </w:tr>
      <w:tr>
        <w:tc>
          <w:tcPr>
            <w:tcW w:type="dxa" w:w="3118"/>
            <w:shd w:val="clear" w:color="auto" w:fill="EBF0F8"/>
          </w:tcPr>
          <w:p>
            <w:r>
              <w:rPr>
                <w:sz w:val="18"/>
              </w:rPr>
              <w:t>l10n_latam_manual_document_number</w:t>
            </w:r>
          </w:p>
        </w:tc>
        <w:tc>
          <w:tcPr>
            <w:tcW w:type="dxa" w:w="1984"/>
            <w:shd w:val="clear" w:color="auto" w:fill="EBF0F8"/>
          </w:tcPr>
          <w:p>
            <w:r>
              <w:rPr>
                <w:sz w:val="18"/>
              </w:rPr>
              <w:t>Boolean (stored)</w:t>
            </w:r>
          </w:p>
        </w:tc>
        <w:tc>
          <w:tcPr>
            <w:tcW w:type="dxa" w:w="3969"/>
            <w:shd w:val="clear" w:color="auto" w:fill="EBF0F8"/>
          </w:tcPr>
          <w:p>
            <w:r>
              <w:rPr>
                <w:sz w:val="18"/>
              </w:rPr>
              <w:t>True para facturas de compra cuyo NCF es ingresado manualmente por el usuario (proveedor con RNC propio).</w:t>
            </w:r>
          </w:p>
        </w:tc>
      </w:tr>
    </w:tbl>
    <w:p/>
    <w:p>
      <w:r>
        <w:rPr>
          <w:b/>
          <w:i w:val="0"/>
        </w:rPr>
        <w:t>Campos de facturación electrónica (e-CF):</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1F3864"/>
          </w:tcPr>
          <w:p>
            <w:pPr>
              <w:jc w:val="center"/>
            </w:pPr>
            <w:r>
              <w:rPr>
                <w:b/>
                <w:color w:val="FFFFFF"/>
                <w:sz w:val="18"/>
              </w:rPr>
              <w:t>Campo</w:t>
            </w:r>
          </w:p>
        </w:tc>
        <w:tc>
          <w:tcPr>
            <w:tcW w:type="dxa" w:w="1984"/>
            <w:shd w:val="clear" w:color="auto" w:fill="1F3864"/>
          </w:tcPr>
          <w:p>
            <w:pPr>
              <w:jc w:val="center"/>
            </w:pPr>
            <w:r>
              <w:rPr>
                <w:b/>
                <w:color w:val="FFFFFF"/>
                <w:sz w:val="18"/>
              </w:rPr>
              <w:t>Tipo ORM</w:t>
            </w:r>
          </w:p>
        </w:tc>
        <w:tc>
          <w:tcPr>
            <w:tcW w:type="dxa" w:w="3969"/>
            <w:shd w:val="clear" w:color="auto" w:fill="1F3864"/>
          </w:tcPr>
          <w:p>
            <w:pPr>
              <w:jc w:val="center"/>
            </w:pPr>
            <w:r>
              <w:rPr>
                <w:b/>
                <w:color w:val="FFFFFF"/>
                <w:sz w:val="18"/>
              </w:rPr>
              <w:t>Descripción</w:t>
            </w:r>
          </w:p>
        </w:tc>
      </w:tr>
      <w:tr>
        <w:tc>
          <w:tcPr>
            <w:tcW w:type="dxa" w:w="3118"/>
            <w:shd w:val="clear" w:color="auto" w:fill="EBF0F8"/>
          </w:tcPr>
          <w:p>
            <w:r>
              <w:rPr>
                <w:sz w:val="18"/>
              </w:rPr>
              <w:t>is_ecf_invoice</w:t>
            </w:r>
          </w:p>
        </w:tc>
        <w:tc>
          <w:tcPr>
            <w:tcW w:type="dxa" w:w="1984"/>
            <w:shd w:val="clear" w:color="auto" w:fill="EBF0F8"/>
          </w:tcPr>
          <w:p>
            <w:r>
              <w:rPr>
                <w:sz w:val="18"/>
              </w:rPr>
              <w:t>Boolean (computed, stored)</w:t>
            </w:r>
          </w:p>
        </w:tc>
        <w:tc>
          <w:tcPr>
            <w:tcW w:type="dxa" w:w="3969"/>
            <w:shd w:val="clear" w:color="auto" w:fill="EBF0F8"/>
          </w:tcPr>
          <w:p>
            <w:r>
              <w:rPr>
                <w:sz w:val="18"/>
              </w:rPr>
              <w:t>True cuando el tipo de documento tiene prefijo E y la factura está en estado borrador.</w:t>
            </w:r>
          </w:p>
        </w:tc>
      </w:tr>
      <w:tr>
        <w:tc>
          <w:tcPr>
            <w:tcW w:type="dxa" w:w="3118"/>
            <w:shd w:val="clear" w:color="auto" w:fill="FFFFFF"/>
          </w:tcPr>
          <w:p>
            <w:r>
              <w:rPr>
                <w:sz w:val="18"/>
              </w:rPr>
              <w:t>l10n_do_ecf_modification_code</w:t>
            </w:r>
          </w:p>
        </w:tc>
        <w:tc>
          <w:tcPr>
            <w:tcW w:type="dxa" w:w="1984"/>
            <w:shd w:val="clear" w:color="auto" w:fill="FFFFFF"/>
          </w:tcPr>
          <w:p>
            <w:r>
              <w:rPr>
                <w:sz w:val="18"/>
              </w:rPr>
              <w:t>Selection</w:t>
            </w:r>
          </w:p>
        </w:tc>
        <w:tc>
          <w:tcPr>
            <w:tcW w:type="dxa" w:w="3969"/>
            <w:shd w:val="clear" w:color="auto" w:fill="FFFFFF"/>
          </w:tcPr>
          <w:p>
            <w:r>
              <w:rPr>
                <w:sz w:val="18"/>
              </w:rPr>
              <w:t>Código de modificación e-CF requerido para notas de crédito/débito electrónicas (01 al 05).</w:t>
            </w:r>
          </w:p>
        </w:tc>
      </w:tr>
      <w:tr>
        <w:tc>
          <w:tcPr>
            <w:tcW w:type="dxa" w:w="3118"/>
            <w:shd w:val="clear" w:color="auto" w:fill="EBF0F8"/>
          </w:tcPr>
          <w:p>
            <w:r>
              <w:rPr>
                <w:sz w:val="18"/>
              </w:rPr>
              <w:t>l10n_do_ecf_security_code</w:t>
            </w:r>
          </w:p>
        </w:tc>
        <w:tc>
          <w:tcPr>
            <w:tcW w:type="dxa" w:w="1984"/>
            <w:shd w:val="clear" w:color="auto" w:fill="EBF0F8"/>
          </w:tcPr>
          <w:p>
            <w:r>
              <w:rPr>
                <w:sz w:val="18"/>
              </w:rPr>
              <w:t>Char</w:t>
            </w:r>
          </w:p>
        </w:tc>
        <w:tc>
          <w:tcPr>
            <w:tcW w:type="dxa" w:w="3969"/>
            <w:shd w:val="clear" w:color="auto" w:fill="EBF0F8"/>
          </w:tcPr>
          <w:p>
            <w:r>
              <w:rPr>
                <w:sz w:val="18"/>
              </w:rPr>
              <w:t>Código de seguridad retornado por el servicio externo de firma digital.</w:t>
            </w:r>
          </w:p>
        </w:tc>
      </w:tr>
      <w:tr>
        <w:tc>
          <w:tcPr>
            <w:tcW w:type="dxa" w:w="3118"/>
            <w:shd w:val="clear" w:color="auto" w:fill="FFFFFF"/>
          </w:tcPr>
          <w:p>
            <w:r>
              <w:rPr>
                <w:sz w:val="18"/>
              </w:rPr>
              <w:t>l10n_do_ecf_sign_date</w:t>
            </w:r>
          </w:p>
        </w:tc>
        <w:tc>
          <w:tcPr>
            <w:tcW w:type="dxa" w:w="1984"/>
            <w:shd w:val="clear" w:color="auto" w:fill="FFFFFF"/>
          </w:tcPr>
          <w:p>
            <w:r>
              <w:rPr>
                <w:sz w:val="18"/>
              </w:rPr>
              <w:t>Datetime</w:t>
            </w:r>
          </w:p>
        </w:tc>
        <w:tc>
          <w:tcPr>
            <w:tcW w:type="dxa" w:w="3969"/>
            <w:shd w:val="clear" w:color="auto" w:fill="FFFFFF"/>
          </w:tcPr>
          <w:p>
            <w:r>
              <w:rPr>
                <w:sz w:val="18"/>
              </w:rPr>
              <w:t>Fecha y hora de la firma digital del comprobante.</w:t>
            </w:r>
          </w:p>
        </w:tc>
      </w:tr>
      <w:tr>
        <w:tc>
          <w:tcPr>
            <w:tcW w:type="dxa" w:w="3118"/>
            <w:shd w:val="clear" w:color="auto" w:fill="EBF0F8"/>
          </w:tcPr>
          <w:p>
            <w:r>
              <w:rPr>
                <w:sz w:val="18"/>
              </w:rPr>
              <w:t>l10n_do_electronic_stamp</w:t>
            </w:r>
          </w:p>
        </w:tc>
        <w:tc>
          <w:tcPr>
            <w:tcW w:type="dxa" w:w="1984"/>
            <w:shd w:val="clear" w:color="auto" w:fill="EBF0F8"/>
          </w:tcPr>
          <w:p>
            <w:r>
              <w:rPr>
                <w:sz w:val="18"/>
              </w:rPr>
              <w:t>Char (computed, stored)</w:t>
            </w:r>
          </w:p>
        </w:tc>
        <w:tc>
          <w:tcPr>
            <w:tcW w:type="dxa" w:w="3969"/>
            <w:shd w:val="clear" w:color="auto" w:fill="EBF0F8"/>
          </w:tcPr>
          <w:p>
            <w:r>
              <w:rPr>
                <w:sz w:val="18"/>
              </w:rPr>
              <w:t>URL codificada con los datos de la factura para generar el código QR del sello electrónico.</w:t>
            </w:r>
          </w:p>
        </w:tc>
      </w:tr>
      <w:tr>
        <w:tc>
          <w:tcPr>
            <w:tcW w:type="dxa" w:w="3118"/>
            <w:shd w:val="clear" w:color="auto" w:fill="FFFFFF"/>
          </w:tcPr>
          <w:p>
            <w:r>
              <w:rPr>
                <w:sz w:val="18"/>
              </w:rPr>
              <w:t>l10n_do_ecf_edi_file</w:t>
            </w:r>
          </w:p>
        </w:tc>
        <w:tc>
          <w:tcPr>
            <w:tcW w:type="dxa" w:w="1984"/>
            <w:shd w:val="clear" w:color="auto" w:fill="FFFFFF"/>
          </w:tcPr>
          <w:p>
            <w:r>
              <w:rPr>
                <w:sz w:val="18"/>
              </w:rPr>
              <w:t>Binary (readonly)</w:t>
            </w:r>
          </w:p>
        </w:tc>
        <w:tc>
          <w:tcPr>
            <w:tcW w:type="dxa" w:w="3969"/>
            <w:shd w:val="clear" w:color="auto" w:fill="FFFFFF"/>
          </w:tcPr>
          <w:p>
            <w:r>
              <w:rPr>
                <w:sz w:val="18"/>
              </w:rPr>
              <w:t>Archivo XML de envío al sistema DGII (cargado por módulo externo de integración).</w:t>
            </w:r>
          </w:p>
        </w:tc>
      </w:tr>
    </w:tbl>
    <w:p/>
    <w:p>
      <w:r>
        <w:rPr>
          <w:b/>
          <w:i w:val="0"/>
        </w:rPr>
        <w:t>Campos de control y clasificación DGII:</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pPr>
              <w:jc w:val="center"/>
            </w:pPr>
            <w:r>
              <w:rPr>
                <w:b/>
                <w:color w:val="FFFFFF"/>
                <w:sz w:val="18"/>
              </w:rPr>
              <w:t>Campo</w:t>
            </w:r>
          </w:p>
        </w:tc>
        <w:tc>
          <w:tcPr>
            <w:tcW w:type="dxa" w:w="5953"/>
            <w:shd w:val="clear" w:color="auto" w:fill="1F3864"/>
          </w:tcPr>
          <w:p>
            <w:pPr>
              <w:jc w:val="center"/>
            </w:pPr>
            <w:r>
              <w:rPr>
                <w:b/>
                <w:color w:val="FFFFFF"/>
                <w:sz w:val="18"/>
              </w:rPr>
              <w:t>Descripción</w:t>
            </w:r>
          </w:p>
        </w:tc>
      </w:tr>
      <w:tr>
        <w:tc>
          <w:tcPr>
            <w:tcW w:type="dxa" w:w="3118"/>
            <w:shd w:val="clear" w:color="auto" w:fill="EBF0F8"/>
          </w:tcPr>
          <w:p>
            <w:r>
              <w:rPr>
                <w:sz w:val="18"/>
              </w:rPr>
              <w:t>l10n_do_expense_type</w:t>
            </w:r>
          </w:p>
        </w:tc>
        <w:tc>
          <w:tcPr>
            <w:tcW w:type="dxa" w:w="5953"/>
            <w:shd w:val="clear" w:color="auto" w:fill="EBF0F8"/>
          </w:tcPr>
          <w:p>
            <w:r>
              <w:rPr>
                <w:sz w:val="18"/>
              </w:rPr>
              <w:t>Tipo de costo/gasto (hereda del proveedor en facturas de compra).</w:t>
            </w:r>
          </w:p>
        </w:tc>
      </w:tr>
      <w:tr>
        <w:tc>
          <w:tcPr>
            <w:tcW w:type="dxa" w:w="3118"/>
            <w:shd w:val="clear" w:color="auto" w:fill="FFFFFF"/>
          </w:tcPr>
          <w:p>
            <w:r>
              <w:rPr>
                <w:sz w:val="18"/>
              </w:rPr>
              <w:t>l10n_do_income_type</w:t>
            </w:r>
          </w:p>
        </w:tc>
        <w:tc>
          <w:tcPr>
            <w:tcW w:type="dxa" w:w="5953"/>
            <w:shd w:val="clear" w:color="auto" w:fill="FFFFFF"/>
          </w:tcPr>
          <w:p>
            <w:r>
              <w:rPr>
                <w:sz w:val="18"/>
              </w:rPr>
              <w:t>Tipo de ingreso para facturas de venta (01-06).</w:t>
            </w:r>
          </w:p>
        </w:tc>
      </w:tr>
      <w:tr>
        <w:tc>
          <w:tcPr>
            <w:tcW w:type="dxa" w:w="3118"/>
            <w:shd w:val="clear" w:color="auto" w:fill="EBF0F8"/>
          </w:tcPr>
          <w:p>
            <w:r>
              <w:rPr>
                <w:sz w:val="18"/>
              </w:rPr>
              <w:t>l10n_do_cancellation_type</w:t>
            </w:r>
          </w:p>
        </w:tc>
        <w:tc>
          <w:tcPr>
            <w:tcW w:type="dxa" w:w="5953"/>
            <w:shd w:val="clear" w:color="auto" w:fill="EBF0F8"/>
          </w:tcPr>
          <w:p>
            <w:r>
              <w:rPr>
                <w:sz w:val="18"/>
              </w:rPr>
              <w:t>Razón de cancelación seleccionada en el wizard (códigos DGII 01-10).</w:t>
            </w:r>
          </w:p>
        </w:tc>
      </w:tr>
      <w:tr>
        <w:tc>
          <w:tcPr>
            <w:tcW w:type="dxa" w:w="3118"/>
            <w:shd w:val="clear" w:color="auto" w:fill="FFFFFF"/>
          </w:tcPr>
          <w:p>
            <w:r>
              <w:rPr>
                <w:sz w:val="18"/>
              </w:rPr>
              <w:t>l10n_do_origin_ncf</w:t>
            </w:r>
          </w:p>
        </w:tc>
        <w:tc>
          <w:tcPr>
            <w:tcW w:type="dxa" w:w="5953"/>
            <w:shd w:val="clear" w:color="auto" w:fill="FFFFFF"/>
          </w:tcPr>
          <w:p>
            <w:r>
              <w:rPr>
                <w:sz w:val="18"/>
              </w:rPr>
              <w:t>NCF de la factura original al crear notas de crédito o débito.</w:t>
            </w:r>
          </w:p>
        </w:tc>
      </w:tr>
      <w:tr>
        <w:tc>
          <w:tcPr>
            <w:tcW w:type="dxa" w:w="3118"/>
            <w:shd w:val="clear" w:color="auto" w:fill="EBF0F8"/>
          </w:tcPr>
          <w:p>
            <w:r>
              <w:rPr>
                <w:sz w:val="18"/>
              </w:rPr>
              <w:t>l10n_do_ncf_expiration_date</w:t>
            </w:r>
          </w:p>
        </w:tc>
        <w:tc>
          <w:tcPr>
            <w:tcW w:type="dxa" w:w="5953"/>
            <w:shd w:val="clear" w:color="auto" w:fill="EBF0F8"/>
          </w:tcPr>
          <w:p>
            <w:r>
              <w:rPr>
                <w:sz w:val="18"/>
              </w:rPr>
              <w:t>Fecha de vencimiento del comprobante, tomada del lote activo.</w:t>
            </w:r>
          </w:p>
        </w:tc>
      </w:tr>
      <w:tr>
        <w:tc>
          <w:tcPr>
            <w:tcW w:type="dxa" w:w="3118"/>
            <w:shd w:val="clear" w:color="auto" w:fill="FFFFFF"/>
          </w:tcPr>
          <w:p>
            <w:r>
              <w:rPr>
                <w:sz w:val="18"/>
              </w:rPr>
              <w:t>l10n_do_company_in_contingency</w:t>
            </w:r>
          </w:p>
        </w:tc>
        <w:tc>
          <w:tcPr>
            <w:tcW w:type="dxa" w:w="5953"/>
            <w:shd w:val="clear" w:color="auto" w:fill="FFFFFF"/>
          </w:tcPr>
          <w:p>
            <w:r>
              <w:rPr>
                <w:sz w:val="18"/>
              </w:rPr>
              <w:t>True cuando la compañía tiene facturas e-CF publicadas pero l10n_do_ecf_issuer está desactivado.</w:t>
            </w:r>
          </w:p>
        </w:tc>
      </w:tr>
    </w:tbl>
    <w:p/>
    <w:p>
      <w:r>
        <w:rPr>
          <w:b/>
          <w:i w:val="0"/>
        </w:rPr>
        <w:t>Métodos clave:</w:t>
      </w:r>
    </w:p>
    <w:tbl>
      <w:tblPr>
        <w:tblStyle w:val="TableGrid"/>
        <w:tblW w:type="auto" w:w="0"/>
        <w:tblLook w:firstColumn="1" w:firstRow="1" w:lastColumn="0" w:lastRow="0" w:noHBand="0" w:noVBand="1" w:val="04A0"/>
      </w:tblPr>
      <w:tblGrid>
        <w:gridCol w:w="4561"/>
        <w:gridCol w:w="4561"/>
      </w:tblGrid>
      <w:tr>
        <w:tc>
          <w:tcPr>
            <w:tcW w:type="dxa" w:w="3685"/>
            <w:shd w:val="clear" w:color="auto" w:fill="1F3864"/>
          </w:tcPr>
          <w:p>
            <w:pPr>
              <w:jc w:val="center"/>
            </w:pPr>
            <w:r>
              <w:rPr>
                <w:b/>
                <w:color w:val="FFFFFF"/>
                <w:sz w:val="18"/>
              </w:rPr>
              <w:t>Método</w:t>
            </w:r>
          </w:p>
        </w:tc>
        <w:tc>
          <w:tcPr>
            <w:tcW w:type="dxa" w:w="5386"/>
            <w:shd w:val="clear" w:color="auto" w:fill="1F3864"/>
          </w:tcPr>
          <w:p>
            <w:pPr>
              <w:jc w:val="center"/>
            </w:pPr>
            <w:r>
              <w:rPr>
                <w:b/>
                <w:color w:val="FFFFFF"/>
                <w:sz w:val="18"/>
              </w:rPr>
              <w:t>Descripción</w:t>
            </w:r>
          </w:p>
        </w:tc>
      </w:tr>
      <w:tr>
        <w:tc>
          <w:tcPr>
            <w:tcW w:type="dxa" w:w="3685"/>
            <w:shd w:val="clear" w:color="auto" w:fill="EBF0F8"/>
          </w:tcPr>
          <w:p>
            <w:r>
              <w:rPr>
                <w:sz w:val="18"/>
              </w:rPr>
              <w:t>_post()</w:t>
            </w:r>
          </w:p>
        </w:tc>
        <w:tc>
          <w:tcPr>
            <w:tcW w:type="dxa" w:w="5386"/>
            <w:shd w:val="clear" w:color="auto" w:fill="EBF0F8"/>
          </w:tcPr>
          <w:p>
            <w:r>
              <w:rPr>
                <w:sz w:val="18"/>
              </w:rPr>
              <w:t>Sobrescribe el método estándar. Valida la existencia de un lote activo ANTES de llamar a super()._post(). Lanza ValidationError si no existe lote.</w:t>
            </w:r>
          </w:p>
        </w:tc>
      </w:tr>
      <w:tr>
        <w:tc>
          <w:tcPr>
            <w:tcW w:type="dxa" w:w="3685"/>
            <w:shd w:val="clear" w:color="auto" w:fill="FFFFFF"/>
          </w:tcPr>
          <w:p>
            <w:r>
              <w:rPr>
                <w:sz w:val="18"/>
              </w:rPr>
              <w:t>_get_l10n_do_amounts()</w:t>
            </w:r>
          </w:p>
        </w:tc>
        <w:tc>
          <w:tcPr>
            <w:tcW w:type="dxa" w:w="5386"/>
            <w:shd w:val="clear" w:color="auto" w:fill="FFFFFF"/>
          </w:tcPr>
          <w:p>
            <w:r>
              <w:rPr>
                <w:sz w:val="18"/>
              </w:rPr>
              <w:t>Calcula el desglose fiscal de la factura: base imponible, exento, ITBIS 18%/16%/0%, retenciones ITBIS e ISR, y sus equivalentes en moneda local.</w:t>
            </w:r>
          </w:p>
        </w:tc>
      </w:tr>
      <w:tr>
        <w:tc>
          <w:tcPr>
            <w:tcW w:type="dxa" w:w="3685"/>
            <w:shd w:val="clear" w:color="auto" w:fill="EBF0F8"/>
          </w:tcPr>
          <w:p>
            <w:r>
              <w:rPr>
                <w:sz w:val="18"/>
              </w:rPr>
              <w:t>_get_l10n_latam_documents_domain()</w:t>
            </w:r>
          </w:p>
        </w:tc>
        <w:tc>
          <w:tcPr>
            <w:tcW w:type="dxa" w:w="5386"/>
            <w:shd w:val="clear" w:color="auto" w:fill="EBF0F8"/>
          </w:tcPr>
          <w:p>
            <w:r>
              <w:rPr>
                <w:sz w:val="18"/>
              </w:rPr>
              <w:t>Construye el dominio de filtrado de tipos de documento disponibles según tipo de diario y tipo de contribuyente del socio.</w:t>
            </w:r>
          </w:p>
        </w:tc>
      </w:tr>
      <w:tr>
        <w:tc>
          <w:tcPr>
            <w:tcW w:type="dxa" w:w="3685"/>
            <w:shd w:val="clear" w:color="auto" w:fill="FFFFFF"/>
          </w:tcPr>
          <w:p>
            <w:r>
              <w:rPr>
                <w:sz w:val="18"/>
              </w:rPr>
              <w:t>_check_invoice_type_document_type()</w:t>
            </w:r>
          </w:p>
        </w:tc>
        <w:tc>
          <w:tcPr>
            <w:tcW w:type="dxa" w:w="5386"/>
            <w:shd w:val="clear" w:color="auto" w:fill="FFFFFF"/>
          </w:tcPr>
          <w:p>
            <w:r>
              <w:rPr>
                <w:sz w:val="18"/>
              </w:rPr>
              <w:t>Valida que el contacto tenga VAT registrado cuando el monto supera RD$250,000 o el tipo de documento tiene is_vat_required=True.</w:t>
            </w:r>
          </w:p>
        </w:tc>
      </w:tr>
      <w:tr>
        <w:tc>
          <w:tcPr>
            <w:tcW w:type="dxa" w:w="3685"/>
            <w:shd w:val="clear" w:color="auto" w:fill="EBF0F8"/>
          </w:tcPr>
          <w:p>
            <w:r>
              <w:rPr>
                <w:sz w:val="18"/>
              </w:rPr>
              <w:t>_l10n_do_check_unique_vendor_number()</w:t>
            </w:r>
          </w:p>
        </w:tc>
        <w:tc>
          <w:tcPr>
            <w:tcW w:type="dxa" w:w="5386"/>
            <w:shd w:val="clear" w:color="auto" w:fill="EBF0F8"/>
          </w:tcPr>
          <w:p>
            <w:r>
              <w:rPr>
                <w:sz w:val="18"/>
              </w:rPr>
              <w:t>Verifica que el NCF de proveedor no esté duplicado para la misma combinación partner + company_id.</w:t>
            </w:r>
          </w:p>
        </w:tc>
      </w:tr>
      <w:tr>
        <w:tc>
          <w:tcPr>
            <w:tcW w:type="dxa" w:w="3685"/>
            <w:shd w:val="clear" w:color="auto" w:fill="FFFFFF"/>
          </w:tcPr>
          <w:p>
            <w:r>
              <w:rPr>
                <w:sz w:val="18"/>
              </w:rPr>
              <w:t>button_cancel()</w:t>
            </w:r>
          </w:p>
        </w:tc>
        <w:tc>
          <w:tcPr>
            <w:tcW w:type="dxa" w:w="5386"/>
            <w:shd w:val="clear" w:color="auto" w:fill="FFFFFF"/>
          </w:tcPr>
          <w:p>
            <w:r>
              <w:rPr>
                <w:sz w:val="18"/>
              </w:rPr>
              <w:t>Lanza el wizard de selección de tipo de anulación para NCF tradicionales. Para e-CF la cancelación es directa.</w:t>
            </w:r>
          </w:p>
        </w:tc>
      </w:tr>
      <w:tr>
        <w:tc>
          <w:tcPr>
            <w:tcW w:type="dxa" w:w="3685"/>
            <w:shd w:val="clear" w:color="auto" w:fill="EBF0F8"/>
          </w:tcPr>
          <w:p>
            <w:r>
              <w:rPr>
                <w:sz w:val="18"/>
              </w:rPr>
              <w:t>action_reverse()</w:t>
            </w:r>
          </w:p>
        </w:tc>
        <w:tc>
          <w:tcPr>
            <w:tcW w:type="dxa" w:w="5386"/>
            <w:shd w:val="clear" w:color="auto" w:fill="EBF0F8"/>
          </w:tcPr>
          <w:p>
            <w:r>
              <w:rPr>
                <w:sz w:val="18"/>
              </w:rPr>
              <w:t>Extiende la creación de notas de crédito/débito. Requiere el grupo group_l10n_do_fiscal_credit_note para documentos fiscales.</w:t>
            </w:r>
          </w:p>
        </w:tc>
      </w:tr>
      <w:tr>
        <w:tc>
          <w:tcPr>
            <w:tcW w:type="dxa" w:w="3685"/>
            <w:shd w:val="clear" w:color="auto" w:fill="FFFFFF"/>
          </w:tcPr>
          <w:p>
            <w:r>
              <w:rPr>
                <w:sz w:val="18"/>
              </w:rPr>
              <w:t>_compute_l10n_do_electronic_stamp()</w:t>
            </w:r>
          </w:p>
        </w:tc>
        <w:tc>
          <w:tcPr>
            <w:tcW w:type="dxa" w:w="5386"/>
            <w:shd w:val="clear" w:color="auto" w:fill="FFFFFF"/>
          </w:tcPr>
          <w:p>
            <w:r>
              <w:rPr>
                <w:sz w:val="18"/>
              </w:rPr>
              <w:t>Genera la URL del sello electrónico (QR) codificando: RNC emisor, RNC comprador, e-CF, fecha, monto, código de seguridad.</w:t>
            </w:r>
          </w:p>
        </w:tc>
      </w:tr>
      <w:tr>
        <w:tc>
          <w:tcPr>
            <w:tcW w:type="dxa" w:w="3685"/>
            <w:shd w:val="clear" w:color="auto" w:fill="EBF0F8"/>
          </w:tcPr>
          <w:p>
            <w:r>
              <w:rPr>
                <w:sz w:val="18"/>
              </w:rPr>
              <w:t>_inverse_l10n_latam_document_number()</w:t>
            </w:r>
          </w:p>
        </w:tc>
        <w:tc>
          <w:tcPr>
            <w:tcW w:type="dxa" w:w="5386"/>
            <w:shd w:val="clear" w:color="auto" w:fill="EBF0F8"/>
          </w:tcPr>
          <w:p>
            <w:r>
              <w:rPr>
                <w:sz w:val="18"/>
              </w:rPr>
              <w:t>Valida y formatea el NCF cuando el usuario lo ingresa manualmente. Lanza ValidationError si el formato no cumple con el regex.</w:t>
            </w:r>
          </w:p>
        </w:tc>
      </w:tr>
      <w:tr>
        <w:tc>
          <w:tcPr>
            <w:tcW w:type="dxa" w:w="4561"/>
          </w:tcPr>
          <w:p>
            <w:r>
              <w:t>_l10n_do_check_unique_sale_ncf()</w:t>
            </w:r>
          </w:p>
        </w:tc>
        <w:tc>
          <w:tcPr>
            <w:tcW w:type="dxa" w:w="4561"/>
          </w:tcPr>
          <w:p>
            <w:r>
              <w:t>Constraint ORM. Verifica que no exista otra factura de venta activa (estado != cancel) en la misma compañía con el mismo l10n_do_fiscal_number. Aplica tanto a asignación automática (lote) como a ingreso manual. Lanza ValidationError con el NCF duplicado.</w:t>
            </w:r>
          </w:p>
        </w:tc>
      </w:tr>
    </w:tbl>
    <w:p/>
    <w:p>
      <w:pPr/>
      <w:r>
        <w:rPr>
          <w:b/>
        </w:rPr>
        <w:t xml:space="preserve">NOTA — Compatibilidad Odoo 19: </w:t>
      </w:r>
      <w:r>
        <w:t>En Odoo 19, el campo mobile fue eliminado de res.partner (solo existe phone). El template report_invoice.xml fue actualizado para remover todas las referencias a mobile. Adicionalmente, el acceso a doc_code_prefix[1:] fue corregido con (doc_code_prefix or '')[1:] para evitar TypeError cuando el campo es False.</w:t>
      </w:r>
    </w:p>
    <w:p>
      <w:pPr>
        <w:pStyle w:val="Heading2"/>
        <w:jc w:val="left"/>
      </w:pPr>
      <w:r>
        <w:t>3.7 account.move.line  —  account_move_line.py</w:t>
      </w:r>
    </w:p>
    <w:p>
      <w:r>
        <w:rPr>
          <w:b w:val="0"/>
          <w:i w:val="0"/>
        </w:rPr>
        <w:t>Extiende las líneas de factura con el método de desglose fiscal requerido para los reportes DGII y la generación del e-CF.</w:t>
      </w:r>
    </w:p>
    <w:p>
      <w:r>
        <w:rPr>
          <w:b/>
          <w:i w:val="0"/>
        </w:rPr>
        <w:t>Método _get_l10n_do_line_amounts() — Estructura del diccionario retornado:</w:t>
      </w:r>
    </w:p>
    <w:tbl>
      <w:tblPr>
        <w:tblStyle w:val="TableGrid"/>
        <w:tblW w:type="auto" w:w="0"/>
        <w:tblLook w:firstColumn="1" w:firstRow="1" w:lastColumn="0" w:lastRow="0" w:noHBand="0" w:noVBand="1" w:val="04A0"/>
      </w:tblPr>
      <w:tblGrid>
        <w:gridCol w:w="4561"/>
        <w:gridCol w:w="4561"/>
      </w:tblGrid>
      <w:tr>
        <w:tc>
          <w:tcPr>
            <w:tcW w:type="dxa" w:w="3685"/>
            <w:shd w:val="clear" w:color="auto" w:fill="1F3864"/>
          </w:tcPr>
          <w:p>
            <w:pPr>
              <w:jc w:val="center"/>
            </w:pPr>
            <w:r>
              <w:rPr>
                <w:b/>
                <w:color w:val="FFFFFF"/>
                <w:sz w:val="18"/>
              </w:rPr>
              <w:t>Clave del diccionario</w:t>
            </w:r>
          </w:p>
        </w:tc>
        <w:tc>
          <w:tcPr>
            <w:tcW w:type="dxa" w:w="5386"/>
            <w:shd w:val="clear" w:color="auto" w:fill="1F3864"/>
          </w:tcPr>
          <w:p>
            <w:pPr>
              <w:jc w:val="center"/>
            </w:pPr>
            <w:r>
              <w:rPr>
                <w:b/>
                <w:color w:val="FFFFFF"/>
                <w:sz w:val="18"/>
              </w:rPr>
              <w:t>Descripción</w:t>
            </w:r>
          </w:p>
        </w:tc>
      </w:tr>
      <w:tr>
        <w:tc>
          <w:tcPr>
            <w:tcW w:type="dxa" w:w="3685"/>
            <w:shd w:val="clear" w:color="auto" w:fill="EBF0F8"/>
          </w:tcPr>
          <w:p>
            <w:r>
              <w:rPr>
                <w:sz w:val="18"/>
              </w:rPr>
              <w:t>base_amount</w:t>
            </w:r>
          </w:p>
        </w:tc>
        <w:tc>
          <w:tcPr>
            <w:tcW w:type="dxa" w:w="5386"/>
            <w:shd w:val="clear" w:color="auto" w:fill="EBF0F8"/>
          </w:tcPr>
          <w:p>
            <w:r>
              <w:rPr>
                <w:sz w:val="18"/>
              </w:rPr>
              <w:t>Monto base imponible total de la factura.</w:t>
            </w:r>
          </w:p>
        </w:tc>
      </w:tr>
      <w:tr>
        <w:tc>
          <w:tcPr>
            <w:tcW w:type="dxa" w:w="3685"/>
            <w:shd w:val="clear" w:color="auto" w:fill="FFFFFF"/>
          </w:tcPr>
          <w:p>
            <w:r>
              <w:rPr>
                <w:sz w:val="18"/>
              </w:rPr>
              <w:t>exempt_amount</w:t>
            </w:r>
          </w:p>
        </w:tc>
        <w:tc>
          <w:tcPr>
            <w:tcW w:type="dxa" w:w="5386"/>
            <w:shd w:val="clear" w:color="auto" w:fill="FFFFFF"/>
          </w:tcPr>
          <w:p>
            <w:r>
              <w:rPr>
                <w:sz w:val="18"/>
              </w:rPr>
              <w:t>Monto de líneas exentas o con ITBIS 0%.</w:t>
            </w:r>
          </w:p>
        </w:tc>
      </w:tr>
      <w:tr>
        <w:tc>
          <w:tcPr>
            <w:tcW w:type="dxa" w:w="3685"/>
            <w:shd w:val="clear" w:color="auto" w:fill="EBF0F8"/>
          </w:tcPr>
          <w:p>
            <w:r>
              <w:rPr>
                <w:sz w:val="18"/>
              </w:rPr>
              <w:t>itbis_18_base_amount / itbis_18_tax_amount</w:t>
            </w:r>
          </w:p>
        </w:tc>
        <w:tc>
          <w:tcPr>
            <w:tcW w:type="dxa" w:w="5386"/>
            <w:shd w:val="clear" w:color="auto" w:fill="EBF0F8"/>
          </w:tcPr>
          <w:p>
            <w:r>
              <w:rPr>
                <w:sz w:val="18"/>
              </w:rPr>
              <w:t>Base e impuesto ITBIS al 18%.</w:t>
            </w:r>
          </w:p>
        </w:tc>
      </w:tr>
      <w:tr>
        <w:tc>
          <w:tcPr>
            <w:tcW w:type="dxa" w:w="3685"/>
            <w:shd w:val="clear" w:color="auto" w:fill="FFFFFF"/>
          </w:tcPr>
          <w:p>
            <w:r>
              <w:rPr>
                <w:sz w:val="18"/>
              </w:rPr>
              <w:t>itbis_16_base_amount / itbis_16_tax_amount</w:t>
            </w:r>
          </w:p>
        </w:tc>
        <w:tc>
          <w:tcPr>
            <w:tcW w:type="dxa" w:w="5386"/>
            <w:shd w:val="clear" w:color="auto" w:fill="FFFFFF"/>
          </w:tcPr>
          <w:p>
            <w:r>
              <w:rPr>
                <w:sz w:val="18"/>
              </w:rPr>
              <w:t>Base e impuesto ITBIS al 16%.</w:t>
            </w:r>
          </w:p>
        </w:tc>
      </w:tr>
      <w:tr>
        <w:tc>
          <w:tcPr>
            <w:tcW w:type="dxa" w:w="3685"/>
            <w:shd w:val="clear" w:color="auto" w:fill="EBF0F8"/>
          </w:tcPr>
          <w:p>
            <w:r>
              <w:rPr>
                <w:sz w:val="18"/>
              </w:rPr>
              <w:t>itbis_0_base_amount / itbis_0_tax_amount</w:t>
            </w:r>
          </w:p>
        </w:tc>
        <w:tc>
          <w:tcPr>
            <w:tcW w:type="dxa" w:w="5386"/>
            <w:shd w:val="clear" w:color="auto" w:fill="EBF0F8"/>
          </w:tcPr>
          <w:p>
            <w:r>
              <w:rPr>
                <w:sz w:val="18"/>
              </w:rPr>
              <w:t>Base e impuesto ITBIS al 0%.</w:t>
            </w:r>
          </w:p>
        </w:tc>
      </w:tr>
      <w:tr>
        <w:tc>
          <w:tcPr>
            <w:tcW w:type="dxa" w:w="3685"/>
            <w:shd w:val="clear" w:color="auto" w:fill="FFFFFF"/>
          </w:tcPr>
          <w:p>
            <w:r>
              <w:rPr>
                <w:sz w:val="18"/>
              </w:rPr>
              <w:t>itbis_withholding_amount / itbis_withholding_base_amount</w:t>
            </w:r>
          </w:p>
        </w:tc>
        <w:tc>
          <w:tcPr>
            <w:tcW w:type="dxa" w:w="5386"/>
            <w:shd w:val="clear" w:color="auto" w:fill="FFFFFF"/>
          </w:tcPr>
          <w:p>
            <w:r>
              <w:rPr>
                <w:sz w:val="18"/>
              </w:rPr>
              <w:t>Monto y base de la retención de ITBIS.</w:t>
            </w:r>
          </w:p>
        </w:tc>
      </w:tr>
      <w:tr>
        <w:tc>
          <w:tcPr>
            <w:tcW w:type="dxa" w:w="3685"/>
            <w:shd w:val="clear" w:color="auto" w:fill="EBF0F8"/>
          </w:tcPr>
          <w:p>
            <w:r>
              <w:rPr>
                <w:sz w:val="18"/>
              </w:rPr>
              <w:t>isr_withholding_amount / isr_withholding_base_amount</w:t>
            </w:r>
          </w:p>
        </w:tc>
        <w:tc>
          <w:tcPr>
            <w:tcW w:type="dxa" w:w="5386"/>
            <w:shd w:val="clear" w:color="auto" w:fill="EBF0F8"/>
          </w:tcPr>
          <w:p>
            <w:r>
              <w:rPr>
                <w:sz w:val="18"/>
              </w:rPr>
              <w:t>Monto y base de la retención de ISR (impuesto sobre la renta).</w:t>
            </w:r>
          </w:p>
        </w:tc>
      </w:tr>
      <w:tr>
        <w:tc>
          <w:tcPr>
            <w:tcW w:type="dxa" w:w="3685"/>
            <w:shd w:val="clear" w:color="auto" w:fill="FFFFFF"/>
          </w:tcPr>
          <w:p>
            <w:r>
              <w:rPr>
                <w:sz w:val="18"/>
              </w:rPr>
              <w:t>l10n_do_invoice_total</w:t>
            </w:r>
          </w:p>
        </w:tc>
        <w:tc>
          <w:tcPr>
            <w:tcW w:type="dxa" w:w="5386"/>
            <w:shd w:val="clear" w:color="auto" w:fill="FFFFFF"/>
          </w:tcPr>
          <w:p>
            <w:r>
              <w:rPr>
                <w:sz w:val="18"/>
              </w:rPr>
              <w:t>Total fiscal de la factura (base + impuestos).</w:t>
            </w:r>
          </w:p>
        </w:tc>
      </w:tr>
      <w:tr>
        <w:tc>
          <w:tcPr>
            <w:tcW w:type="dxa" w:w="3685"/>
            <w:shd w:val="clear" w:color="auto" w:fill="EBF0F8"/>
          </w:tcPr>
          <w:p>
            <w:r>
              <w:rPr>
                <w:sz w:val="18"/>
              </w:rPr>
              <w:t>*_currency (variantes)</w:t>
            </w:r>
          </w:p>
        </w:tc>
        <w:tc>
          <w:tcPr>
            <w:tcW w:type="dxa" w:w="5386"/>
            <w:shd w:val="clear" w:color="auto" w:fill="EBF0F8"/>
          </w:tcPr>
          <w:p>
            <w:r>
              <w:rPr>
                <w:sz w:val="18"/>
              </w:rPr>
              <w:t>Versiones de todos los campos anteriores convertidas a moneda local (DOP) cuando la factura está en moneda extranjera, dividiendo por la tasa de cambio vigente.</w:t>
            </w:r>
          </w:p>
        </w:tc>
      </w:tr>
    </w:tbl>
    <w:p/>
    <w:p>
      <w:pPr>
        <w:pStyle w:val="Heading2"/>
        <w:jc w:val="left"/>
      </w:pPr>
      <w:r>
        <w:t>3.8 monkey_patch.py</w:t>
      </w:r>
    </w:p>
    <w:p>
      <w:r>
        <w:rPr>
          <w:b w:val="0"/>
          <w:i w:val="0"/>
        </w:rPr>
        <w:t>Contiene los parches aplicados en tiempo de ejecución sobre el método _compute_name del modelo account.move estándar de Odoo. Este mecanismo es necesario para integrar la lógica de asignación de NCF con el sistema de secuencias internas de Odoo sin modificar el núcleo de la plataforma.</w:t>
      </w:r>
    </w:p>
    <w:p>
      <w:r>
        <w:rPr>
          <w:b/>
          <w:i w:val="0"/>
        </w:rPr>
        <w:t>Flujo de asignación de NCF (implementado en monkey_patch.py):</w:t>
      </w:r>
    </w:p>
    <w:p>
      <w:pPr>
        <w:pStyle w:val="ListBullet"/>
        <w:ind w:left="283"/>
      </w:pPr>
      <w:r>
        <w:t>PRIMERA factura en borrador: _compute_name → primer bloque de lógica DO → _get_first_document_number() → obtiene el NCF de inicio del lote activo y lo presenta en la vista.</w:t>
      </w:r>
    </w:p>
    <w:p>
      <w:pPr>
        <w:pStyle w:val="ListBullet"/>
        <w:ind w:left="283"/>
      </w:pPr>
      <w:r>
        <w:t>FACTURAS SIGUIENTES al publicar: segundo bloque → _set_next_sequence(is_l10n_do_seq=True) → localiza la última secuencia emitida del mismo tipo en base de datos y la incrementa dentro del rango del lote activo.</w:t>
      </w:r>
    </w:p>
    <w:p>
      <w:pPr>
        <w:pStyle w:val="ListBullet"/>
        <w:ind w:left="283"/>
      </w:pPr>
      <w:r>
        <w:t>Si el próximo número supera l10n_do_end_number del lote → UserError indicando que el lote está agotado.</w:t>
      </w:r>
    </w:p>
    <w:p>
      <w:pPr>
        <w:ind w:left="567" w:right="567"/>
      </w:pPr>
      <w:r>
        <w:rPr>
          <w:b/>
          <w:color w:val="1F3864"/>
          <w:sz w:val="19"/>
        </w:rPr>
        <w:t xml:space="preserve">NOTA: </w:t>
      </w:r>
      <w:r>
        <w:rPr>
          <w:i/>
          <w:color w:val="1F3864"/>
          <w:sz w:val="19"/>
        </w:rPr>
        <w:t>El NCF permanece vacío y de solo lectura mientras la factura esté en estado borrador. No se pre-asigna ni se reserva ningún número hasta la confirmación definitiva.</w:t>
      </w:r>
    </w:p>
    <w:p>
      <w:pPr>
        <w:pStyle w:val="Heading1"/>
        <w:jc w:val="left"/>
      </w:pPr>
      <w:r>
        <w:t>4. Wizards (Modelos Transitorios)</w:t>
      </w:r>
    </w:p>
    <w:p>
      <w:pPr>
        <w:pBdr>
          <w:bottom w:val="single" w:sz="6" w:space="1" w:color="1F3864"/>
        </w:pBdr>
      </w:pPr>
    </w:p>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F3864"/>
          </w:tcPr>
          <w:p>
            <w:pPr>
              <w:jc w:val="center"/>
            </w:pPr>
            <w:r>
              <w:rPr>
                <w:b/>
                <w:color w:val="FFFFFF"/>
                <w:sz w:val="18"/>
              </w:rPr>
              <w:t>Wizard</w:t>
            </w:r>
          </w:p>
        </w:tc>
        <w:tc>
          <w:tcPr>
            <w:tcW w:type="dxa" w:w="2268"/>
            <w:shd w:val="clear" w:color="auto" w:fill="1F3864"/>
          </w:tcPr>
          <w:p>
            <w:pPr>
              <w:jc w:val="center"/>
            </w:pPr>
            <w:r>
              <w:rPr>
                <w:b/>
                <w:color w:val="FFFFFF"/>
                <w:sz w:val="18"/>
              </w:rPr>
              <w:t>Modelo técnico</w:t>
            </w:r>
          </w:p>
        </w:tc>
        <w:tc>
          <w:tcPr>
            <w:tcW w:type="dxa" w:w="4535"/>
            <w:shd w:val="clear" w:color="auto" w:fill="1F3864"/>
          </w:tcPr>
          <w:p>
            <w:pPr>
              <w:jc w:val="center"/>
            </w:pPr>
            <w:r>
              <w:rPr>
                <w:b/>
                <w:color w:val="FFFFFF"/>
                <w:sz w:val="18"/>
              </w:rPr>
              <w:t>Descripción funcional</w:t>
            </w:r>
          </w:p>
        </w:tc>
      </w:tr>
      <w:tr>
        <w:tc>
          <w:tcPr>
            <w:tcW w:type="dxa" w:w="2268"/>
            <w:shd w:val="clear" w:color="auto" w:fill="EBF0F8"/>
          </w:tcPr>
          <w:p>
            <w:r>
              <w:rPr>
                <w:sz w:val="18"/>
              </w:rPr>
              <w:t>Cancelación fiscal</w:t>
            </w:r>
          </w:p>
        </w:tc>
        <w:tc>
          <w:tcPr>
            <w:tcW w:type="dxa" w:w="2268"/>
            <w:shd w:val="clear" w:color="auto" w:fill="EBF0F8"/>
          </w:tcPr>
          <w:p>
            <w:r>
              <w:rPr>
                <w:sz w:val="18"/>
              </w:rPr>
              <w:t>account.move.cancel.wizard</w:t>
            </w:r>
          </w:p>
        </w:tc>
        <w:tc>
          <w:tcPr>
            <w:tcW w:type="dxa" w:w="4535"/>
            <w:shd w:val="clear" w:color="auto" w:fill="EBF0F8"/>
          </w:tcPr>
          <w:p>
            <w:r>
              <w:rPr>
                <w:sz w:val="18"/>
              </w:rPr>
              <w:t>Presenta al usuario la selección obligatoria del tipo de anulación DGII (códigos 01-10). Valida que la factura haya sido publicada previamente (posted_before=True) y que no esté en estado pagado.</w:t>
            </w:r>
          </w:p>
        </w:tc>
      </w:tr>
      <w:tr>
        <w:tc>
          <w:tcPr>
            <w:tcW w:type="dxa" w:w="2268"/>
            <w:shd w:val="clear" w:color="auto" w:fill="FFFFFF"/>
          </w:tcPr>
          <w:p>
            <w:r>
              <w:rPr>
                <w:sz w:val="18"/>
              </w:rPr>
              <w:t>Nota de crédito</w:t>
            </w:r>
          </w:p>
        </w:tc>
        <w:tc>
          <w:tcPr>
            <w:tcW w:type="dxa" w:w="2268"/>
            <w:shd w:val="clear" w:color="auto" w:fill="FFFFFF"/>
          </w:tcPr>
          <w:p>
            <w:r>
              <w:rPr>
                <w:sz w:val="18"/>
              </w:rPr>
              <w:t>account.move.reversal</w:t>
              <w:br/>
              <w:t>(extendido)</w:t>
            </w:r>
          </w:p>
        </w:tc>
        <w:tc>
          <w:tcPr>
            <w:tcW w:type="dxa" w:w="4535"/>
            <w:shd w:val="clear" w:color="auto" w:fill="FFFFFF"/>
          </w:tcPr>
          <w:p>
            <w:r>
              <w:rPr>
                <w:sz w:val="18"/>
              </w:rPr>
              <w:t>Agrega soporte para reversa total, reversa por porcentaje del monto original y reversa por monto fijo. Incluye el campo de código de modificación e-CF (obligatorio para comprobantes electrónicos). El NCF original queda almacenado en l10n_do_origin_ncf.</w:t>
            </w:r>
          </w:p>
        </w:tc>
      </w:tr>
      <w:tr>
        <w:tc>
          <w:tcPr>
            <w:tcW w:type="dxa" w:w="2268"/>
            <w:shd w:val="clear" w:color="auto" w:fill="EBF0F8"/>
          </w:tcPr>
          <w:p>
            <w:r>
              <w:rPr>
                <w:sz w:val="18"/>
              </w:rPr>
              <w:t>Nota de débito</w:t>
            </w:r>
          </w:p>
        </w:tc>
        <w:tc>
          <w:tcPr>
            <w:tcW w:type="dxa" w:w="2268"/>
            <w:shd w:val="clear" w:color="auto" w:fill="EBF0F8"/>
          </w:tcPr>
          <w:p>
            <w:r>
              <w:rPr>
                <w:sz w:val="18"/>
              </w:rPr>
              <w:t>account.debit.note</w:t>
              <w:br/>
              <w:t>(extendido)</w:t>
            </w:r>
          </w:p>
        </w:tc>
        <w:tc>
          <w:tcPr>
            <w:tcW w:type="dxa" w:w="4535"/>
            <w:shd w:val="clear" w:color="auto" w:fill="EBF0F8"/>
          </w:tcPr>
          <w:p>
            <w:r>
              <w:rPr>
                <w:sz w:val="18"/>
              </w:rPr>
              <w:t>Permite crear notas de débito por porcentaje o monto fijo sobre la factura original. Requiere el grupo group_l10n_do_debit_note. No está permitido para tipos B11/E41 (comprobante de compra) ni B13/E43 (gasto menor).</w:t>
            </w:r>
          </w:p>
        </w:tc>
      </w:tr>
      <w:tr>
        <w:tc>
          <w:tcPr>
            <w:tcW w:type="dxa" w:w="2268"/>
            <w:shd w:val="clear" w:color="auto" w:fill="FFFFFF"/>
          </w:tcPr>
          <w:p>
            <w:r>
              <w:rPr>
                <w:sz w:val="18"/>
              </w:rPr>
              <w:t>Bloqueo de re-secuenciación</w:t>
            </w:r>
          </w:p>
        </w:tc>
        <w:tc>
          <w:tcPr>
            <w:tcW w:type="dxa" w:w="2268"/>
            <w:shd w:val="clear" w:color="auto" w:fill="FFFFFF"/>
          </w:tcPr>
          <w:p>
            <w:r>
              <w:rPr>
                <w:sz w:val="18"/>
              </w:rPr>
              <w:t>account.resequence.wizard</w:t>
              <w:br/>
              <w:t>(bloqueado)</w:t>
            </w:r>
          </w:p>
        </w:tc>
        <w:tc>
          <w:tcPr>
            <w:tcW w:type="dxa" w:w="4535"/>
            <w:shd w:val="clear" w:color="auto" w:fill="FFFFFF"/>
          </w:tcPr>
          <w:p>
            <w:r>
              <w:rPr>
                <w:sz w:val="18"/>
              </w:rPr>
              <w:t>El método default_get() lanza un UserError inmediato si alguna de las facturas seleccionadas es una factura fiscal dominicana, impidiendo cualquier re-secuenciación que comprometería la integridad del registro DGII.</w:t>
            </w:r>
          </w:p>
        </w:tc>
      </w:tr>
    </w:tbl>
    <w:p/>
    <w:p>
      <w:pPr>
        <w:pStyle w:val="Heading1"/>
        <w:jc w:val="left"/>
      </w:pPr>
      <w:r>
        <w:t>5. Seguridad y Control de Acceso</w:t>
      </w:r>
    </w:p>
    <w:p>
      <w:pPr>
        <w:pBdr>
          <w:bottom w:val="single" w:sz="6" w:space="1" w:color="1F3864"/>
        </w:pBdr>
      </w:pPr>
    </w:p>
    <w:p/>
    <w:p>
      <w:pPr>
        <w:pStyle w:val="Heading2"/>
        <w:jc w:val="left"/>
      </w:pPr>
      <w:r>
        <w:t>5.1 Grupos de Seguridad</w:t>
      </w:r>
    </w:p>
    <w:p>
      <w:r>
        <w:rPr>
          <w:b w:val="0"/>
          <w:i w:val="0"/>
        </w:rPr>
        <w:t>El módulo define cuatro grupos de seguridad adicionales para controlar el acceso a operaciones fiscales sensibles. Todos los grupos tienen como base grupos estándar de Odoo Accounting.</w:t>
      </w:r>
    </w:p>
    <w:tbl>
      <w:tblPr>
        <w:tblStyle w:val="TableGrid"/>
        <w:tblW w:type="auto" w:w="0"/>
        <w:tblLook w:firstColumn="1" w:firstRow="1" w:lastColumn="0" w:lastRow="0" w:noHBand="0" w:noVBand="1" w:val="04A0"/>
      </w:tblPr>
      <w:tblGrid>
        <w:gridCol w:w="3041"/>
        <w:gridCol w:w="3041"/>
        <w:gridCol w:w="3041"/>
      </w:tblGrid>
      <w:tr>
        <w:tc>
          <w:tcPr>
            <w:tcW w:type="dxa" w:w="3685"/>
            <w:shd w:val="clear" w:color="auto" w:fill="1F3864"/>
          </w:tcPr>
          <w:p>
            <w:pPr>
              <w:jc w:val="center"/>
            </w:pPr>
            <w:r>
              <w:rPr>
                <w:b/>
                <w:color w:val="FFFFFF"/>
                <w:sz w:val="18"/>
              </w:rPr>
              <w:t>ID técnico del grupo</w:t>
            </w:r>
          </w:p>
        </w:tc>
        <w:tc>
          <w:tcPr>
            <w:tcW w:type="dxa" w:w="3118"/>
            <w:shd w:val="clear" w:color="auto" w:fill="1F3864"/>
          </w:tcPr>
          <w:p>
            <w:pPr>
              <w:jc w:val="center"/>
            </w:pPr>
            <w:r>
              <w:rPr>
                <w:b/>
                <w:color w:val="FFFFFF"/>
                <w:sz w:val="18"/>
              </w:rPr>
              <w:t>Nombre descriptivo</w:t>
            </w:r>
          </w:p>
        </w:tc>
        <w:tc>
          <w:tcPr>
            <w:tcW w:type="dxa" w:w="2268"/>
            <w:shd w:val="clear" w:color="auto" w:fill="1F3864"/>
          </w:tcPr>
          <w:p>
            <w:pPr>
              <w:jc w:val="center"/>
            </w:pPr>
            <w:r>
              <w:rPr>
                <w:b/>
                <w:color w:val="FFFFFF"/>
                <w:sz w:val="18"/>
              </w:rPr>
              <w:t>Grupo base de Odoo</w:t>
            </w:r>
          </w:p>
        </w:tc>
      </w:tr>
      <w:tr>
        <w:tc>
          <w:tcPr>
            <w:tcW w:type="dxa" w:w="3685"/>
            <w:shd w:val="clear" w:color="auto" w:fill="EBF0F8"/>
          </w:tcPr>
          <w:p>
            <w:r>
              <w:rPr>
                <w:sz w:val="18"/>
              </w:rPr>
              <w:t>group_l10n_do_fiscal_credit_note</w:t>
            </w:r>
          </w:p>
        </w:tc>
        <w:tc>
          <w:tcPr>
            <w:tcW w:type="dxa" w:w="3118"/>
            <w:shd w:val="clear" w:color="auto" w:fill="EBF0F8"/>
          </w:tcPr>
          <w:p>
            <w:r>
              <w:rPr>
                <w:sz w:val="18"/>
              </w:rPr>
              <w:t>Puede crear Notas de Crédito Fiscales</w:t>
            </w:r>
          </w:p>
        </w:tc>
        <w:tc>
          <w:tcPr>
            <w:tcW w:type="dxa" w:w="2268"/>
            <w:shd w:val="clear" w:color="auto" w:fill="EBF0F8"/>
          </w:tcPr>
          <w:p>
            <w:r>
              <w:rPr>
                <w:sz w:val="18"/>
              </w:rPr>
              <w:t>account.group_account_invoice</w:t>
            </w:r>
          </w:p>
        </w:tc>
      </w:tr>
      <w:tr>
        <w:tc>
          <w:tcPr>
            <w:tcW w:type="dxa" w:w="3685"/>
            <w:shd w:val="clear" w:color="auto" w:fill="FFFFFF"/>
          </w:tcPr>
          <w:p>
            <w:r>
              <w:rPr>
                <w:sz w:val="18"/>
              </w:rPr>
              <w:t>group_l10n_do_fiscal_invoice_cancel</w:t>
            </w:r>
          </w:p>
        </w:tc>
        <w:tc>
          <w:tcPr>
            <w:tcW w:type="dxa" w:w="3118"/>
            <w:shd w:val="clear" w:color="auto" w:fill="FFFFFF"/>
          </w:tcPr>
          <w:p>
            <w:r>
              <w:rPr>
                <w:sz w:val="18"/>
              </w:rPr>
              <w:t>Puede cancelar Facturas Fiscales</w:t>
            </w:r>
          </w:p>
        </w:tc>
        <w:tc>
          <w:tcPr>
            <w:tcW w:type="dxa" w:w="2268"/>
            <w:shd w:val="clear" w:color="auto" w:fill="FFFFFF"/>
          </w:tcPr>
          <w:p>
            <w:r>
              <w:rPr>
                <w:sz w:val="18"/>
              </w:rPr>
              <w:t>account.group_account_invoice</w:t>
            </w:r>
          </w:p>
        </w:tc>
      </w:tr>
      <w:tr>
        <w:tc>
          <w:tcPr>
            <w:tcW w:type="dxa" w:w="3685"/>
            <w:shd w:val="clear" w:color="auto" w:fill="EBF0F8"/>
          </w:tcPr>
          <w:p>
            <w:r>
              <w:rPr>
                <w:sz w:val="18"/>
              </w:rPr>
              <w:t>group_l10n_do_edit_fiscal_partner</w:t>
            </w:r>
          </w:p>
        </w:tc>
        <w:tc>
          <w:tcPr>
            <w:tcW w:type="dxa" w:w="3118"/>
            <w:shd w:val="clear" w:color="auto" w:fill="EBF0F8"/>
          </w:tcPr>
          <w:p>
            <w:r>
              <w:rPr>
                <w:sz w:val="18"/>
              </w:rPr>
              <w:t>Puede modificar campos fiscales del contacto</w:t>
            </w:r>
          </w:p>
        </w:tc>
        <w:tc>
          <w:tcPr>
            <w:tcW w:type="dxa" w:w="2268"/>
            <w:shd w:val="clear" w:color="auto" w:fill="EBF0F8"/>
          </w:tcPr>
          <w:p>
            <w:r>
              <w:rPr>
                <w:sz w:val="18"/>
              </w:rPr>
              <w:t>account.group_account_manager</w:t>
            </w:r>
          </w:p>
        </w:tc>
      </w:tr>
      <w:tr>
        <w:tc>
          <w:tcPr>
            <w:tcW w:type="dxa" w:w="3685"/>
            <w:shd w:val="clear" w:color="auto" w:fill="FFFFFF"/>
          </w:tcPr>
          <w:p>
            <w:r>
              <w:rPr>
                <w:sz w:val="18"/>
              </w:rPr>
              <w:t>group_l10n_do_debit_note</w:t>
            </w:r>
          </w:p>
        </w:tc>
        <w:tc>
          <w:tcPr>
            <w:tcW w:type="dxa" w:w="3118"/>
            <w:shd w:val="clear" w:color="auto" w:fill="FFFFFF"/>
          </w:tcPr>
          <w:p>
            <w:r>
              <w:rPr>
                <w:sz w:val="18"/>
              </w:rPr>
              <w:t>Puede crear Notas de Débito</w:t>
            </w:r>
          </w:p>
        </w:tc>
        <w:tc>
          <w:tcPr>
            <w:tcW w:type="dxa" w:w="2268"/>
            <w:shd w:val="clear" w:color="auto" w:fill="FFFFFF"/>
          </w:tcPr>
          <w:p>
            <w:r>
              <w:rPr>
                <w:sz w:val="18"/>
              </w:rPr>
              <w:t>account.group_account_invoice</w:t>
            </w:r>
          </w:p>
        </w:tc>
      </w:tr>
    </w:tbl>
    <w:p/>
    <w:p>
      <w:pPr>
        <w:pStyle w:val="Heading2"/>
        <w:jc w:val="left"/>
      </w:pPr>
      <w:r>
        <w:t>5.2 Permisos de Acceso por Modelo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3118"/>
            <w:shd w:val="clear" w:color="auto" w:fill="1F3864"/>
          </w:tcPr>
          <w:p>
            <w:pPr>
              <w:jc w:val="center"/>
            </w:pPr>
            <w:r>
              <w:rPr>
                <w:b/>
                <w:color w:val="FFFFFF"/>
                <w:sz w:val="18"/>
              </w:rPr>
              <w:t>Modelo</w:t>
            </w:r>
          </w:p>
        </w:tc>
        <w:tc>
          <w:tcPr>
            <w:tcW w:type="dxa" w:w="3118"/>
            <w:shd w:val="clear" w:color="auto" w:fill="1F3864"/>
          </w:tcPr>
          <w:p>
            <w:pPr>
              <w:jc w:val="center"/>
            </w:pPr>
            <w:r>
              <w:rPr>
                <w:b/>
                <w:color w:val="FFFFFF"/>
                <w:sz w:val="18"/>
              </w:rPr>
              <w:t>Grupo de acceso</w:t>
            </w:r>
          </w:p>
        </w:tc>
        <w:tc>
          <w:tcPr>
            <w:tcW w:type="dxa" w:w="680"/>
            <w:shd w:val="clear" w:color="auto" w:fill="1F3864"/>
          </w:tcPr>
          <w:p>
            <w:pPr>
              <w:jc w:val="center"/>
            </w:pPr>
            <w:r>
              <w:rPr>
                <w:b/>
                <w:color w:val="FFFFFF"/>
                <w:sz w:val="18"/>
              </w:rPr>
              <w:t>Leer</w:t>
            </w:r>
          </w:p>
        </w:tc>
        <w:tc>
          <w:tcPr>
            <w:tcW w:type="dxa" w:w="680"/>
            <w:shd w:val="clear" w:color="auto" w:fill="1F3864"/>
          </w:tcPr>
          <w:p>
            <w:pPr>
              <w:jc w:val="center"/>
            </w:pPr>
            <w:r>
              <w:rPr>
                <w:b/>
                <w:color w:val="FFFFFF"/>
                <w:sz w:val="18"/>
              </w:rPr>
              <w:t>Escribir</w:t>
            </w:r>
          </w:p>
        </w:tc>
        <w:tc>
          <w:tcPr>
            <w:tcW w:type="dxa" w:w="680"/>
            <w:shd w:val="clear" w:color="auto" w:fill="1F3864"/>
          </w:tcPr>
          <w:p>
            <w:pPr>
              <w:jc w:val="center"/>
            </w:pPr>
            <w:r>
              <w:rPr>
                <w:b/>
                <w:color w:val="FFFFFF"/>
                <w:sz w:val="18"/>
              </w:rPr>
              <w:t>Crear</w:t>
            </w:r>
          </w:p>
        </w:tc>
        <w:tc>
          <w:tcPr>
            <w:tcW w:type="dxa" w:w="794"/>
            <w:shd w:val="clear" w:color="auto" w:fill="1F3864"/>
          </w:tcPr>
          <w:p>
            <w:pPr>
              <w:jc w:val="center"/>
            </w:pPr>
            <w:r>
              <w:rPr>
                <w:b/>
                <w:color w:val="FFFFFF"/>
                <w:sz w:val="18"/>
              </w:rPr>
              <w:t>Eliminar</w:t>
            </w:r>
          </w:p>
        </w:tc>
      </w:tr>
      <w:tr>
        <w:tc>
          <w:tcPr>
            <w:tcW w:type="dxa" w:w="3118"/>
            <w:shd w:val="clear" w:color="auto" w:fill="EBF0F8"/>
          </w:tcPr>
          <w:p>
            <w:r>
              <w:rPr>
                <w:sz w:val="18"/>
              </w:rPr>
              <w:t>account.move.cancel.wizard</w:t>
            </w:r>
          </w:p>
        </w:tc>
        <w:tc>
          <w:tcPr>
            <w:tcW w:type="dxa" w:w="3118"/>
            <w:shd w:val="clear" w:color="auto" w:fill="EBF0F8"/>
          </w:tcPr>
          <w:p>
            <w:r>
              <w:rPr>
                <w:sz w:val="18"/>
              </w:rPr>
              <w:t>account.group_account_invoice</w:t>
            </w:r>
          </w:p>
        </w:tc>
        <w:tc>
          <w:tcPr>
            <w:tcW w:type="dxa" w:w="680"/>
            <w:shd w:val="clear" w:color="auto" w:fill="EBF0F8"/>
          </w:tcPr>
          <w:p>
            <w:r>
              <w:rPr>
                <w:sz w:val="18"/>
              </w:rPr>
              <w:t>✓</w:t>
            </w:r>
          </w:p>
        </w:tc>
        <w:tc>
          <w:tcPr>
            <w:tcW w:type="dxa" w:w="680"/>
            <w:shd w:val="clear" w:color="auto" w:fill="EBF0F8"/>
          </w:tcPr>
          <w:p>
            <w:r>
              <w:rPr>
                <w:sz w:val="18"/>
              </w:rPr>
              <w:t>✓</w:t>
            </w:r>
          </w:p>
        </w:tc>
        <w:tc>
          <w:tcPr>
            <w:tcW w:type="dxa" w:w="680"/>
            <w:shd w:val="clear" w:color="auto" w:fill="EBF0F8"/>
          </w:tcPr>
          <w:p>
            <w:r>
              <w:rPr>
                <w:sz w:val="18"/>
              </w:rPr>
              <w:t>✓</w:t>
            </w:r>
          </w:p>
        </w:tc>
        <w:tc>
          <w:tcPr>
            <w:tcW w:type="dxa" w:w="794"/>
            <w:shd w:val="clear" w:color="auto" w:fill="EBF0F8"/>
          </w:tcPr>
          <w:p>
            <w:r>
              <w:rPr>
                <w:sz w:val="18"/>
              </w:rPr>
              <w:t>✗</w:t>
            </w:r>
          </w:p>
        </w:tc>
      </w:tr>
      <w:tr>
        <w:tc>
          <w:tcPr>
            <w:tcW w:type="dxa" w:w="3118"/>
            <w:shd w:val="clear" w:color="auto" w:fill="FFFFFF"/>
          </w:tcPr>
          <w:p>
            <w:r>
              <w:rPr>
                <w:sz w:val="18"/>
              </w:rPr>
              <w:t>l10n_do.account.journal.document_type</w:t>
            </w:r>
          </w:p>
        </w:tc>
        <w:tc>
          <w:tcPr>
            <w:tcW w:type="dxa" w:w="3118"/>
            <w:shd w:val="clear" w:color="auto" w:fill="FFFFFF"/>
          </w:tcPr>
          <w:p>
            <w:r>
              <w:rPr>
                <w:sz w:val="18"/>
              </w:rPr>
              <w:t>base.group_user</w:t>
            </w:r>
          </w:p>
        </w:tc>
        <w:tc>
          <w:tcPr>
            <w:tcW w:type="dxa" w:w="680"/>
            <w:shd w:val="clear" w:color="auto" w:fill="FFFFFF"/>
          </w:tcPr>
          <w:p>
            <w:r>
              <w:rPr>
                <w:sz w:val="18"/>
              </w:rPr>
              <w:t>✓</w:t>
            </w:r>
          </w:p>
        </w:tc>
        <w:tc>
          <w:tcPr>
            <w:tcW w:type="dxa" w:w="680"/>
            <w:shd w:val="clear" w:color="auto" w:fill="FFFFFF"/>
          </w:tcPr>
          <w:p>
            <w:r>
              <w:rPr>
                <w:sz w:val="18"/>
              </w:rPr>
              <w:t>✓</w:t>
            </w:r>
          </w:p>
        </w:tc>
        <w:tc>
          <w:tcPr>
            <w:tcW w:type="dxa" w:w="680"/>
            <w:shd w:val="clear" w:color="auto" w:fill="FFFFFF"/>
          </w:tcPr>
          <w:p>
            <w:r>
              <w:rPr>
                <w:sz w:val="18"/>
              </w:rPr>
              <w:t>✗</w:t>
            </w:r>
          </w:p>
        </w:tc>
        <w:tc>
          <w:tcPr>
            <w:tcW w:type="dxa" w:w="794"/>
            <w:shd w:val="clear" w:color="auto" w:fill="FFFFFF"/>
          </w:tcPr>
          <w:p>
            <w:r>
              <w:rPr>
                <w:sz w:val="18"/>
              </w:rPr>
              <w:t>✗</w:t>
            </w:r>
          </w:p>
        </w:tc>
      </w:tr>
      <w:tr>
        <w:tc>
          <w:tcPr>
            <w:tcW w:type="dxa" w:w="3118"/>
            <w:shd w:val="clear" w:color="auto" w:fill="EBF0F8"/>
          </w:tcPr>
          <w:p>
            <w:r>
              <w:rPr>
                <w:sz w:val="18"/>
              </w:rPr>
              <w:t>l10n_do.ncf.batch</w:t>
            </w:r>
          </w:p>
        </w:tc>
        <w:tc>
          <w:tcPr>
            <w:tcW w:type="dxa" w:w="3118"/>
            <w:shd w:val="clear" w:color="auto" w:fill="EBF0F8"/>
          </w:tcPr>
          <w:p>
            <w:r>
              <w:rPr>
                <w:sz w:val="18"/>
              </w:rPr>
              <w:t>base.group_user</w:t>
            </w:r>
          </w:p>
        </w:tc>
        <w:tc>
          <w:tcPr>
            <w:tcW w:type="dxa" w:w="680"/>
            <w:shd w:val="clear" w:color="auto" w:fill="EBF0F8"/>
          </w:tcPr>
          <w:p>
            <w:r>
              <w:rPr>
                <w:sz w:val="18"/>
              </w:rPr>
              <w:t>✓</w:t>
            </w:r>
          </w:p>
        </w:tc>
        <w:tc>
          <w:tcPr>
            <w:tcW w:type="dxa" w:w="680"/>
            <w:shd w:val="clear" w:color="auto" w:fill="EBF0F8"/>
          </w:tcPr>
          <w:p>
            <w:r>
              <w:rPr>
                <w:sz w:val="18"/>
              </w:rPr>
              <w:t>✗</w:t>
            </w:r>
          </w:p>
        </w:tc>
        <w:tc>
          <w:tcPr>
            <w:tcW w:type="dxa" w:w="680"/>
            <w:shd w:val="clear" w:color="auto" w:fill="EBF0F8"/>
          </w:tcPr>
          <w:p>
            <w:r>
              <w:rPr>
                <w:sz w:val="18"/>
              </w:rPr>
              <w:t>✗</w:t>
            </w:r>
          </w:p>
        </w:tc>
        <w:tc>
          <w:tcPr>
            <w:tcW w:type="dxa" w:w="794"/>
            <w:shd w:val="clear" w:color="auto" w:fill="EBF0F8"/>
          </w:tcPr>
          <w:p>
            <w:r>
              <w:rPr>
                <w:sz w:val="18"/>
              </w:rPr>
              <w:t>✗</w:t>
            </w:r>
          </w:p>
        </w:tc>
      </w:tr>
      <w:tr>
        <w:tc>
          <w:tcPr>
            <w:tcW w:type="dxa" w:w="3118"/>
            <w:shd w:val="clear" w:color="auto" w:fill="FFFFFF"/>
          </w:tcPr>
          <w:p>
            <w:r>
              <w:rPr>
                <w:sz w:val="18"/>
              </w:rPr>
              <w:t>l10n_do.ncf.batch</w:t>
            </w:r>
          </w:p>
        </w:tc>
        <w:tc>
          <w:tcPr>
            <w:tcW w:type="dxa" w:w="3118"/>
            <w:shd w:val="clear" w:color="auto" w:fill="FFFFFF"/>
          </w:tcPr>
          <w:p>
            <w:r>
              <w:rPr>
                <w:sz w:val="18"/>
              </w:rPr>
              <w:t>account.group_account_manager</w:t>
            </w:r>
          </w:p>
        </w:tc>
        <w:tc>
          <w:tcPr>
            <w:tcW w:type="dxa" w:w="680"/>
            <w:shd w:val="clear" w:color="auto" w:fill="FFFFFF"/>
          </w:tcPr>
          <w:p>
            <w:r>
              <w:rPr>
                <w:sz w:val="18"/>
              </w:rPr>
              <w:t>✓</w:t>
            </w:r>
          </w:p>
        </w:tc>
        <w:tc>
          <w:tcPr>
            <w:tcW w:type="dxa" w:w="680"/>
            <w:shd w:val="clear" w:color="auto" w:fill="FFFFFF"/>
          </w:tcPr>
          <w:p>
            <w:r>
              <w:rPr>
                <w:sz w:val="18"/>
              </w:rPr>
              <w:t>✓</w:t>
            </w:r>
          </w:p>
        </w:tc>
        <w:tc>
          <w:tcPr>
            <w:tcW w:type="dxa" w:w="680"/>
            <w:shd w:val="clear" w:color="auto" w:fill="FFFFFF"/>
          </w:tcPr>
          <w:p>
            <w:r>
              <w:rPr>
                <w:sz w:val="18"/>
              </w:rPr>
              <w:t>✓</w:t>
            </w:r>
          </w:p>
        </w:tc>
        <w:tc>
          <w:tcPr>
            <w:tcW w:type="dxa" w:w="794"/>
            <w:shd w:val="clear" w:color="auto" w:fill="FFFFFF"/>
          </w:tcPr>
          <w:p>
            <w:r>
              <w:rPr>
                <w:sz w:val="18"/>
              </w:rPr>
              <w:t>✓</w:t>
            </w:r>
          </w:p>
        </w:tc>
      </w:tr>
    </w:tbl>
    <w:p/>
    <w:p>
      <w:pPr>
        <w:pStyle w:val="Heading1"/>
        <w:jc w:val="left"/>
      </w:pPr>
      <w:r>
        <w:t>6. Datos Maestros</w:t>
      </w:r>
    </w:p>
    <w:p>
      <w:pPr>
        <w:pBdr>
          <w:bottom w:val="single" w:sz="6" w:space="1" w:color="1F3864"/>
        </w:pBdr>
      </w:pPr>
    </w:p>
    <w:p/>
    <w:p>
      <w:r>
        <w:rPr>
          <w:b w:val="0"/>
          <w:i w:val="0"/>
        </w:rPr>
        <w:t>El archivo data/l10n_latam.document.type.csv se carga durante la instalación del módulo y define los 22 tipos de documento fiscales pre-configurados. Cada registro contiene los siguientes atributos:</w:t>
      </w:r>
    </w:p>
    <w:p>
      <w:pPr>
        <w:pStyle w:val="ListBullet"/>
        <w:ind w:left="283"/>
      </w:pPr>
      <w:r>
        <w:t>ID externo único (ej: ncf_fiscal_client, ecf_consumer_supplier)</w:t>
      </w:r>
    </w:p>
    <w:p>
      <w:pPr>
        <w:pStyle w:val="ListBullet"/>
        <w:ind w:left="283"/>
      </w:pPr>
      <w:r>
        <w:t>Nombre en idioma español conforme a la normativa DGII</w:t>
      </w:r>
    </w:p>
    <w:p>
      <w:pPr>
        <w:pStyle w:val="ListBullet"/>
        <w:ind w:left="283"/>
      </w:pPr>
      <w:r>
        <w:t>Código de documento (prefijo B o E)</w:t>
      </w:r>
    </w:p>
    <w:p>
      <w:pPr>
        <w:pStyle w:val="ListBullet"/>
        <w:ind w:left="283"/>
      </w:pPr>
      <w:r>
        <w:t>Tipo interno Odoo (invoice, debit_note, credit_note)</w:t>
      </w:r>
    </w:p>
    <w:p>
      <w:pPr>
        <w:pStyle w:val="ListBullet"/>
        <w:ind w:left="283"/>
      </w:pPr>
      <w:r>
        <w:t>Código de tipo NCF (01-17 para tradicionales, 31-47 para electrónicos)</w:t>
      </w:r>
    </w:p>
    <w:p>
      <w:pPr>
        <w:pStyle w:val="ListBullet"/>
        <w:ind w:left="283"/>
      </w:pPr>
      <w:r>
        <w:t>Prefijo completo del comprobante (B01, E31, etc.)</w:t>
      </w:r>
    </w:p>
    <w:p>
      <w:pPr>
        <w:pStyle w:val="ListBullet"/>
        <w:ind w:left="283"/>
      </w:pPr>
      <w:r>
        <w:t>Referencia al país República Dominicana (base.do)</w:t>
      </w:r>
    </w:p>
    <w:p>
      <w:pPr>
        <w:pStyle w:val="ListBullet"/>
        <w:ind w:left="283"/>
      </w:pPr>
      <w:r>
        <w:t>Indicador de requerimiento de VAT (is_vat_required)</w:t>
      </w:r>
    </w:p>
    <w:p>
      <w:pPr>
        <w:pStyle w:val="ListBullet"/>
        <w:ind w:left="283"/>
      </w:pPr>
      <w:r>
        <w:t>Estado activo</w:t>
      </w:r>
    </w:p>
    <w:p>
      <w:pPr>
        <w:ind w:left="567" w:right="567"/>
      </w:pPr>
      <w:r>
        <w:rPr>
          <w:b/>
          <w:color w:val="1F3864"/>
          <w:sz w:val="19"/>
        </w:rPr>
        <w:t xml:space="preserve">NOTA: </w:t>
      </w:r>
      <w:r>
        <w:rPr>
          <w:i/>
          <w:color w:val="1F3864"/>
          <w:sz w:val="19"/>
        </w:rPr>
        <w:t>Los datos maestros son de solo lectura una vez instalados. Su modificación directa en base de datos puede comprometer la integridad de los reportes DGII.</w:t>
      </w:r>
    </w:p>
    <w:p>
      <w:pPr>
        <w:pStyle w:val="Heading1"/>
        <w:jc w:val="left"/>
      </w:pPr>
      <w:r>
        <w:t>7. Reglas de Negocio Críticas</w:t>
      </w:r>
    </w:p>
    <w:p>
      <w:pPr>
        <w:pBdr>
          <w:bottom w:val="single" w:sz="6" w:space="1" w:color="1F3864"/>
        </w:pBdr>
      </w:pPr>
    </w:p>
    <w:p/>
    <w:p>
      <w:pPr>
        <w:pStyle w:val="Heading2"/>
        <w:jc w:val="left"/>
      </w:pPr>
      <w:r>
        <w:t>7.1 Generación y Asignación de NCF</w:t>
      </w:r>
    </w:p>
    <w:p>
      <w:pPr>
        <w:pStyle w:val="ListBullet"/>
        <w:ind w:left="283"/>
      </w:pPr>
      <w:r>
        <w:t>Los NCF de facturas de venta se generan EXCLUSIVAMENTE desde un lote (batch) activo configurado en el diario. No existe mecanismo de generación aleatoria ni fallback.</w:t>
      </w:r>
    </w:p>
    <w:p>
      <w:pPr>
        <w:pStyle w:val="ListBullet"/>
        <w:ind w:left="283"/>
      </w:pPr>
      <w:r>
        <w:t>Si no existe un lote configurado para el tipo de documento → ValidationError al publicar la factura.</w:t>
      </w:r>
    </w:p>
    <w:p>
      <w:pPr>
        <w:pStyle w:val="ListBullet"/>
        <w:ind w:left="283"/>
      </w:pPr>
      <w:r>
        <w:t>Si el lote existe pero no cubre la fecha de la factura (l10n_do_date_from &gt; fecha o l10n_do_date_to &lt; fecha) → ValidationError.</w:t>
      </w:r>
    </w:p>
    <w:p>
      <w:pPr>
        <w:pStyle w:val="ListBullet"/>
        <w:ind w:left="283"/>
      </w:pPr>
      <w:r>
        <w:t>El NCF se asigna ÚNICAMENTE en el momento de la confirmación (publicación). En estado borrador el campo es vacío y de solo lectura.</w:t>
      </w:r>
    </w:p>
    <w:p>
      <w:pPr>
        <w:pStyle w:val="ListBullet"/>
        <w:ind w:left="283"/>
      </w:pPr>
      <w:r>
        <w:t>La primera factura de un lote obtiene el número l10n_do_start_number. Las siguientes incrementan el último número emitido del mismo tipo de documento en la misma compañía.</w:t>
      </w:r>
    </w:p>
    <w:p>
      <w:pPr>
        <w:pStyle w:val="ListBullet"/>
      </w:pPr>
      <w:r>
        <w:t>La constraint _l10n_do_check_unique_sale_ncf() garantiza unicidad de NCF en facturas de venta a nivel ORM, impidiendo duplicados tanto por asignación automática como por ingreso manual. Lanza ValidationError indicando el NCF en conflicto.</w:t>
      </w:r>
    </w:p>
    <w:p>
      <w:pPr>
        <w:pStyle w:val="Heading2"/>
        <w:jc w:val="left"/>
      </w:pPr>
      <w:r>
        <w:t>7.2 Clasificación de Contribuyentes</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3864"/>
          </w:tcPr>
          <w:p>
            <w:pPr>
              <w:jc w:val="center"/>
            </w:pPr>
            <w:r>
              <w:rPr>
                <w:b/>
                <w:color w:val="FFFFFF"/>
                <w:sz w:val="18"/>
              </w:rPr>
              <w:t>Tipo contribuyente</w:t>
            </w:r>
          </w:p>
        </w:tc>
        <w:tc>
          <w:tcPr>
            <w:tcW w:type="dxa" w:w="3118"/>
            <w:shd w:val="clear" w:color="auto" w:fill="1F3864"/>
          </w:tcPr>
          <w:p>
            <w:pPr>
              <w:jc w:val="center"/>
            </w:pPr>
            <w:r>
              <w:rPr>
                <w:b/>
                <w:color w:val="FFFFFF"/>
                <w:sz w:val="18"/>
              </w:rPr>
              <w:t>Lógica de detección automática</w:t>
            </w:r>
          </w:p>
        </w:tc>
        <w:tc>
          <w:tcPr>
            <w:tcW w:type="dxa" w:w="1701"/>
            <w:shd w:val="clear" w:color="auto" w:fill="1F3864"/>
          </w:tcPr>
          <w:p>
            <w:pPr>
              <w:jc w:val="center"/>
            </w:pPr>
            <w:r>
              <w:rPr>
                <w:b/>
                <w:color w:val="FFFFFF"/>
                <w:sz w:val="18"/>
              </w:rPr>
              <w:t>Documentos venta</w:t>
            </w:r>
          </w:p>
        </w:tc>
        <w:tc>
          <w:tcPr>
            <w:tcW w:type="dxa" w:w="2268"/>
            <w:shd w:val="clear" w:color="auto" w:fill="1F3864"/>
          </w:tcPr>
          <w:p>
            <w:pPr>
              <w:jc w:val="center"/>
            </w:pPr>
            <w:r>
              <w:rPr>
                <w:b/>
                <w:color w:val="FFFFFF"/>
                <w:sz w:val="18"/>
              </w:rPr>
              <w:t>Documentos compra</w:t>
            </w:r>
          </w:p>
        </w:tc>
      </w:tr>
      <w:tr>
        <w:tc>
          <w:tcPr>
            <w:tcW w:type="dxa" w:w="1984"/>
            <w:shd w:val="clear" w:color="auto" w:fill="EBF0F8"/>
          </w:tcPr>
          <w:p>
            <w:r>
              <w:rPr>
                <w:sz w:val="18"/>
              </w:rPr>
              <w:t>taxpayer</w:t>
            </w:r>
          </w:p>
        </w:tc>
        <w:tc>
          <w:tcPr>
            <w:tcW w:type="dxa" w:w="3118"/>
            <w:shd w:val="clear" w:color="auto" w:fill="EBF0F8"/>
          </w:tcPr>
          <w:p>
            <w:r>
              <w:rPr>
                <w:sz w:val="18"/>
              </w:rPr>
              <w:t>VAT numérico de 9 dígitos, país DO, nombre sin indicadores especiales</w:t>
            </w:r>
          </w:p>
        </w:tc>
        <w:tc>
          <w:tcPr>
            <w:tcW w:type="dxa" w:w="1701"/>
            <w:shd w:val="clear" w:color="auto" w:fill="EBF0F8"/>
          </w:tcPr>
          <w:p>
            <w:r>
              <w:rPr>
                <w:sz w:val="18"/>
              </w:rPr>
              <w:t>B01 / E31</w:t>
            </w:r>
          </w:p>
        </w:tc>
        <w:tc>
          <w:tcPr>
            <w:tcW w:type="dxa" w:w="2268"/>
            <w:shd w:val="clear" w:color="auto" w:fill="EBF0F8"/>
          </w:tcPr>
          <w:p>
            <w:r>
              <w:rPr>
                <w:sz w:val="18"/>
              </w:rPr>
              <w:t>B01 / E31</w:t>
            </w:r>
          </w:p>
        </w:tc>
      </w:tr>
      <w:tr>
        <w:tc>
          <w:tcPr>
            <w:tcW w:type="dxa" w:w="1984"/>
            <w:shd w:val="clear" w:color="auto" w:fill="FFFFFF"/>
          </w:tcPr>
          <w:p>
            <w:r>
              <w:rPr>
                <w:sz w:val="18"/>
              </w:rPr>
              <w:t>non_payer</w:t>
            </w:r>
          </w:p>
        </w:tc>
        <w:tc>
          <w:tcPr>
            <w:tcW w:type="dxa" w:w="3118"/>
            <w:shd w:val="clear" w:color="auto" w:fill="FFFFFF"/>
          </w:tcPr>
          <w:p>
            <w:r>
              <w:rPr>
                <w:sz w:val="18"/>
              </w:rPr>
              <w:t>VAT numérico de 11 dígitos o no numérico, país DO</w:t>
            </w:r>
          </w:p>
        </w:tc>
        <w:tc>
          <w:tcPr>
            <w:tcW w:type="dxa" w:w="1701"/>
            <w:shd w:val="clear" w:color="auto" w:fill="FFFFFF"/>
          </w:tcPr>
          <w:p>
            <w:r>
              <w:rPr>
                <w:sz w:val="18"/>
              </w:rPr>
              <w:t>B02/E32, B12</w:t>
            </w:r>
          </w:p>
        </w:tc>
        <w:tc>
          <w:tcPr>
            <w:tcW w:type="dxa" w:w="2268"/>
            <w:shd w:val="clear" w:color="auto" w:fill="FFFFFF"/>
          </w:tcPr>
          <w:p>
            <w:r>
              <w:rPr>
                <w:sz w:val="18"/>
              </w:rPr>
              <w:t>B11/E41, B13/E43</w:t>
            </w:r>
          </w:p>
        </w:tc>
      </w:tr>
      <w:tr>
        <w:tc>
          <w:tcPr>
            <w:tcW w:type="dxa" w:w="1984"/>
            <w:shd w:val="clear" w:color="auto" w:fill="EBF0F8"/>
          </w:tcPr>
          <w:p>
            <w:r>
              <w:rPr>
                <w:sz w:val="18"/>
              </w:rPr>
              <w:t>nonprofit</w:t>
            </w:r>
          </w:p>
        </w:tc>
        <w:tc>
          <w:tcPr>
            <w:tcW w:type="dxa" w:w="3118"/>
            <w:shd w:val="clear" w:color="auto" w:fill="EBF0F8"/>
          </w:tcPr>
          <w:p>
            <w:r>
              <w:rPr>
                <w:sz w:val="18"/>
              </w:rPr>
              <w:t>VAT de 9 dígitos iniciando con 4, país DO</w:t>
            </w:r>
          </w:p>
        </w:tc>
        <w:tc>
          <w:tcPr>
            <w:tcW w:type="dxa" w:w="1701"/>
            <w:shd w:val="clear" w:color="auto" w:fill="EBF0F8"/>
          </w:tcPr>
          <w:p>
            <w:r>
              <w:rPr>
                <w:sz w:val="18"/>
              </w:rPr>
              <w:t>B01 / E31</w:t>
            </w:r>
          </w:p>
        </w:tc>
        <w:tc>
          <w:tcPr>
            <w:tcW w:type="dxa" w:w="2268"/>
            <w:shd w:val="clear" w:color="auto" w:fill="EBF0F8"/>
          </w:tcPr>
          <w:p>
            <w:r>
              <w:rPr>
                <w:sz w:val="18"/>
              </w:rPr>
              <w:t>B14/E44, B15/E45</w:t>
            </w:r>
          </w:p>
        </w:tc>
      </w:tr>
      <w:tr>
        <w:tc>
          <w:tcPr>
            <w:tcW w:type="dxa" w:w="1984"/>
            <w:shd w:val="clear" w:color="auto" w:fill="FFFFFF"/>
          </w:tcPr>
          <w:p>
            <w:r>
              <w:rPr>
                <w:sz w:val="18"/>
              </w:rPr>
              <w:t>special</w:t>
            </w:r>
          </w:p>
        </w:tc>
        <w:tc>
          <w:tcPr>
            <w:tcW w:type="dxa" w:w="3118"/>
            <w:shd w:val="clear" w:color="auto" w:fill="FFFFFF"/>
          </w:tcPr>
          <w:p>
            <w:r>
              <w:rPr>
                <w:sz w:val="18"/>
              </w:rPr>
              <w:t>Nombre contiene "ZONA FRANCA" o "IGLESIA"</w:t>
            </w:r>
          </w:p>
        </w:tc>
        <w:tc>
          <w:tcPr>
            <w:tcW w:type="dxa" w:w="1701"/>
            <w:shd w:val="clear" w:color="auto" w:fill="FFFFFF"/>
          </w:tcPr>
          <w:p>
            <w:r>
              <w:rPr>
                <w:sz w:val="18"/>
              </w:rPr>
              <w:t>B14 / E44</w:t>
            </w:r>
          </w:p>
        </w:tc>
        <w:tc>
          <w:tcPr>
            <w:tcW w:type="dxa" w:w="2268"/>
            <w:shd w:val="clear" w:color="auto" w:fill="FFFFFF"/>
          </w:tcPr>
          <w:p>
            <w:r>
              <w:rPr>
                <w:sz w:val="18"/>
              </w:rPr>
              <w:t>B01, B14, B15</w:t>
            </w:r>
          </w:p>
        </w:tc>
      </w:tr>
      <w:tr>
        <w:tc>
          <w:tcPr>
            <w:tcW w:type="dxa" w:w="1984"/>
            <w:shd w:val="clear" w:color="auto" w:fill="EBF0F8"/>
          </w:tcPr>
          <w:p>
            <w:r>
              <w:rPr>
                <w:sz w:val="18"/>
              </w:rPr>
              <w:t>governmental</w:t>
            </w:r>
          </w:p>
        </w:tc>
        <w:tc>
          <w:tcPr>
            <w:tcW w:type="dxa" w:w="3118"/>
            <w:shd w:val="clear" w:color="auto" w:fill="EBF0F8"/>
          </w:tcPr>
          <w:p>
            <w:r>
              <w:rPr>
                <w:sz w:val="18"/>
              </w:rPr>
              <w:t>Nombre contiene "MINISTERIO" y VAT no inicia con 4</w:t>
            </w:r>
          </w:p>
        </w:tc>
        <w:tc>
          <w:tcPr>
            <w:tcW w:type="dxa" w:w="1701"/>
            <w:shd w:val="clear" w:color="auto" w:fill="EBF0F8"/>
          </w:tcPr>
          <w:p>
            <w:r>
              <w:rPr>
                <w:sz w:val="18"/>
              </w:rPr>
              <w:t>B15 / E45</w:t>
            </w:r>
          </w:p>
        </w:tc>
        <w:tc>
          <w:tcPr>
            <w:tcW w:type="dxa" w:w="2268"/>
            <w:shd w:val="clear" w:color="auto" w:fill="EBF0F8"/>
          </w:tcPr>
          <w:p>
            <w:r>
              <w:rPr>
                <w:sz w:val="18"/>
              </w:rPr>
              <w:t>B01, B14, B15</w:t>
            </w:r>
          </w:p>
        </w:tc>
      </w:tr>
      <w:tr>
        <w:tc>
          <w:tcPr>
            <w:tcW w:type="dxa" w:w="1984"/>
            <w:shd w:val="clear" w:color="auto" w:fill="FFFFFF"/>
          </w:tcPr>
          <w:p>
            <w:r>
              <w:rPr>
                <w:sz w:val="18"/>
              </w:rPr>
              <w:t>foreigner</w:t>
            </w:r>
          </w:p>
        </w:tc>
        <w:tc>
          <w:tcPr>
            <w:tcW w:type="dxa" w:w="3118"/>
            <w:shd w:val="clear" w:color="auto" w:fill="FFFFFF"/>
          </w:tcPr>
          <w:p>
            <w:r>
              <w:rPr>
                <w:sz w:val="18"/>
              </w:rPr>
              <w:t>País diferente a República Dominicana</w:t>
            </w:r>
          </w:p>
        </w:tc>
        <w:tc>
          <w:tcPr>
            <w:tcW w:type="dxa" w:w="1701"/>
            <w:shd w:val="clear" w:color="auto" w:fill="FFFFFF"/>
          </w:tcPr>
          <w:p>
            <w:r>
              <w:rPr>
                <w:sz w:val="18"/>
              </w:rPr>
              <w:t>B02/E32, B16/E46</w:t>
            </w:r>
          </w:p>
        </w:tc>
        <w:tc>
          <w:tcPr>
            <w:tcW w:type="dxa" w:w="2268"/>
            <w:shd w:val="clear" w:color="auto" w:fill="FFFFFF"/>
          </w:tcPr>
          <w:p>
            <w:r>
              <w:rPr>
                <w:sz w:val="18"/>
              </w:rPr>
              <w:t>IMP, B17/E47</w:t>
            </w:r>
          </w:p>
        </w:tc>
      </w:tr>
    </w:tbl>
    <w:p/>
    <w:p>
      <w:pPr>
        <w:pStyle w:val="Heading2"/>
        <w:jc w:val="left"/>
      </w:pPr>
      <w:r>
        <w:t>7.3 Restricciones de Integridad Fiscal</w:t>
      </w:r>
    </w:p>
    <w:p>
      <w:pPr>
        <w:pStyle w:val="ListBullet"/>
        <w:ind w:left="283"/>
      </w:pPr>
      <w:r>
        <w:t>Prohibido re-secuenciar facturas fiscales dominicanas (wizard account.resequence bloqueado).</w:t>
      </w:r>
    </w:p>
    <w:p>
      <w:pPr>
        <w:pStyle w:val="ListBullet"/>
        <w:ind w:left="283"/>
      </w:pPr>
      <w:r>
        <w:t>Prohibido cancelar múltiples facturas fiscales de forma simultánea en una sola operación.</w:t>
      </w:r>
    </w:p>
    <w:p>
      <w:pPr>
        <w:pStyle w:val="ListBullet"/>
        <w:ind w:left="283"/>
      </w:pPr>
      <w:r>
        <w:t>Prohibido publicar facturas fiscales con monto total igual a cero.</w:t>
      </w:r>
    </w:p>
    <w:p>
      <w:pPr>
        <w:pStyle w:val="ListBullet"/>
        <w:ind w:left="283"/>
      </w:pPr>
      <w:r>
        <w:t>El NCF de proveedor debe ser único por combinación (partner, company). Duplicados generan ValidationError.</w:t>
      </w:r>
    </w:p>
    <w:p>
      <w:pPr>
        <w:pStyle w:val="ListBullet"/>
        <w:ind w:left="283"/>
      </w:pPr>
      <w:r>
        <w:t>Para montos iguales o superiores a RD$250,000, el RNC o Cédula del cliente es obligatorio.</w:t>
      </w:r>
    </w:p>
    <w:p>
      <w:pPr>
        <w:pStyle w:val="ListBullet"/>
        <w:ind w:left="283"/>
      </w:pPr>
      <w:r>
        <w:t>Los lotes con comprobantes emitidos no pueden ser eliminados ni modificados (excepto la fecha de vencimiento).</w:t>
      </w:r>
    </w:p>
    <w:p>
      <w:pPr>
        <w:pStyle w:val="ListBullet"/>
        <w:ind w:left="283"/>
      </w:pPr>
      <w:r>
        <w:t>Las notas de débito no están permitidas para los tipos B11/E41 ni B13/E43.</w:t>
      </w:r>
    </w:p>
    <w:p>
      <w:pPr>
        <w:pStyle w:val="ListBullet"/>
        <w:ind w:left="283"/>
      </w:pPr>
      <w:r>
        <w:t>No se pueden eliminar facturas de compra fiscales previamente publicadas.</w:t>
      </w:r>
    </w:p>
    <w:p>
      <w:pPr>
        <w:pStyle w:val="ListBullet"/>
      </w:pPr>
      <w:r>
        <w:t>El NCF de venta emitido por la compañía debe ser único por compañía (constraint _l10n_do_check_unique_sale_ncf). Cualquier intento de reutilizar un NCF ya asignado, ya sea manualmente o mediante auto-secuencia, lanza ValidationError.</w:t>
      </w:r>
    </w:p>
    <w:p>
      <w:pPr>
        <w:pStyle w:val="ListBullet"/>
      </w:pPr>
      <w:r>
        <w:t>El campo l10n_do_active_batch_id del modelo l10n_do.account.journal.document_type muestra el nombre legible del lote activo (INICIO → FIN) en la vista del diario, en lugar del identificador técnico interno.</w:t>
      </w:r>
    </w:p>
    <w:p>
      <w:pPr>
        <w:pStyle w:val="Heading1"/>
        <w:jc w:val="left"/>
      </w:pPr>
      <w:r>
        <w:t>8. Índices y Restricciones de Base de Datos</w:t>
      </w:r>
    </w:p>
    <w:p>
      <w:pPr>
        <w:pBdr>
          <w:bottom w:val="single" w:sz="6" w:space="1" w:color="1F3864"/>
        </w:pBdr>
      </w:pPr>
    </w:p>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3864"/>
          </w:tcPr>
          <w:p>
            <w:pPr>
              <w:jc w:val="center"/>
            </w:pPr>
            <w:r>
              <w:rPr>
                <w:b/>
                <w:color w:val="FFFFFF"/>
                <w:sz w:val="18"/>
              </w:rPr>
              <w:t>Modelo</w:t>
            </w:r>
          </w:p>
        </w:tc>
        <w:tc>
          <w:tcPr>
            <w:tcW w:type="dxa" w:w="3402"/>
            <w:shd w:val="clear" w:color="auto" w:fill="1F3864"/>
          </w:tcPr>
          <w:p>
            <w:pPr>
              <w:jc w:val="center"/>
            </w:pPr>
            <w:r>
              <w:rPr>
                <w:b/>
                <w:color w:val="FFFFFF"/>
                <w:sz w:val="18"/>
              </w:rPr>
              <w:t>Campos del índice</w:t>
            </w:r>
          </w:p>
        </w:tc>
        <w:tc>
          <w:tcPr>
            <w:tcW w:type="dxa" w:w="1134"/>
            <w:shd w:val="clear" w:color="auto" w:fill="1F3864"/>
          </w:tcPr>
          <w:p>
            <w:pPr>
              <w:jc w:val="center"/>
            </w:pPr>
            <w:r>
              <w:rPr>
                <w:b/>
                <w:color w:val="FFFFFF"/>
                <w:sz w:val="18"/>
              </w:rPr>
              <w:t>Tipo</w:t>
            </w:r>
          </w:p>
        </w:tc>
        <w:tc>
          <w:tcPr>
            <w:tcW w:type="dxa" w:w="2551"/>
            <w:shd w:val="clear" w:color="auto" w:fill="1F3864"/>
          </w:tcPr>
          <w:p>
            <w:pPr>
              <w:jc w:val="center"/>
            </w:pPr>
            <w:r>
              <w:rPr>
                <w:b/>
                <w:color w:val="FFFFFF"/>
                <w:sz w:val="18"/>
              </w:rPr>
              <w:t>Propósito</w:t>
            </w:r>
          </w:p>
        </w:tc>
      </w:tr>
      <w:tr>
        <w:tc>
          <w:tcPr>
            <w:tcW w:type="dxa" w:w="1984"/>
            <w:shd w:val="clear" w:color="auto" w:fill="EBF0F8"/>
          </w:tcPr>
          <w:p>
            <w:r>
              <w:rPr>
                <w:sz w:val="18"/>
              </w:rPr>
              <w:t>account.move</w:t>
            </w:r>
          </w:p>
        </w:tc>
        <w:tc>
          <w:tcPr>
            <w:tcW w:type="dxa" w:w="3402"/>
            <w:shd w:val="clear" w:color="auto" w:fill="EBF0F8"/>
          </w:tcPr>
          <w:p>
            <w:r>
              <w:rPr>
                <w:sz w:val="18"/>
              </w:rPr>
              <w:t>l10n_do_fiscal_number + company_id</w:t>
            </w:r>
          </w:p>
        </w:tc>
        <w:tc>
          <w:tcPr>
            <w:tcW w:type="dxa" w:w="1134"/>
            <w:shd w:val="clear" w:color="auto" w:fill="EBF0F8"/>
          </w:tcPr>
          <w:p>
            <w:r>
              <w:rPr>
                <w:sz w:val="18"/>
              </w:rPr>
              <w:t>UNIQUE</w:t>
            </w:r>
          </w:p>
        </w:tc>
        <w:tc>
          <w:tcPr>
            <w:tcW w:type="dxa" w:w="2551"/>
            <w:shd w:val="clear" w:color="auto" w:fill="EBF0F8"/>
          </w:tcPr>
          <w:p>
            <w:r>
              <w:rPr>
                <w:sz w:val="18"/>
              </w:rPr>
              <w:t>Unicidad de NCF en facturas de venta por compañía</w:t>
            </w:r>
          </w:p>
        </w:tc>
      </w:tr>
      <w:tr>
        <w:tc>
          <w:tcPr>
            <w:tcW w:type="dxa" w:w="1984"/>
            <w:shd w:val="clear" w:color="auto" w:fill="FFFFFF"/>
          </w:tcPr>
          <w:p>
            <w:r>
              <w:rPr>
                <w:sz w:val="18"/>
              </w:rPr>
              <w:t>account.move</w:t>
            </w:r>
          </w:p>
        </w:tc>
        <w:tc>
          <w:tcPr>
            <w:tcW w:type="dxa" w:w="3402"/>
            <w:shd w:val="clear" w:color="auto" w:fill="FFFFFF"/>
          </w:tcPr>
          <w:p>
            <w:r>
              <w:rPr>
                <w:sz w:val="18"/>
              </w:rPr>
              <w:t>l10n_do_fiscal_number + commercial_partner_id + company_id</w:t>
            </w:r>
          </w:p>
        </w:tc>
        <w:tc>
          <w:tcPr>
            <w:tcW w:type="dxa" w:w="1134"/>
            <w:shd w:val="clear" w:color="auto" w:fill="FFFFFF"/>
          </w:tcPr>
          <w:p>
            <w:r>
              <w:rPr>
                <w:sz w:val="18"/>
              </w:rPr>
              <w:t>UNIQUE</w:t>
            </w:r>
          </w:p>
        </w:tc>
        <w:tc>
          <w:tcPr>
            <w:tcW w:type="dxa" w:w="2551"/>
            <w:shd w:val="clear" w:color="auto" w:fill="FFFFFF"/>
          </w:tcPr>
          <w:p>
            <w:r>
              <w:rPr>
                <w:sz w:val="18"/>
              </w:rPr>
              <w:t>Unicidad de NCF en facturas de compra manuales (proveedor + compañía)</w:t>
            </w:r>
          </w:p>
        </w:tc>
      </w:tr>
      <w:tr>
        <w:tc>
          <w:tcPr>
            <w:tcW w:type="dxa" w:w="1984"/>
            <w:shd w:val="clear" w:color="auto" w:fill="EBF0F8"/>
          </w:tcPr>
          <w:p>
            <w:r>
              <w:rPr>
                <w:sz w:val="18"/>
              </w:rPr>
              <w:t>account.move</w:t>
            </w:r>
          </w:p>
        </w:tc>
        <w:tc>
          <w:tcPr>
            <w:tcW w:type="dxa" w:w="3402"/>
            <w:shd w:val="clear" w:color="auto" w:fill="EBF0F8"/>
          </w:tcPr>
          <w:p>
            <w:r>
              <w:rPr>
                <w:sz w:val="18"/>
              </w:rPr>
              <w:t>l10n_do_fiscal_number + company_id</w:t>
            </w:r>
          </w:p>
        </w:tc>
        <w:tc>
          <w:tcPr>
            <w:tcW w:type="dxa" w:w="1134"/>
            <w:shd w:val="clear" w:color="auto" w:fill="EBF0F8"/>
          </w:tcPr>
          <w:p>
            <w:r>
              <w:rPr>
                <w:sz w:val="18"/>
              </w:rPr>
              <w:t>UNIQUE + INDEX</w:t>
            </w:r>
          </w:p>
        </w:tc>
        <w:tc>
          <w:tcPr>
            <w:tcW w:type="dxa" w:w="2551"/>
            <w:shd w:val="clear" w:color="auto" w:fill="EBF0F8"/>
          </w:tcPr>
          <w:p>
            <w:r>
              <w:rPr>
                <w:sz w:val="18"/>
              </w:rPr>
              <w:t>Unicidad de NCF en facturas de compra internas</w:t>
            </w:r>
          </w:p>
        </w:tc>
      </w:tr>
      <w:tr>
        <w:tc>
          <w:tcPr>
            <w:tcW w:type="dxa" w:w="1984"/>
            <w:shd w:val="clear" w:color="auto" w:fill="FFFFFF"/>
          </w:tcPr>
          <w:p>
            <w:r>
              <w:rPr>
                <w:sz w:val="18"/>
              </w:rPr>
              <w:t>account.move</w:t>
            </w:r>
          </w:p>
        </w:tc>
        <w:tc>
          <w:tcPr>
            <w:tcW w:type="dxa" w:w="3402"/>
            <w:shd w:val="clear" w:color="auto" w:fill="FFFFFF"/>
          </w:tcPr>
          <w:p>
            <w:r>
              <w:rPr>
                <w:sz w:val="18"/>
              </w:rPr>
              <w:t>l10n_do_fiscal_number</w:t>
            </w:r>
          </w:p>
        </w:tc>
        <w:tc>
          <w:tcPr>
            <w:tcW w:type="dxa" w:w="1134"/>
            <w:shd w:val="clear" w:color="auto" w:fill="FFFFFF"/>
          </w:tcPr>
          <w:p>
            <w:r>
              <w:rPr>
                <w:sz w:val="18"/>
              </w:rPr>
              <w:t>INDEX</w:t>
            </w:r>
          </w:p>
        </w:tc>
        <w:tc>
          <w:tcPr>
            <w:tcW w:type="dxa" w:w="2551"/>
            <w:shd w:val="clear" w:color="auto" w:fill="FFFFFF"/>
          </w:tcPr>
          <w:p>
            <w:r>
              <w:rPr>
                <w:sz w:val="18"/>
              </w:rPr>
              <w:t>Búsqueda optimizada de facturas por número de comprobante</w:t>
            </w:r>
          </w:p>
        </w:tc>
      </w:tr>
      <w:tr>
        <w:tc>
          <w:tcPr>
            <w:tcW w:type="dxa" w:w="2280"/>
          </w:tcPr>
          <w:p>
            <w:r>
              <w:t>account.move</w:t>
            </w:r>
          </w:p>
        </w:tc>
        <w:tc>
          <w:tcPr>
            <w:tcW w:type="dxa" w:w="2280"/>
          </w:tcPr>
          <w:p>
            <w:r>
              <w:t>l10n_do_fiscal_number + company_id (facturas de venta)</w:t>
            </w:r>
          </w:p>
        </w:tc>
        <w:tc>
          <w:tcPr>
            <w:tcW w:type="dxa" w:w="2280"/>
          </w:tcPr>
          <w:p>
            <w:r>
              <w:t>ORM Constraint</w:t>
            </w:r>
          </w:p>
        </w:tc>
        <w:tc>
          <w:tcPr>
            <w:tcW w:type="dxa" w:w="2280"/>
          </w:tcPr>
          <w:p>
            <w:r>
              <w:t>Constraint Python _l10n_do_check_unique_sale_ncf(): impide duplicados de NCF en facturas de venta activas. Complementa el índice DB con mensajes de error descriptivos en español.</w:t>
            </w:r>
          </w:p>
        </w:tc>
      </w:tr>
    </w:tbl>
    <w:p/>
    <w:p>
      <w:pPr>
        <w:pStyle w:val="Heading1"/>
        <w:jc w:val="left"/>
      </w:pPr>
      <w:r>
        <w:t>9. Pruebas Unitarias</w:t>
      </w:r>
    </w:p>
    <w:p>
      <w:pPr>
        <w:pBdr>
          <w:bottom w:val="single" w:sz="6" w:space="1" w:color="1F3864"/>
        </w:pBdr>
      </w:pPr>
    </w:p>
    <w:p/>
    <w:p>
      <w:pPr>
        <w:pStyle w:val="Heading2"/>
        <w:jc w:val="left"/>
      </w:pPr>
      <w:r>
        <w:t>9.1 Ejecución de la Suite de Pruebas</w:t>
      </w:r>
    </w:p>
    <w:p>
      <w:r>
        <w:rPr>
          <w:b w:val="0"/>
          <w:i w:val="0"/>
        </w:rPr>
        <w:t>Las pruebas están implementadas con el framework de testing de Odoo, el cual hereda de unittest.TestCase. Para ejecutarlas es necesario disponer de una instancia de Odoo con la base de datos inicializada.</w:t>
      </w:r>
    </w:p>
    <w:p>
      <w:r>
        <w:rPr>
          <w:b/>
          <w:i w:val="0"/>
        </w:rPr>
        <w:t>Comandos de ejecución:</w:t>
      </w:r>
    </w:p>
    <w:p>
      <w:r>
        <w:rPr>
          <w:b w:val="0"/>
          <w:i w:val="0"/>
        </w:rPr>
        <w:t>Ejecutar todas las pruebas del módulo:</w:t>
      </w:r>
    </w:p>
    <w:p>
      <w:pPr>
        <w:spacing w:before="40" w:after="40"/>
        <w:ind w:left="680"/>
      </w:pPr>
      <w:r>
        <w:rPr>
          <w:rFonts w:ascii="Courier New" w:hAnsi="Courier New"/>
          <w:color w:val="1A1A8C"/>
          <w:sz w:val="18"/>
        </w:rPr>
        <w:t>python odoo-bin -d &lt;nombre_bd&gt; -i l10n_do_accounting --test-enable --stop-after-init</w:t>
      </w:r>
    </w:p>
    <w:p>
      <w:r>
        <w:rPr>
          <w:b w:val="0"/>
          <w:i w:val="0"/>
        </w:rPr>
        <w:t>Ejecutar solo las pruebas etiquetadas con el tag del módulo:</w:t>
      </w:r>
    </w:p>
    <w:p>
      <w:pPr>
        <w:spacing w:before="40" w:after="40"/>
        <w:ind w:left="680"/>
      </w:pPr>
      <w:r>
        <w:rPr>
          <w:rFonts w:ascii="Courier New" w:hAnsi="Courier New"/>
          <w:color w:val="1A1A8C"/>
          <w:sz w:val="18"/>
        </w:rPr>
        <w:t>python odoo-bin -d &lt;nombre_bd&gt; --test-tags l10n_do_accounting --stop-after-init</w:t>
      </w:r>
    </w:p>
    <w:p>
      <w:r>
        <w:rPr>
          <w:b w:val="0"/>
          <w:i w:val="0"/>
        </w:rPr>
        <w:t>Ejecutar una clase de prueba específica:</w:t>
      </w:r>
    </w:p>
    <w:p>
      <w:pPr>
        <w:spacing w:before="40" w:after="40"/>
        <w:ind w:left="680"/>
      </w:pPr>
      <w:r>
        <w:rPr>
          <w:rFonts w:ascii="Courier New" w:hAnsi="Courier New"/>
          <w:color w:val="1A1A8C"/>
          <w:sz w:val="18"/>
        </w:rPr>
        <w:t>python odoo-bin -d &lt;nombre_bd&gt; --test-tags /l10n_do_accounting.AccountMoveTest --stop-after-init</w:t>
      </w:r>
    </w:p>
    <w:p>
      <w:r>
        <w:rPr>
          <w:b w:val="0"/>
          <w:i w:val="0"/>
        </w:rPr>
        <w:t>Ejecutar un método de prueba individual:</w:t>
      </w:r>
    </w:p>
    <w:p>
      <w:pPr>
        <w:spacing w:before="40" w:after="40"/>
        <w:ind w:left="680"/>
      </w:pPr>
      <w:r>
        <w:rPr>
          <w:rFonts w:ascii="Courier New" w:hAnsi="Courier New"/>
          <w:color w:val="1A1A8C"/>
          <w:sz w:val="18"/>
        </w:rPr>
        <w:t>python odoo-bin -d &lt;nombre_bd&gt; --test-tags /l10n_do_accounting.AccountMoveTest.test_009_invoice_sequence --stop-after-init</w:t>
      </w:r>
    </w:p>
    <w:p>
      <w:r>
        <w:rPr>
          <w:b w:val="0"/>
          <w:i w:val="0"/>
        </w:rPr>
        <w:t>Habilitar nivel de log DEBUG para mayor detalle en la salida:</w:t>
      </w:r>
    </w:p>
    <w:p>
      <w:pPr>
        <w:spacing w:before="40" w:after="40"/>
        <w:ind w:left="680"/>
      </w:pPr>
      <w:r>
        <w:rPr>
          <w:rFonts w:ascii="Courier New" w:hAnsi="Courier New"/>
          <w:color w:val="1A1A8C"/>
          <w:sz w:val="18"/>
        </w:rPr>
        <w:t>python odoo-bin -d &lt;nombre_bd&gt; --test-tags l10n_do_accounting --stop-after-init --log-level=debug</w:t>
      </w:r>
    </w:p>
    <w:p>
      <w:pPr>
        <w:pStyle w:val="Heading2"/>
        <w:jc w:val="left"/>
      </w:pPr>
      <w:r>
        <w:t>9.2 Clase Base de Pruebas — L10nDOTestsCommon</w:t>
      </w:r>
    </w:p>
    <w:p>
      <w:r>
        <w:rPr>
          <w:b w:val="0"/>
          <w:i w:val="0"/>
        </w:rPr>
        <w:t>Ubicación: tests/common.py  |  Hereda de: AccountTestInvoicingCommon</w:t>
      </w:r>
    </w:p>
    <w:p>
      <w:r>
        <w:rPr>
          <w:b/>
          <w:i w:val="0"/>
        </w:rPr>
        <w:t>Entorno creado en el método setUpClass:</w:t>
      </w:r>
    </w:p>
    <w:p>
      <w:pPr>
        <w:pStyle w:val="ListBullet"/>
        <w:ind w:left="283"/>
      </w:pPr>
      <w:r>
        <w:t>Plantilla contable: "do" (Catálogo de Cuentas Dominicano - NIIF).</w:t>
      </w:r>
    </w:p>
    <w:p>
      <w:pPr>
        <w:pStyle w:val="ListBullet"/>
        <w:ind w:left="283"/>
      </w:pPr>
      <w:r>
        <w:t>Compañía de prueba: "EMPRESA FISCAL DOMINICANA SRL" (VAT: 130862346).</w:t>
      </w:r>
    </w:p>
    <w:p>
      <w:pPr>
        <w:pStyle w:val="ListBullet"/>
        <w:ind w:left="283"/>
      </w:pPr>
      <w:r>
        <w:t>Moneda USD con tasa de cambio: 0.01694915254 (equivalente a aproximadamente RD$59 por USD).</w:t>
      </w:r>
    </w:p>
    <w:p>
      <w:pPr>
        <w:pStyle w:val="ListBullet"/>
        <w:ind w:left="283"/>
      </w:pPr>
      <w:r>
        <w:t>Socios de prueba para cada tipo de contribuyente: fiscal_partner, consumo_partner, special_partner, gov_partner, nonprofit_partner, foreigner_partner, informal_vendor.</w:t>
      </w:r>
    </w:p>
    <w:p>
      <w:pPr>
        <w:pStyle w:val="ListBullet"/>
        <w:ind w:left="283"/>
      </w:pPr>
      <w:r>
        <w:t>Diarios de venta y compra con l10n_latam_use_documents=True.</w:t>
      </w:r>
    </w:p>
    <w:p>
      <w:pPr>
        <w:pStyle w:val="ListBullet"/>
        <w:ind w:left="283"/>
      </w:pPr>
      <w:r>
        <w:t>Lotes NCF pre-creados automáticamente mediante _create_test_ncf_batches() para todos los tipos de documento utilizados en las pruebas.</w:t>
      </w:r>
    </w:p>
    <w:p>
      <w:r>
        <w:rPr>
          <w:b/>
          <w:i w:val="0"/>
        </w:rPr>
        <w:t>Helper principal de creación de facturas:</w:t>
      </w:r>
    </w:p>
    <w:p>
      <w:pPr>
        <w:spacing w:before="40" w:after="40"/>
        <w:ind w:left="680"/>
      </w:pPr>
      <w:r>
        <w:rPr>
          <w:rFonts w:ascii="Courier New" w:hAnsi="Courier New"/>
          <w:color w:val="1A1A8C"/>
          <w:sz w:val="18"/>
        </w:rPr>
        <w:t>_create_l10n_do_invoice(data={}, invoice_type="out_invoice")</w:t>
      </w:r>
    </w:p>
    <w:p>
      <w:r>
        <w:rPr>
          <w:b w:val="0"/>
          <w:i w:val="0"/>
        </w:rPr>
        <w:t>Parámetros aceptados en el diccionario data: partner, journal, document_type, document_number, currency, l10n_do_expense_type, invoice_date, lines[].</w:t>
      </w:r>
    </w:p>
    <w:p>
      <w:pPr>
        <w:pStyle w:val="Heading2"/>
        <w:jc w:val="left"/>
      </w:pPr>
      <w:r>
        <w:t>9.3 Inventario de Casos de Prueba — test_account_move.py</w:t>
      </w:r>
    </w:p>
    <w:p>
      <w:r>
        <w:rPr>
          <w:b w:val="0"/>
          <w:i w:val="0"/>
        </w:rPr>
        <w:t>Todos los tests tienen el decorador @tagged("-at_install", "post_install", "l10n_do_accounting").</w:t>
      </w:r>
    </w:p>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F3864"/>
          </w:tcPr>
          <w:p>
            <w:pPr>
              <w:jc w:val="center"/>
            </w:pPr>
            <w:r>
              <w:rPr>
                <w:b/>
                <w:color w:val="FFFFFF"/>
                <w:sz w:val="18"/>
              </w:rPr>
              <w:t>Identificador</w:t>
            </w:r>
          </w:p>
        </w:tc>
        <w:tc>
          <w:tcPr>
            <w:tcW w:type="dxa" w:w="3118"/>
            <w:shd w:val="clear" w:color="auto" w:fill="1F3864"/>
          </w:tcPr>
          <w:p>
            <w:pPr>
              <w:jc w:val="center"/>
            </w:pPr>
            <w:r>
              <w:rPr>
                <w:b/>
                <w:color w:val="FFFFFF"/>
                <w:sz w:val="18"/>
              </w:rPr>
              <w:t>Descripción del caso</w:t>
            </w:r>
          </w:p>
        </w:tc>
        <w:tc>
          <w:tcPr>
            <w:tcW w:type="dxa" w:w="3402"/>
            <w:shd w:val="clear" w:color="auto" w:fill="1F3864"/>
          </w:tcPr>
          <w:p>
            <w:pPr>
              <w:jc w:val="center"/>
            </w:pPr>
            <w:r>
              <w:rPr>
                <w:b/>
                <w:color w:val="FFFFFF"/>
                <w:sz w:val="18"/>
              </w:rPr>
              <w:t>Aspectos verificados</w:t>
            </w:r>
          </w:p>
        </w:tc>
      </w:tr>
      <w:tr>
        <w:tc>
          <w:tcPr>
            <w:tcW w:type="dxa" w:w="2551"/>
            <w:shd w:val="clear" w:color="auto" w:fill="EBF0F8"/>
          </w:tcPr>
          <w:p>
            <w:r>
              <w:rPr>
                <w:sz w:val="18"/>
              </w:rPr>
              <w:t>test_001_invoice_ncf_types</w:t>
            </w:r>
          </w:p>
        </w:tc>
        <w:tc>
          <w:tcPr>
            <w:tcW w:type="dxa" w:w="3118"/>
            <w:shd w:val="clear" w:color="auto" w:fill="EBF0F8"/>
          </w:tcPr>
          <w:p>
            <w:r>
              <w:rPr>
                <w:sz w:val="18"/>
              </w:rPr>
              <w:t>Tipos de documento disponibles según tipo de contribuyente (NCF tradicionales)</w:t>
            </w:r>
          </w:p>
        </w:tc>
        <w:tc>
          <w:tcPr>
            <w:tcW w:type="dxa" w:w="3402"/>
            <w:shd w:val="clear" w:color="auto" w:fill="EBF0F8"/>
          </w:tcPr>
          <w:p>
            <w:r>
              <w:rPr>
                <w:sz w:val="18"/>
              </w:rPr>
              <w:t>Dominios correctos para: fiscal, consumo, especial, gubernamental, extranjero. Notas de crédito y débito de ventas y compras.</w:t>
            </w:r>
          </w:p>
        </w:tc>
      </w:tr>
      <w:tr>
        <w:tc>
          <w:tcPr>
            <w:tcW w:type="dxa" w:w="2551"/>
            <w:shd w:val="clear" w:color="auto" w:fill="FFFFFF"/>
          </w:tcPr>
          <w:p>
            <w:r>
              <w:rPr>
                <w:sz w:val="18"/>
              </w:rPr>
              <w:t>test_002_invoice_ecf_types</w:t>
            </w:r>
          </w:p>
        </w:tc>
        <w:tc>
          <w:tcPr>
            <w:tcW w:type="dxa" w:w="3118"/>
            <w:shd w:val="clear" w:color="auto" w:fill="FFFFFF"/>
          </w:tcPr>
          <w:p>
            <w:r>
              <w:rPr>
                <w:sz w:val="18"/>
              </w:rPr>
              <w:t>Tipos de documento disponibles en modo e-CF electrónico</w:t>
            </w:r>
          </w:p>
        </w:tc>
        <w:tc>
          <w:tcPr>
            <w:tcW w:type="dxa" w:w="3402"/>
            <w:shd w:val="clear" w:color="auto" w:fill="FFFFFF"/>
          </w:tcPr>
          <w:p>
            <w:r>
              <w:rPr>
                <w:sz w:val="18"/>
              </w:rPr>
              <w:t>Equivalentes electrónicos E31-E47. Notas de crédito y débito electrónicas.</w:t>
            </w:r>
          </w:p>
        </w:tc>
      </w:tr>
      <w:tr>
        <w:tc>
          <w:tcPr>
            <w:tcW w:type="dxa" w:w="2551"/>
            <w:shd w:val="clear" w:color="auto" w:fill="EBF0F8"/>
          </w:tcPr>
          <w:p>
            <w:r>
              <w:rPr>
                <w:sz w:val="18"/>
              </w:rPr>
              <w:t>test_003_enable_first_sequence</w:t>
            </w:r>
          </w:p>
        </w:tc>
        <w:tc>
          <w:tcPr>
            <w:tcW w:type="dxa" w:w="3118"/>
            <w:shd w:val="clear" w:color="auto" w:fill="EBF0F8"/>
          </w:tcPr>
          <w:p>
            <w:r>
              <w:rPr>
                <w:sz w:val="18"/>
              </w:rPr>
              <w:t>El flag l10n_do_enable_first_sequence se activa correctamente para la primera factura de cada tipo</w:t>
            </w:r>
          </w:p>
        </w:tc>
        <w:tc>
          <w:tcPr>
            <w:tcW w:type="dxa" w:w="3402"/>
            <w:shd w:val="clear" w:color="auto" w:fill="EBF0F8"/>
          </w:tcPr>
          <w:p>
            <w:r>
              <w:rPr>
                <w:sz w:val="18"/>
              </w:rPr>
              <w:t>True en primera factura, False en las siguientes.</w:t>
            </w:r>
          </w:p>
        </w:tc>
      </w:tr>
      <w:tr>
        <w:tc>
          <w:tcPr>
            <w:tcW w:type="dxa" w:w="2551"/>
            <w:shd w:val="clear" w:color="auto" w:fill="FFFFFF"/>
          </w:tcPr>
          <w:p>
            <w:r>
              <w:rPr>
                <w:sz w:val="18"/>
              </w:rPr>
              <w:t>test_004_is_ecf_invoice</w:t>
            </w:r>
          </w:p>
        </w:tc>
        <w:tc>
          <w:tcPr>
            <w:tcW w:type="dxa" w:w="3118"/>
            <w:shd w:val="clear" w:color="auto" w:fill="FFFFFF"/>
          </w:tcPr>
          <w:p>
            <w:r>
              <w:rPr>
                <w:sz w:val="18"/>
              </w:rPr>
              <w:t>El campo is_ecf_invoice se computa correctamente</w:t>
            </w:r>
          </w:p>
        </w:tc>
        <w:tc>
          <w:tcPr>
            <w:tcW w:type="dxa" w:w="3402"/>
            <w:shd w:val="clear" w:color="auto" w:fill="FFFFFF"/>
          </w:tcPr>
          <w:p>
            <w:r>
              <w:rPr>
                <w:sz w:val="18"/>
              </w:rPr>
              <w:t>False para NCF tradicional, True para e-CF cuando l10n_do_ecf_issuer está activo.</w:t>
            </w:r>
          </w:p>
        </w:tc>
      </w:tr>
      <w:tr>
        <w:tc>
          <w:tcPr>
            <w:tcW w:type="dxa" w:w="2551"/>
            <w:shd w:val="clear" w:color="auto" w:fill="EBF0F8"/>
          </w:tcPr>
          <w:p>
            <w:r>
              <w:rPr>
                <w:sz w:val="18"/>
              </w:rPr>
              <w:t>test_005_company_in_contingency</w:t>
            </w:r>
          </w:p>
        </w:tc>
        <w:tc>
          <w:tcPr>
            <w:tcW w:type="dxa" w:w="3118"/>
            <w:shd w:val="clear" w:color="auto" w:fill="EBF0F8"/>
          </w:tcPr>
          <w:p>
            <w:r>
              <w:rPr>
                <w:sz w:val="18"/>
              </w:rPr>
              <w:t>El flag de contingencia se activa al desactivar e-CF issuer después de emitir comprobantes electrónicos</w:t>
            </w:r>
          </w:p>
        </w:tc>
        <w:tc>
          <w:tcPr>
            <w:tcW w:type="dxa" w:w="3402"/>
            <w:shd w:val="clear" w:color="auto" w:fill="EBF0F8"/>
          </w:tcPr>
          <w:p>
            <w:r>
              <w:rPr>
                <w:sz w:val="18"/>
              </w:rPr>
              <w:t>l10n_do_company_in_contingency=True en nuevas facturas.</w:t>
            </w:r>
          </w:p>
        </w:tc>
      </w:tr>
      <w:tr>
        <w:tc>
          <w:tcPr>
            <w:tcW w:type="dxa" w:w="2551"/>
            <w:shd w:val="clear" w:color="auto" w:fill="FFFFFF"/>
          </w:tcPr>
          <w:p>
            <w:r>
              <w:rPr>
                <w:sz w:val="18"/>
              </w:rPr>
              <w:t>test_006_invoice_electronic_stamp</w:t>
            </w:r>
          </w:p>
        </w:tc>
        <w:tc>
          <w:tcPr>
            <w:tcW w:type="dxa" w:w="3118"/>
            <w:shd w:val="clear" w:color="auto" w:fill="FFFFFF"/>
          </w:tcPr>
          <w:p>
            <w:r>
              <w:rPr>
                <w:sz w:val="18"/>
              </w:rPr>
              <w:t>El sello electrónico (QR) se genera correctamente después de la firma</w:t>
            </w:r>
          </w:p>
        </w:tc>
        <w:tc>
          <w:tcPr>
            <w:tcW w:type="dxa" w:w="3402"/>
            <w:shd w:val="clear" w:color="auto" w:fill="FFFFFF"/>
          </w:tcPr>
          <w:p>
            <w:r>
              <w:rPr>
                <w:sz w:val="18"/>
              </w:rPr>
              <w:t>URL codificada contiene RNC emisor, RNC receptor, e-CF, código de seguridad.</w:t>
            </w:r>
          </w:p>
        </w:tc>
      </w:tr>
      <w:tr>
        <w:tc>
          <w:tcPr>
            <w:tcW w:type="dxa" w:w="2551"/>
            <w:shd w:val="clear" w:color="auto" w:fill="EBF0F8"/>
          </w:tcPr>
          <w:p>
            <w:r>
              <w:rPr>
                <w:sz w:val="18"/>
              </w:rPr>
              <w:t>test_007_vendor_bill_unique_fiscal_number</w:t>
            </w:r>
          </w:p>
        </w:tc>
        <w:tc>
          <w:tcPr>
            <w:tcW w:type="dxa" w:w="3118"/>
            <w:shd w:val="clear" w:color="auto" w:fill="EBF0F8"/>
          </w:tcPr>
          <w:p>
            <w:r>
              <w:rPr>
                <w:sz w:val="18"/>
              </w:rPr>
              <w:t>NCF de proveedor duplicado para el mismo socio genera ValidationError</w:t>
            </w:r>
          </w:p>
        </w:tc>
        <w:tc>
          <w:tcPr>
            <w:tcW w:type="dxa" w:w="3402"/>
            <w:shd w:val="clear" w:color="auto" w:fill="EBF0F8"/>
          </w:tcPr>
          <w:p>
            <w:r>
              <w:rPr>
                <w:sz w:val="18"/>
              </w:rPr>
              <w:t>Constraint de unicidad por partner + company.</w:t>
            </w:r>
          </w:p>
        </w:tc>
      </w:tr>
      <w:tr>
        <w:tc>
          <w:tcPr>
            <w:tcW w:type="dxa" w:w="2551"/>
            <w:shd w:val="clear" w:color="auto" w:fill="FFFFFF"/>
          </w:tcPr>
          <w:p>
            <w:r>
              <w:rPr>
                <w:sz w:val="18"/>
              </w:rPr>
              <w:t>test_008_check_sequence</w:t>
            </w:r>
          </w:p>
        </w:tc>
        <w:tc>
          <w:tcPr>
            <w:tcW w:type="dxa" w:w="3118"/>
            <w:shd w:val="clear" w:color="auto" w:fill="FFFFFF"/>
          </w:tcPr>
          <w:p>
            <w:r>
              <w:rPr>
                <w:sz w:val="18"/>
              </w:rPr>
              <w:t>Nombre interno del asiento y NCF fiscal se asignan con los valores correctos</w:t>
            </w:r>
          </w:p>
        </w:tc>
        <w:tc>
          <w:tcPr>
            <w:tcW w:type="dxa" w:w="3402"/>
            <w:shd w:val="clear" w:color="auto" w:fill="FFFFFF"/>
          </w:tcPr>
          <w:p>
            <w:r>
              <w:rPr>
                <w:sz w:val="18"/>
              </w:rPr>
              <w:t>INV/YYYY/NNNN vs B0100000001, B0100000002, etc.</w:t>
            </w:r>
          </w:p>
        </w:tc>
      </w:tr>
      <w:tr>
        <w:tc>
          <w:tcPr>
            <w:tcW w:type="dxa" w:w="2551"/>
            <w:shd w:val="clear" w:color="auto" w:fill="EBF0F8"/>
          </w:tcPr>
          <w:p>
            <w:r>
              <w:rPr>
                <w:sz w:val="18"/>
              </w:rPr>
              <w:t>test_009_invoice_sequence</w:t>
            </w:r>
          </w:p>
        </w:tc>
        <w:tc>
          <w:tcPr>
            <w:tcW w:type="dxa" w:w="3118"/>
            <w:shd w:val="clear" w:color="auto" w:fill="EBF0F8"/>
          </w:tcPr>
          <w:p>
            <w:r>
              <w:rPr>
                <w:sz w:val="18"/>
              </w:rPr>
              <w:t>NCF consecutivos se asignan correctamente desde el lote activo</w:t>
            </w:r>
          </w:p>
        </w:tc>
        <w:tc>
          <w:tcPr>
            <w:tcW w:type="dxa" w:w="3402"/>
            <w:shd w:val="clear" w:color="auto" w:fill="EBF0F8"/>
          </w:tcPr>
          <w:p>
            <w:r>
              <w:rPr>
                <w:sz w:val="18"/>
              </w:rPr>
              <w:t>Tres facturas consecutivas con NCF B0100000001, 0002, 0003.</w:t>
            </w:r>
          </w:p>
        </w:tc>
      </w:tr>
      <w:tr>
        <w:tc>
          <w:tcPr>
            <w:tcW w:type="dxa" w:w="2551"/>
            <w:shd w:val="clear" w:color="auto" w:fill="FFFFFF"/>
          </w:tcPr>
          <w:p>
            <w:r>
              <w:rPr>
                <w:sz w:val="18"/>
              </w:rPr>
              <w:t>test_010_ncf_format</w:t>
            </w:r>
          </w:p>
        </w:tc>
        <w:tc>
          <w:tcPr>
            <w:tcW w:type="dxa" w:w="3118"/>
            <w:shd w:val="clear" w:color="auto" w:fill="FFFFFF"/>
          </w:tcPr>
          <w:p>
            <w:r>
              <w:rPr>
                <w:sz w:val="18"/>
              </w:rPr>
              <w:t>El formato NCF inválido genera ValidationError al intentar asignarlo</w:t>
            </w:r>
          </w:p>
        </w:tc>
        <w:tc>
          <w:tcPr>
            <w:tcW w:type="dxa" w:w="3402"/>
            <w:shd w:val="clear" w:color="auto" w:fill="FFFFFF"/>
          </w:tcPr>
          <w:p>
            <w:r>
              <w:rPr>
                <w:sz w:val="18"/>
              </w:rPr>
              <w:t>Regex: E0100000001 inválido para NCF, B310000000001 inválido para e-CF.</w:t>
            </w:r>
          </w:p>
        </w:tc>
      </w:tr>
      <w:tr>
        <w:tc>
          <w:tcPr>
            <w:tcW w:type="dxa" w:w="2551"/>
            <w:shd w:val="clear" w:color="auto" w:fill="EBF0F8"/>
          </w:tcPr>
          <w:p>
            <w:r>
              <w:rPr>
                <w:sz w:val="18"/>
              </w:rPr>
              <w:t>test_011_get_l10n_do_line_amounts</w:t>
            </w:r>
          </w:p>
        </w:tc>
        <w:tc>
          <w:tcPr>
            <w:tcW w:type="dxa" w:w="3118"/>
            <w:shd w:val="clear" w:color="auto" w:fill="EBF0F8"/>
          </w:tcPr>
          <w:p>
            <w:r>
              <w:rPr>
                <w:sz w:val="18"/>
              </w:rPr>
              <w:t>El desglose fiscal retornado por _get_l10n_do_amounts() es correcto</w:t>
            </w:r>
          </w:p>
        </w:tc>
        <w:tc>
          <w:tcPr>
            <w:tcW w:type="dxa" w:w="3402"/>
            <w:shd w:val="clear" w:color="auto" w:fill="EBF0F8"/>
          </w:tcPr>
          <w:p>
            <w:r>
              <w:rPr>
                <w:sz w:val="18"/>
              </w:rPr>
              <w:t>ITBIS 18%, retenciones ITBIS+ISR, montos en multi-moneda (USD/DOP).</w:t>
            </w:r>
          </w:p>
        </w:tc>
      </w:tr>
      <w:tr>
        <w:tc>
          <w:tcPr>
            <w:tcW w:type="dxa" w:w="2551"/>
            <w:shd w:val="clear" w:color="auto" w:fill="FFFFFF"/>
          </w:tcPr>
          <w:p>
            <w:r>
              <w:rPr>
                <w:sz w:val="18"/>
              </w:rPr>
              <w:t>test_012_no_batch_raises_on_post</w:t>
            </w:r>
          </w:p>
        </w:tc>
        <w:tc>
          <w:tcPr>
            <w:tcW w:type="dxa" w:w="3118"/>
            <w:shd w:val="clear" w:color="auto" w:fill="FFFFFF"/>
          </w:tcPr>
          <w:p>
            <w:r>
              <w:rPr>
                <w:sz w:val="18"/>
              </w:rPr>
              <w:t>Sin lote NCF configurado, la publicación de factura genera ValidationError</w:t>
            </w:r>
          </w:p>
        </w:tc>
        <w:tc>
          <w:tcPr>
            <w:tcW w:type="dxa" w:w="3402"/>
            <w:shd w:val="clear" w:color="auto" w:fill="FFFFFF"/>
          </w:tcPr>
          <w:p>
            <w:r>
              <w:rPr>
                <w:sz w:val="18"/>
              </w:rPr>
              <w:t>Lote requerido para confirmar.</w:t>
            </w:r>
          </w:p>
        </w:tc>
      </w:tr>
      <w:tr>
        <w:tc>
          <w:tcPr>
            <w:tcW w:type="dxa" w:w="2551"/>
            <w:shd w:val="clear" w:color="auto" w:fill="EBF0F8"/>
          </w:tcPr>
          <w:p>
            <w:r>
              <w:rPr>
                <w:sz w:val="18"/>
              </w:rPr>
              <w:t>test_013_batch_exhausted_raises_on_post</w:t>
            </w:r>
          </w:p>
        </w:tc>
        <w:tc>
          <w:tcPr>
            <w:tcW w:type="dxa" w:w="3118"/>
            <w:shd w:val="clear" w:color="auto" w:fill="EBF0F8"/>
          </w:tcPr>
          <w:p>
            <w:r>
              <w:rPr>
                <w:sz w:val="18"/>
              </w:rPr>
              <w:t>Al agotar todos los NCF del lote, la siguiente publicación genera UserError</w:t>
            </w:r>
          </w:p>
        </w:tc>
        <w:tc>
          <w:tcPr>
            <w:tcW w:type="dxa" w:w="3402"/>
            <w:shd w:val="clear" w:color="auto" w:fill="EBF0F8"/>
          </w:tcPr>
          <w:p>
            <w:r>
              <w:rPr>
                <w:sz w:val="18"/>
              </w:rPr>
              <w:t>Lote con capacidad para 2 facturas: la tercera falla.</w:t>
            </w:r>
          </w:p>
        </w:tc>
      </w:tr>
      <w:tr>
        <w:tc>
          <w:tcPr>
            <w:tcW w:type="dxa" w:w="2551"/>
            <w:shd w:val="clear" w:color="auto" w:fill="FFFFFF"/>
          </w:tcPr>
          <w:p>
            <w:r>
              <w:rPr>
                <w:sz w:val="18"/>
              </w:rPr>
              <w:t>test_014_dgii_payer_type_computed</w:t>
            </w:r>
          </w:p>
        </w:tc>
        <w:tc>
          <w:tcPr>
            <w:tcW w:type="dxa" w:w="3118"/>
            <w:shd w:val="clear" w:color="auto" w:fill="FFFFFF"/>
          </w:tcPr>
          <w:p>
            <w:r>
              <w:rPr>
                <w:sz w:val="18"/>
              </w:rPr>
              <w:t>El tipo de contribuyente se infiere correctamente del VAT, país y nombre</w:t>
            </w:r>
          </w:p>
        </w:tc>
        <w:tc>
          <w:tcPr>
            <w:tcW w:type="dxa" w:w="3402"/>
            <w:shd w:val="clear" w:color="auto" w:fill="FFFFFF"/>
          </w:tcPr>
          <w:p>
            <w:r>
              <w:rPr>
                <w:sz w:val="18"/>
              </w:rPr>
              <w:t>Cédula 11 dígitos → non_payer; RNC sin 4 → taxpayer; RNC con 4 → nonprofit; país extranjero → foreigner.</w:t>
            </w:r>
          </w:p>
        </w:tc>
      </w:tr>
      <w:tr>
        <w:tc>
          <w:tcPr>
            <w:tcW w:type="dxa" w:w="2551"/>
            <w:shd w:val="clear" w:color="auto" w:fill="EBF0F8"/>
          </w:tcPr>
          <w:p>
            <w:r>
              <w:rPr>
                <w:sz w:val="18"/>
              </w:rPr>
              <w:t>test_015_zero_amount_invoice_blocked</w:t>
            </w:r>
          </w:p>
        </w:tc>
        <w:tc>
          <w:tcPr>
            <w:tcW w:type="dxa" w:w="3118"/>
            <w:shd w:val="clear" w:color="auto" w:fill="EBF0F8"/>
          </w:tcPr>
          <w:p>
            <w:r>
              <w:rPr>
                <w:sz w:val="18"/>
              </w:rPr>
              <w:t>Publicar una factura fiscal con monto cero genera UserError</w:t>
            </w:r>
          </w:p>
        </w:tc>
        <w:tc>
          <w:tcPr>
            <w:tcW w:type="dxa" w:w="3402"/>
            <w:shd w:val="clear" w:color="auto" w:fill="EBF0F8"/>
          </w:tcPr>
          <w:p>
            <w:r>
              <w:rPr>
                <w:sz w:val="18"/>
              </w:rPr>
              <w:t>Validación de monto mínimo.</w:t>
            </w:r>
          </w:p>
        </w:tc>
      </w:tr>
      <w:tr>
        <w:tc>
          <w:tcPr>
            <w:tcW w:type="dxa" w:w="3041"/>
          </w:tcPr>
          <w:p>
            <w:r>
              <w:t>test_016_duplicate_sale_ncf_blocked</w:t>
            </w:r>
          </w:p>
        </w:tc>
        <w:tc>
          <w:tcPr>
            <w:tcW w:type="dxa" w:w="3041"/>
          </w:tcPr>
          <w:p>
            <w:r>
              <w:t>Asignar manualmente un NCF ya registrado a una factura de venta genera ValidationError</w:t>
            </w:r>
          </w:p>
        </w:tc>
        <w:tc>
          <w:tcPr>
            <w:tcW w:type="dxa" w:w="3041"/>
          </w:tcPr>
          <w:p>
            <w:r>
              <w:t>Constraint _l10n_do_check_unique_sale_ncf activa al escribir l10n_do_fiscal_number duplicado. Error claro con NCF en conflicto.</w:t>
            </w:r>
          </w:p>
        </w:tc>
      </w:tr>
      <w:tr>
        <w:tc>
          <w:tcPr>
            <w:tcW w:type="dxa" w:w="3041"/>
          </w:tcPr>
          <w:p>
            <w:r>
              <w:t>test_017_auto_sequence_never_duplicates</w:t>
            </w:r>
          </w:p>
        </w:tc>
        <w:tc>
          <w:tcPr>
            <w:tcW w:type="dxa" w:w="3041"/>
          </w:tcPr>
          <w:p>
            <w:r>
              <w:t>La auto-secuencia nunca asigna el mismo NCF a dos facturas consecutivas</w:t>
            </w:r>
          </w:p>
        </w:tc>
        <w:tc>
          <w:tcPr>
            <w:tcW w:type="dxa" w:w="3041"/>
          </w:tcPr>
          <w:p>
            <w:r>
              <w:t>Tres facturas: B0100000001, B0100000002, B0100000003. Ningún NCF repetido. len(set(ncfs)) == 3.</w:t>
            </w:r>
          </w:p>
        </w:tc>
      </w:tr>
      <w:tr>
        <w:tc>
          <w:tcPr>
            <w:tcW w:type="dxa" w:w="3041"/>
          </w:tcPr>
          <w:p>
            <w:r>
              <w:t>test_018_ncf_batch_display_name</w:t>
            </w:r>
          </w:p>
        </w:tc>
        <w:tc>
          <w:tcPr>
            <w:tcW w:type="dxa" w:w="3041"/>
          </w:tcPr>
          <w:p>
            <w:r>
              <w:t>El campo name del lote contiene el rango legible INICIO → FIN</w:t>
            </w:r>
          </w:p>
        </w:tc>
        <w:tc>
          <w:tcPr>
            <w:tcW w:type="dxa" w:w="3041"/>
          </w:tcPr>
          <w:p>
            <w:r>
              <w:t>batch.name no vacío. Contiene l10n_do_sequence_start y l10n_do_sequence_end.</w:t>
            </w:r>
          </w:p>
        </w:tc>
      </w:tr>
      <w:tr>
        <w:tc>
          <w:tcPr>
            <w:tcW w:type="dxa" w:w="3041"/>
          </w:tcPr>
          <w:p>
            <w:r>
              <w:t>test_019_invoice_report_renders_without_error</w:t>
            </w:r>
          </w:p>
        </w:tc>
        <w:tc>
          <w:tcPr>
            <w:tcW w:type="dxa" w:w="3041"/>
          </w:tcPr>
          <w:p>
            <w:r>
              <w:t>Imprimir una factura fiscal confirmada no lanza ningún error de renderizado</w:t>
            </w:r>
          </w:p>
        </w:tc>
        <w:tc>
          <w:tcPr>
            <w:tcW w:type="dxa" w:w="3041"/>
          </w:tcPr>
          <w:p>
            <w:r>
              <w:t>ir.actions.report._render_qweb_html("account.report_invoice") retorna HTML no vacío sin excepciones.</w:t>
            </w:r>
          </w:p>
        </w:tc>
      </w:tr>
      <w:tr>
        <w:tc>
          <w:tcPr>
            <w:tcW w:type="dxa" w:w="3041"/>
          </w:tcPr>
          <w:p>
            <w:r>
              <w:t>test_020_invoice_report_partner_no_phone</w:t>
            </w:r>
          </w:p>
        </w:tc>
        <w:tc>
          <w:tcPr>
            <w:tcW w:type="dxa" w:w="3041"/>
          </w:tcPr>
          <w:p>
            <w:r>
              <w:t>El reporte de factura se renderiza correctamente cuando el socio no tiene teléfono</w:t>
            </w:r>
          </w:p>
        </w:tc>
        <w:tc>
          <w:tcPr>
            <w:tcW w:type="dxa" w:w="3041"/>
          </w:tcPr>
          <w:p>
            <w:r>
              <w:t>Compatibilidad Odoo 19: campo mobile eliminado de res.partner. Solo existe phone. El template no lanza AttributeError.</w:t>
            </w:r>
          </w:p>
        </w:tc>
      </w:tr>
    </w:tbl>
    <w:p/>
    <w:p>
      <w:pPr>
        <w:pStyle w:val="Heading2"/>
        <w:jc w:val="left"/>
      </w:pPr>
      <w:r>
        <w:t>9.4 Pruebas de Diario — test_account_journal.py</w:t>
      </w:r>
    </w:p>
    <w:tbl>
      <w:tblPr>
        <w:tblStyle w:val="TableGrid"/>
        <w:tblW w:type="auto" w:w="0"/>
        <w:tblLook w:firstColumn="1" w:firstRow="1" w:lastColumn="0" w:lastRow="0" w:noHBand="0" w:noVBand="1" w:val="04A0"/>
      </w:tblPr>
      <w:tblGrid>
        <w:gridCol w:w="4561"/>
        <w:gridCol w:w="4561"/>
      </w:tblGrid>
      <w:tr>
        <w:tc>
          <w:tcPr>
            <w:tcW w:type="dxa" w:w="1701"/>
            <w:shd w:val="clear" w:color="auto" w:fill="1F3864"/>
          </w:tcPr>
          <w:p>
            <w:pPr>
              <w:jc w:val="center"/>
            </w:pPr>
            <w:r>
              <w:rPr>
                <w:b/>
                <w:color w:val="FFFFFF"/>
                <w:sz w:val="18"/>
              </w:rPr>
              <w:t>Identificador</w:t>
            </w:r>
          </w:p>
        </w:tc>
        <w:tc>
          <w:tcPr>
            <w:tcW w:type="dxa" w:w="7370"/>
            <w:shd w:val="clear" w:color="auto" w:fill="1F3864"/>
          </w:tcPr>
          <w:p>
            <w:pPr>
              <w:jc w:val="center"/>
            </w:pPr>
            <w:r>
              <w:rPr>
                <w:b/>
                <w:color w:val="FFFFFF"/>
                <w:sz w:val="18"/>
              </w:rPr>
              <w:t>Descripción del caso</w:t>
            </w:r>
          </w:p>
        </w:tc>
      </w:tr>
      <w:tr>
        <w:tc>
          <w:tcPr>
            <w:tcW w:type="dxa" w:w="1701"/>
            <w:shd w:val="clear" w:color="auto" w:fill="EBF0F8"/>
          </w:tcPr>
          <w:p>
            <w:r>
              <w:rPr>
                <w:sz w:val="18"/>
              </w:rPr>
              <w:t>test_001</w:t>
            </w:r>
          </w:p>
        </w:tc>
        <w:tc>
          <w:tcPr>
            <w:tcW w:type="dxa" w:w="7370"/>
            <w:shd w:val="clear" w:color="auto" w:fill="EBF0F8"/>
          </w:tcPr>
          <w:p>
            <w:r>
              <w:rPr>
                <w:sz w:val="18"/>
              </w:rPr>
              <w:t>Verifica que el sistema lanza una RedirectWarning cuando se intenta usar un diario fiscal en una compañía que no tiene configurado el VAT (RNC).</w:t>
            </w:r>
          </w:p>
        </w:tc>
      </w:tr>
    </w:tbl>
    <w:p/>
    <w:p>
      <w:pPr>
        <w:pStyle w:val="Heading1"/>
        <w:jc w:val="left"/>
      </w:pPr>
      <w:r>
        <w:t>10. Configuración del Entorno de Desarrollo</w:t>
      </w:r>
    </w:p>
    <w:p>
      <w:pPr>
        <w:pBdr>
          <w:bottom w:val="single" w:sz="6" w:space="1" w:color="1F3864"/>
        </w:pBdr>
      </w:pPr>
    </w:p>
    <w:p/>
    <w:p>
      <w:pPr>
        <w:pStyle w:val="Heading2"/>
        <w:jc w:val="left"/>
      </w:pPr>
      <w:r>
        <w:t>10.1 Requisitos Previos</w:t>
      </w:r>
    </w:p>
    <w:p>
      <w:pPr>
        <w:pStyle w:val="ListBullet"/>
        <w:ind w:left="283"/>
      </w:pPr>
      <w:r>
        <w:t>Odoo 19.0 Community o Enterprise instalado.</w:t>
      </w:r>
    </w:p>
    <w:p>
      <w:pPr>
        <w:pStyle w:val="ListBullet"/>
        <w:ind w:left="283"/>
      </w:pPr>
      <w:r>
        <w:t>Base de datos PostgreSQL creada e inicializada.</w:t>
      </w:r>
    </w:p>
    <w:p>
      <w:pPr>
        <w:pStyle w:val="ListBullet"/>
        <w:ind w:left="283"/>
      </w:pPr>
      <w:r>
        <w:t>Módulos base instalados: account, l10n_do, l10n_latam_invoice_document.</w:t>
      </w:r>
    </w:p>
    <w:p>
      <w:pPr>
        <w:pStyle w:val="ListBullet"/>
        <w:ind w:left="283"/>
      </w:pPr>
      <w:r>
        <w:t>Compañía configurada con país "República Dominicana" y RNC válido.</w:t>
      </w:r>
    </w:p>
    <w:p>
      <w:pPr>
        <w:pStyle w:val="Heading2"/>
        <w:jc w:val="left"/>
      </w:pPr>
      <w:r>
        <w:t>10.2 Instalación mediante CLI</w:t>
      </w:r>
    </w:p>
    <w:p>
      <w:pPr>
        <w:spacing w:before="40" w:after="40"/>
        <w:ind w:left="680"/>
      </w:pPr>
      <w:r>
        <w:rPr>
          <w:rFonts w:ascii="Courier New" w:hAnsi="Courier New"/>
          <w:color w:val="1A1A8C"/>
          <w:sz w:val="18"/>
        </w:rPr>
        <w:t>python odoo-bin -d &lt;nombre_bd&gt; -i l10n_do_accounting --stop-after-init</w:t>
      </w:r>
    </w:p>
    <w:p>
      <w:pPr>
        <w:pStyle w:val="Heading2"/>
        <w:jc w:val="left"/>
      </w:pPr>
      <w:r>
        <w:t>10.3 Actualización del Módulo</w:t>
      </w:r>
    </w:p>
    <w:p>
      <w:pPr>
        <w:spacing w:before="40" w:after="40"/>
        <w:ind w:left="680"/>
      </w:pPr>
      <w:r>
        <w:rPr>
          <w:rFonts w:ascii="Courier New" w:hAnsi="Courier New"/>
          <w:color w:val="1A1A8C"/>
          <w:sz w:val="18"/>
        </w:rPr>
        <w:t>python odoo-bin -d &lt;nombre_bd&gt; -u l10n_do_accounting --stop-after-init</w:t>
      </w:r>
    </w:p>
    <w:p>
      <w:pPr>
        <w:pStyle w:val="Heading2"/>
        <w:jc w:val="left"/>
      </w:pPr>
      <w:r>
        <w:t>10.4 Instalación mediante Interfaz Web</w:t>
      </w:r>
    </w:p>
    <w:p>
      <w:pPr>
        <w:pStyle w:val="ListBullet"/>
        <w:ind w:left="283"/>
      </w:pPr>
      <w:r>
        <w:t>Navegar a: Aplicaciones → Buscar "Fiscal Accounting Rep. Dominicana" → Instalar.</w:t>
      </w:r>
    </w:p>
    <w:p>
      <w:pPr>
        <w:pStyle w:val="Heading1"/>
        <w:jc w:val="left"/>
      </w:pPr>
      <w:r>
        <w:t>11. Variables de Contexto Relevantes</w:t>
      </w:r>
    </w:p>
    <w:p>
      <w:pPr>
        <w:pBdr>
          <w:bottom w:val="single" w:sz="6" w:space="1" w:color="1F3864"/>
        </w:pBdr>
      </w:pPr>
    </w:p>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jc w:val="center"/>
            </w:pPr>
            <w:r>
              <w:rPr>
                <w:b/>
                <w:color w:val="FFFFFF"/>
                <w:sz w:val="18"/>
              </w:rPr>
              <w:t>Clave de contexto</w:t>
            </w:r>
          </w:p>
        </w:tc>
        <w:tc>
          <w:tcPr>
            <w:tcW w:type="dxa" w:w="1134"/>
            <w:shd w:val="clear" w:color="auto" w:fill="1F3864"/>
          </w:tcPr>
          <w:p>
            <w:pPr>
              <w:jc w:val="center"/>
            </w:pPr>
            <w:r>
              <w:rPr>
                <w:b/>
                <w:color w:val="FFFFFF"/>
                <w:sz w:val="18"/>
              </w:rPr>
              <w:t>Tipo</w:t>
            </w:r>
          </w:p>
        </w:tc>
        <w:tc>
          <w:tcPr>
            <w:tcW w:type="dxa" w:w="5102"/>
            <w:shd w:val="clear" w:color="auto" w:fill="1F3864"/>
          </w:tcPr>
          <w:p>
            <w:pPr>
              <w:jc w:val="center"/>
            </w:pPr>
            <w:r>
              <w:rPr>
                <w:b/>
                <w:color w:val="FFFFFF"/>
                <w:sz w:val="18"/>
              </w:rPr>
              <w:t>Descripción</w:t>
            </w:r>
          </w:p>
        </w:tc>
      </w:tr>
      <w:tr>
        <w:tc>
          <w:tcPr>
            <w:tcW w:type="dxa" w:w="2835"/>
            <w:shd w:val="clear" w:color="auto" w:fill="EBF0F8"/>
          </w:tcPr>
          <w:p>
            <w:r>
              <w:rPr>
                <w:sz w:val="18"/>
              </w:rPr>
              <w:t>is_l10n_do_seq</w:t>
            </w:r>
          </w:p>
        </w:tc>
        <w:tc>
          <w:tcPr>
            <w:tcW w:type="dxa" w:w="1134"/>
            <w:shd w:val="clear" w:color="auto" w:fill="EBF0F8"/>
          </w:tcPr>
          <w:p>
            <w:r>
              <w:rPr>
                <w:sz w:val="18"/>
              </w:rPr>
              <w:t>Boolean</w:t>
            </w:r>
          </w:p>
        </w:tc>
        <w:tc>
          <w:tcPr>
            <w:tcW w:type="dxa" w:w="5102"/>
            <w:shd w:val="clear" w:color="auto" w:fill="EBF0F8"/>
          </w:tcPr>
          <w:p>
            <w:r>
              <w:rPr>
                <w:sz w:val="18"/>
              </w:rPr>
              <w:t>Cuando es True, el método _set_next_sequence() aplica la lógica de asignación fiscal dominicana en lugar del comportamiento estándar de Odoo.</w:t>
            </w:r>
          </w:p>
        </w:tc>
      </w:tr>
      <w:tr>
        <w:tc>
          <w:tcPr>
            <w:tcW w:type="dxa" w:w="2835"/>
            <w:shd w:val="clear" w:color="auto" w:fill="FFFFFF"/>
          </w:tcPr>
          <w:p>
            <w:r>
              <w:rPr>
                <w:sz w:val="18"/>
              </w:rPr>
              <w:t>l10n_do_active_test</w:t>
            </w:r>
          </w:p>
        </w:tc>
        <w:tc>
          <w:tcPr>
            <w:tcW w:type="dxa" w:w="1134"/>
            <w:shd w:val="clear" w:color="auto" w:fill="FFFFFF"/>
          </w:tcPr>
          <w:p>
            <w:r>
              <w:rPr>
                <w:sz w:val="18"/>
              </w:rPr>
              <w:t>Boolean</w:t>
            </w:r>
          </w:p>
        </w:tc>
        <w:tc>
          <w:tcPr>
            <w:tcW w:type="dxa" w:w="5102"/>
            <w:shd w:val="clear" w:color="auto" w:fill="FFFFFF"/>
          </w:tcPr>
          <w:p>
            <w:r>
              <w:rPr>
                <w:sz w:val="18"/>
              </w:rPr>
              <w:t>Activa validaciones estrictas de lote activo en el contexto de pruebas automatizadas de e-CF.</w:t>
            </w:r>
          </w:p>
        </w:tc>
      </w:tr>
      <w:tr>
        <w:tc>
          <w:tcPr>
            <w:tcW w:type="dxa" w:w="2835"/>
            <w:shd w:val="clear" w:color="auto" w:fill="EBF0F8"/>
          </w:tcPr>
          <w:p>
            <w:r>
              <w:rPr>
                <w:sz w:val="18"/>
              </w:rPr>
              <w:t>allowed_company_ids</w:t>
            </w:r>
          </w:p>
        </w:tc>
        <w:tc>
          <w:tcPr>
            <w:tcW w:type="dxa" w:w="1134"/>
            <w:shd w:val="clear" w:color="auto" w:fill="EBF0F8"/>
          </w:tcPr>
          <w:p>
            <w:r>
              <w:rPr>
                <w:sz w:val="18"/>
              </w:rPr>
              <w:t>List[int]</w:t>
            </w:r>
          </w:p>
        </w:tc>
        <w:tc>
          <w:tcPr>
            <w:tcW w:type="dxa" w:w="5102"/>
            <w:shd w:val="clear" w:color="auto" w:fill="EBF0F8"/>
          </w:tcPr>
          <w:p>
            <w:r>
              <w:rPr>
                <w:sz w:val="18"/>
              </w:rPr>
              <w:t>Lista de IDs de compañías permitidas para el usuario en entornos multi-compañía.</w:t>
            </w:r>
          </w:p>
        </w:tc>
      </w:tr>
    </w:tbl>
    <w:p/>
    <w:p>
      <w:pPr>
        <w:pStyle w:val="Heading1"/>
        <w:jc w:val="left"/>
      </w:pPr>
      <w:r>
        <w:t>12. Registro de Eventos y Depuración</w:t>
      </w:r>
    </w:p>
    <w:p>
      <w:pPr>
        <w:pBdr>
          <w:bottom w:val="single" w:sz="6" w:space="1" w:color="1F3864"/>
        </w:pBdr>
      </w:pPr>
    </w:p>
    <w:p/>
    <w:p>
      <w:r>
        <w:rPr>
          <w:b w:val="0"/>
          <w:i w:val="0"/>
        </w:rPr>
        <w:t>Activar logs del módulo a nivel DEBUG:</w:t>
      </w:r>
    </w:p>
    <w:p>
      <w:pPr>
        <w:spacing w:before="40" w:after="40"/>
        <w:ind w:left="680"/>
      </w:pPr>
      <w:r>
        <w:rPr>
          <w:rFonts w:ascii="Courier New" w:hAnsi="Courier New"/>
          <w:color w:val="1A1A8C"/>
          <w:sz w:val="18"/>
        </w:rPr>
        <w:t>--log-handler=odoo.addons.l10n_do_accounting:DEBUG</w:t>
      </w:r>
    </w:p>
    <w:p>
      <w:r>
        <w:rPr>
          <w:b w:val="0"/>
          <w:i w:val="0"/>
        </w:rPr>
        <w:t>Consultar lotes activos desde Odoo Shell:</w:t>
      </w:r>
    </w:p>
    <w:p>
      <w:pPr>
        <w:spacing w:before="40" w:after="40"/>
        <w:ind w:left="680"/>
      </w:pPr>
      <w:r>
        <w:rPr>
          <w:rFonts w:ascii="Courier New" w:hAnsi="Courier New"/>
          <w:color w:val="1A1A8C"/>
          <w:sz w:val="18"/>
        </w:rPr>
        <w:t>env['l10n_do.ncf.batch'].search([('l10n_do_state', '=', 'active')])</w:t>
      </w:r>
    </w:p>
    <w:p>
      <w:r>
        <w:rPr>
          <w:b w:val="0"/>
          <w:i w:val="0"/>
        </w:rPr>
        <w:t>Verificar el próximo NCF disponible para un tipo de documento específico:</w:t>
      </w:r>
    </w:p>
    <w:p>
      <w:pPr>
        <w:spacing w:before="40" w:after="40"/>
        <w:ind w:left="680"/>
      </w:pPr>
      <w:r>
        <w:rPr>
          <w:rFonts w:ascii="Courier New" w:hAnsi="Courier New"/>
          <w:color w:val="1A1A8C"/>
          <w:sz w:val="18"/>
        </w:rPr>
        <w:t>jdt = env['l10n_do.account.journal.document_type'].search(</w:t>
      </w:r>
    </w:p>
    <w:p>
      <w:pPr>
        <w:spacing w:before="40" w:after="40"/>
        <w:ind w:left="680"/>
      </w:pPr>
      <w:r>
        <w:rPr>
          <w:rFonts w:ascii="Courier New" w:hAnsi="Courier New"/>
          <w:color w:val="1A1A8C"/>
          <w:sz w:val="18"/>
        </w:rPr>
        <w:t xml:space="preserve">    [('journal_id', '=', journal_id),</w:t>
      </w:r>
    </w:p>
    <w:p>
      <w:pPr>
        <w:spacing w:before="40" w:after="40"/>
        <w:ind w:left="680"/>
      </w:pPr>
      <w:r>
        <w:rPr>
          <w:rFonts w:ascii="Courier New" w:hAnsi="Courier New"/>
          <w:color w:val="1A1A8C"/>
          <w:sz w:val="18"/>
        </w:rPr>
        <w:t xml:space="preserve">     ('l10n_latam_document_type_id.l10n_do_ncf_type', '=', '01')], limit=1)</w:t>
      </w:r>
    </w:p>
    <w:p>
      <w:pPr>
        <w:spacing w:before="40" w:after="40"/>
        <w:ind w:left="680"/>
      </w:pPr>
      <w:r>
        <w:rPr>
          <w:rFonts w:ascii="Courier New" w:hAnsi="Courier New"/>
          <w:color w:val="1A1A8C"/>
          <w:sz w:val="18"/>
        </w:rPr>
        <w:t>print(jdt.l10n_do_active_batch_id.l10n_do_next_number)</w:t>
      </w:r>
    </w:p>
    <w:p>
      <w:r>
        <w:br w:type="page"/>
      </w:r>
    </w:p>
    <w:p>
      <w:pPr>
        <w:pBdr>
          <w:bottom w:val="single" w:sz="6" w:space="1" w:color="1F3864"/>
        </w:pBdr>
      </w:pPr>
    </w:p>
    <w:p>
      <w:pPr>
        <w:jc w:val="center"/>
      </w:pPr>
      <w:r>
        <w:rPr>
          <w:b/>
          <w:color w:val="1F3864"/>
          <w:sz w:val="20"/>
        </w:rPr>
        <w:t>Documento elaborado por: Luis Alejandro Fernández Lluberes</w:t>
      </w:r>
    </w:p>
    <w:p>
      <w:pPr>
        <w:jc w:val="center"/>
      </w:pPr>
      <w:r>
        <w:rPr>
          <w:i/>
          <w:color w:val="707070"/>
          <w:sz w:val="18"/>
        </w:rPr>
        <w:t>Versión 1.0  —  Abril 2026  —  Documento N.° LFL-TEC-001</w:t>
      </w:r>
    </w:p>
    <w:p>
      <w:pPr>
        <w:jc w:val="center"/>
      </w:pPr>
      <w:r>
        <w:rPr>
          <w:color w:val="909090"/>
          <w:sz w:val="16"/>
        </w:rPr>
        <w:t>Confidencial — Uso Interno  |  Todos los derechos reservados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