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2"/>
        <w:spacing w:after="150" w:before="300"/>
      </w:pPr>
      <w:r>
        <w:t xml:space="preserve">2.4. Ingeniería Humana (Experiencia del Usuario — UX)</w:t>
      </w:r>
    </w:p>
    <w:p>
      <w:r>
        <w:t xml:space="preserve">La Experiencia de Usuario (UX) se centra en cómo las personas interactúan con un sistema, evaluando facilidad de uso, accesibilidad, eficiencia, satisfacción y consistencia. Según la norma ISO 9241-210, la UX es “la respuesta de una persona que resulta del uso o la anticipación del uso de un producto, sistema o servicio”. En una herramienta CASE, donde el usuario pasa la mayor parte del tiempo manipulando un modelo visual, estos principios no son un añadido cosmético: determinan directamente qué tan rápido alguien puede pasar de una idea a un diagrama correcto.</w:t>
      </w:r>
    </w:p>
    <w:p>
      <w:r>
        <w:t xml:space="preserve">Aplicación al proyecto:</w:t>
      </w:r>
    </w:p>
    <w:p>
      <w:pPr>
        <w:pStyle w:val="ListParagraph"/>
        <w:numPr>
          <w:ilvl w:val="0"/>
          <w:numId w:val="2"/>
        </w:numPr>
        <w:spacing w:after="100"/>
      </w:pPr>
      <w:r>
        <w:rPr>
          <w:b/>
          <w:bCs/>
        </w:rPr>
        <w:t xml:space="preserve">Facilidad de uso y curva de aprendizaje:</w:t>
      </w:r>
      <w:r>
        <w:t xml:space="preserve"> un recorrido guiado interactivo (tour paso a paso) introduce cada función del lienzo la primera vez que se usa la herramienta, y una leyenda de notación UML permanente en el propio lienzo recuerda el significado de cada símbolo (triángulo hueco, rombos, línea punteada) sin obligar al usuario a salir de la aplicación para consultarlo.</w:t>
      </w:r>
    </w:p>
    <w:p>
      <w:pPr>
        <w:pStyle w:val="ListParagraph"/>
        <w:numPr>
          <w:ilvl w:val="0"/>
          <w:numId w:val="2"/>
        </w:numPr>
        <w:spacing w:after="100"/>
      </w:pPr>
      <w:r>
        <w:rPr>
          <w:b/>
          <w:bCs/>
        </w:rPr>
        <w:t xml:space="preserve">Retroalimentación inmediata:</w:t>
      </w:r>
      <w:r>
        <w:t xml:space="preserve"> la validación lógica del modelo, el deshacer/rehacer, y el bloqueo visual de una clase que otro usuario está editando en ese momento le devuelven al usuario el estado del sistema sin que tenga que adivinarlo.</w:t>
      </w:r>
    </w:p>
    <w:p>
      <w:pPr>
        <w:pStyle w:val="ListParagraph"/>
        <w:numPr>
          <w:ilvl w:val="0"/>
          <w:numId w:val="2"/>
        </w:numPr>
        <w:spacing w:after="100"/>
      </w:pPr>
      <w:r>
        <w:rPr>
          <w:b/>
          <w:bCs/>
        </w:rPr>
        <w:t xml:space="preserve">Reducción de carga cognitiva:</w:t>
      </w:r>
      <w:r>
        <w:t xml:space="preserve"> la barra de herramientas agrupa las acciones por función (edición, archivo, herramientas) en lugar de exponer una fila plana de botones sueltos, y las acciones menos frecuentes (importar, exportar, documentación, bitácora) se recogen en un menú desplegable “Archivo” en vez de competir visualmente con las acciones de uso constante.</w:t>
      </w:r>
    </w:p>
    <w:p>
      <w:pPr>
        <w:pStyle w:val="ListParagraph"/>
        <w:numPr>
          <w:ilvl w:val="0"/>
          <w:numId w:val="2"/>
        </w:numPr>
        <w:spacing w:after="100"/>
      </w:pPr>
      <w:r>
        <w:rPr>
          <w:b/>
          <w:bCs/>
        </w:rPr>
        <w:t xml:space="preserve">Consistencia:</w:t>
      </w:r>
      <w:r>
        <w:t xml:space="preserve"> la misma semántica de multiplicidad y estereotipo se respeta en tres representaciones distintas del mismo modelo — el lienzo interactivo, el archivo XMI exportado y el código Java generado — evitando que el usuario tenga que reconciliar información contradictoria entre ellas.</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Style w:val="Heading3"/>
        <w:spacing w:after="120" w:before="220"/>
      </w:pPr>
      <w:r>
        <w:t xml:space="preserve">6.3 Librerías y dependencias utilizadas</w:t>
      </w:r>
    </w:p>
    <w:p>
      <w:pPr>
        <w:spacing w:after="160"/>
      </w:pPr>
      <w:r>
        <w:t xml:space="preserve">El backend generado es un proyecto Maven estándar sobre Spring Boot 3.3.4 y Java 17, heredando la gestión de versiones del spring-boot-starter-parent (BOM que fija versiones compatibles entre todas las dependencias, evitando conflictos manuales). Cada librería incluida responde a una necesidad concreta de la arquitectura en cuatro capas; no se agregó ninguna dependencia superflua.</w:t>
      </w:r>
    </w:p>
    <w:p>
      <w:pPr>
        <w:pStyle w:val="ListParagraph"/>
        <w:numPr>
          <w:ilvl w:val="0"/>
          <w:numId w:val="2"/>
        </w:numPr>
        <w:spacing w:after="100"/>
      </w:pPr>
      <w:r>
        <w:rPr>
          <w:b/>
          <w:bCs/>
        </w:rPr>
        <w:t xml:space="preserve">spring-boot-starter-web — </w:t>
      </w:r>
      <w:r>
        <w:t xml:space="preserve">expone la capa de controladores como una API REST. Incluye el servidor embebido Tomcat, el framework Spring MVC y la librería de serialización Jackson, permitiendo que el backend arranque de forma autónoma (java -jar) sin necesidad de desplegar en un servidor de aplicaciones externo.</w:t>
      </w:r>
    </w:p>
    <w:p>
      <w:pPr>
        <w:pStyle w:val="ListParagraph"/>
        <w:numPr>
          <w:ilvl w:val="0"/>
          <w:numId w:val="2"/>
        </w:numPr>
        <w:spacing w:after="100"/>
      </w:pPr>
      <w:r>
        <w:rPr>
          <w:b/>
          <w:bCs/>
        </w:rPr>
        <w:t xml:space="preserve">spring-boot-starter-data-jpa — </w:t>
      </w:r>
      <w:r>
        <w:t xml:space="preserve">provee la capa de persistencia mediante JPA (Jakarta Persistence API) con Hibernate como implementación ORM. Es la librería que permite que cada @Entity del diagrama se mapee automáticamente a una tabla, y que los repositorios (JpaRepository) ofrezcan las operaciones CRUD sin escribir SQL.</w:t>
      </w:r>
    </w:p>
    <w:p>
      <w:pPr>
        <w:pStyle w:val="ListParagraph"/>
        <w:numPr>
          <w:ilvl w:val="0"/>
          <w:numId w:val="2"/>
        </w:numPr>
        <w:spacing w:after="100"/>
      </w:pPr>
      <w:r>
        <w:rPr>
          <w:b/>
          <w:bCs/>
        </w:rPr>
        <w:t xml:space="preserve">postgresql — </w:t>
      </w:r>
      <w:r>
        <w:t xml:space="preserve">driver JDBC de PostgreSQL. Es el puente entre Hibernate y la base de datos relacional; sin él, la aplicación no podría abrir conexiones al motor PostgreSQL configurado en application.properties.</w:t>
      </w:r>
    </w:p>
    <w:p>
      <w:pPr>
        <w:pStyle w:val="ListParagraph"/>
        <w:numPr>
          <w:ilvl w:val="0"/>
          <w:numId w:val="2"/>
        </w:numPr>
        <w:spacing w:after="100"/>
      </w:pPr>
      <w:r>
        <w:rPr>
          <w:b/>
          <w:bCs/>
        </w:rPr>
        <w:t xml:space="preserve">spring-boot-starter-validation — </w:t>
      </w:r>
      <w:r>
        <w:t xml:space="preserve">integra Jakarta Bean Validation (Hibernate Validator). Habilita la validación declarativa de los datos que entran por los endpoints mediante anotaciones (@NotNull, @Size, etc.), reforzando la integridad de la información antes de persistirla.</w:t>
      </w:r>
    </w:p>
    <w:p>
      <w:pPr>
        <w:pStyle w:val="ListParagraph"/>
        <w:numPr>
          <w:ilvl w:val="0"/>
          <w:numId w:val="2"/>
        </w:numPr>
        <w:spacing w:after="100"/>
      </w:pPr>
      <w:r>
        <w:rPr>
          <w:b/>
          <w:bCs/>
        </w:rPr>
        <w:t xml:space="preserve">jackson-datatype-hibernate6 — </w:t>
      </w:r>
      <w:r>
        <w:t xml:space="preserve">módulo de Jackson que resuelve un problema real detectado durante el desarrollo: la serialización a JSON de los proxies perezosos (lazy) de Hibernate. Sin este módulo, exponer entidades con relaciones perezosas por la API provocaría errores de serialización. Se registra junto con @JsonIgnoreProperties para evitar además la recursión infinita en relaciones bidireccionales.</w:t>
      </w:r>
    </w:p>
    <w:p>
      <w:pPr>
        <w:pStyle w:val="ListParagraph"/>
        <w:numPr>
          <w:ilvl w:val="0"/>
          <w:numId w:val="2"/>
        </w:numPr>
        <w:spacing w:after="100"/>
      </w:pPr>
      <w:r>
        <w:rPr>
          <w:b/>
          <w:bCs/>
        </w:rPr>
        <w:t xml:space="preserve">springdoc-openapi-starter-webmvc-ui (versión 2.6.0) — </w:t>
      </w:r>
      <w:r>
        <w:t xml:space="preserve">genera de forma automática la especificación OpenAPI 3 de todos los controladores y sirve una interfaz Swagger UI navegable en /swagger-ui.html. Permite al evaluador (o a cualquier consumidor del backend) explorar y probar los endpoints desde el navegador sin herramientas externas, complementando las pruebas con Postman.</w:t>
      </w:r>
    </w:p>
    <w:p>
      <w:pPr>
        <w:pStyle w:val="ListParagraph"/>
        <w:numPr>
          <w:ilvl w:val="0"/>
          <w:numId w:val="2"/>
        </w:numPr>
        <w:spacing w:after="100"/>
      </w:pPr>
      <w:r>
        <w:rPr>
          <w:b/>
          <w:bCs/>
        </w:rPr>
        <w:t xml:space="preserve">spring-boot-starter-test (ámbito test) — </w:t>
      </w:r>
      <w:r>
        <w:t xml:space="preserve">suite de pruebas que agrupa JUnit 5, Mockito, AssertJ y Spring Test. Queda disponible en el proyecto generado para que el desarrollador añada pruebas unitarias y de integración sobre la lógica de negocio de la capa de servicio.</w:t>
      </w:r>
    </w:p>
    <w:p>
      <w:pPr>
        <w:pStyle w:val="ListParagraph"/>
        <w:numPr>
          <w:ilvl w:val="0"/>
          <w:numId w:val="2"/>
        </w:numPr>
        <w:spacing w:after="100"/>
      </w:pPr>
      <w:r>
        <w:rPr>
          <w:b/>
          <w:bCs/>
        </w:rPr>
        <w:t xml:space="preserve">spring-boot-maven-plugin (plugin de build) — </w:t>
      </w:r>
      <w:r>
        <w:t xml:space="preserve">empaqueta la aplicación como un JAR ejecutable auto-contenido (fat JAR) que incluye todas las dependencias y el servidor embebido, de modo que el backend se ejecuta con un único comando y es directamente contenedorizable con Docker.</w:t>
      </w:r>
    </w:p>
    <w:p>
      <w:pPr>
        <w:spacing w:after="160"/>
      </w:pPr>
      <w:r>
        <w:t xml:space="preserve">En conjunto, estas dependencias materializan la arquitectura en capas Controlador → Servicio → Repositorio → Entidad descrita en 6.1: spring-boot-starter-web para la capa de exposición, spring-boot-starter-data-jpa y el driver postgresql para la persistencia, spring-boot-starter-validation y los módulos de Jackson para la integridad y correcta serialización de los datos, y springdoc-openapi para la documentación viva de la API. La selección se mantuvo deliberadamente mínima y estándar para que el backend generado sea fácil de entender, extender y defender.</w:t>
      </w:r>
    </w:p>
    <w:p>
      <w:pPr>
        <w:pStyle w:val="Heading3"/>
        <w:spacing w:after="120" w:before="220"/>
      </w:pPr>
      <w:r>
        <w:t xml:space="preserve">6.4 Artefactos adicionales generados</w:t>
      </w:r>
    </w:p>
    <w:p>
      <w:pPr>
        <w:spacing w:after="160"/>
      </w:pPr>
      <w:r>
        <w:t xml:space="preserve">Además del código Java de las cuatro capas, el proyecto generado incluye archivos que facilitan su prueba y despliegue inmediato:</w:t>
      </w:r>
    </w:p>
    <w:p>
      <w:pPr>
        <w:pStyle w:val="ListParagraph"/>
        <w:numPr>
          <w:ilvl w:val="0"/>
          <w:numId w:val="2"/>
        </w:numPr>
        <w:spacing w:after="100"/>
      </w:pPr>
      <w:r>
        <w:rPr>
          <w:b/>
          <w:bCs/>
        </w:rPr>
        <w:t xml:space="preserve">postman_collection.json: </w:t>
      </w:r>
      <w:r>
        <w:t xml:space="preserve">colección Postman v2.1 con todos los endpoints CRUD de cada clase, lista para importar en Postman y probar el backend sin configuración manual.</w:t>
      </w:r>
    </w:p>
    <w:p>
      <w:pPr>
        <w:pStyle w:val="ListParagraph"/>
        <w:numPr>
          <w:ilvl w:val="0"/>
          <w:numId w:val="2"/>
        </w:numPr>
        <w:spacing w:after="100"/>
      </w:pPr>
      <w:r>
        <w:rPr>
          <w:b/>
          <w:bCs/>
        </w:rPr>
        <w:t xml:space="preserve">src/main/resources/schema.sql: </w:t>
      </w:r>
      <w:r>
        <w:t xml:space="preserve">script DDL con la definición de todas las tablas y sus claves foráneas, compatible con PostgreSQL, H2 y MySQL (sintaxis ANSI).</w:t>
      </w:r>
    </w:p>
    <w:p>
      <w:pPr>
        <w:pStyle w:val="ListParagraph"/>
        <w:numPr>
          <w:ilvl w:val="0"/>
          <w:numId w:val="2"/>
        </w:numPr>
        <w:spacing w:after="100"/>
      </w:pPr>
      <w:r>
        <w:rPr>
          <w:b/>
          <w:bCs/>
        </w:rPr>
        <w:t xml:space="preserve">src/main/resources/data.sql: </w:t>
      </w:r>
      <w:r>
        <w:t xml:space="preserve">datos de prueba realistas, ordenados para respetar las claves foráneas (las entidades padre se insertan antes que las hijas), de modo que el sistema arranque con información de ejemplo.</w:t>
      </w:r>
    </w:p>
    <w:p>
      <w:pPr>
        <w:spacing w:after="160"/>
      </w:pPr>
      <w:r>
        <w:t xml:space="preserve">Adicionalmente, la herramienta web permite exportar la colección Postman directamente desde el diagrama, sin necesidad de generar todo el proyecto, y ofrece una vista previa del código generado antes de la descarga.</w:t>
      </w:r>
    </w:p>
    <w:p>
      <w:pPr>
        <w:pStyle w:val="Heading1"/>
        <w:spacing w:after="200" w:before="500"/>
      </w:pPr>
      <w:r>
        <w:t xml:space="preserve">7. El Proceso de Desarrollo de Software (PUDS)</w:t>
      </w:r>
    </w:p>
    <w:p>
      <w:r>
        <w:t xml:space="preserve">El Proceso Unificado de Desarrollo de Software (PUDS) es un marco estructurado que organiza las actividades necesarias para construir un sistema, desde la captura de requisitos hasta la entrega y el mantenimiento del producto final. Su propósito es garantizar que el software cumpla los objetivos establecidos dentro de un tiempo y alcance definidos, reduciendo riesgos y ordenando la coordinación del equipo de trabajo.</w:t>
      </w:r>
    </w:p>
    <w:p>
      <w:pPr>
        <w:pStyle w:val="Heading2"/>
        <w:spacing w:after="150" w:before="300"/>
      </w:pPr>
      <w:r>
        <w:t xml:space="preserve">7.1. Fases del PUDS</w:t>
      </w:r>
    </w:p>
    <w:p>
      <w:pPr>
        <w:pStyle w:val="ListParagraph"/>
        <w:numPr>
          <w:ilvl w:val="0"/>
          <w:numId w:val="2"/>
        </w:numPr>
        <w:spacing w:after="100"/>
      </w:pPr>
      <w:r>
        <w:rPr>
          <w:b/>
          <w:bCs/>
        </w:rPr>
        <w:t xml:space="preserve">Análisis de requisitos:</w:t>
      </w:r>
      <w:r>
        <w:t xml:space="preserve"> identificación y documentación de las necesidades del usuario y del negocio.</w:t>
      </w:r>
    </w:p>
    <w:p>
      <w:pPr>
        <w:pStyle w:val="ListParagraph"/>
        <w:numPr>
          <w:ilvl w:val="0"/>
          <w:numId w:val="2"/>
        </w:numPr>
        <w:spacing w:after="100"/>
      </w:pPr>
      <w:r>
        <w:rPr>
          <w:b/>
          <w:bCs/>
        </w:rPr>
        <w:t xml:space="preserve">Diseño del sistema:</w:t>
      </w:r>
      <w:r>
        <w:t xml:space="preserve"> definición de la arquitectura, los componentes y su integración.</w:t>
      </w:r>
    </w:p>
    <w:p>
      <w:pPr>
        <w:pStyle w:val="ListParagraph"/>
        <w:numPr>
          <w:ilvl w:val="0"/>
          <w:numId w:val="2"/>
        </w:numPr>
        <w:spacing w:after="100"/>
      </w:pPr>
      <w:r>
        <w:rPr>
          <w:b/>
          <w:bCs/>
        </w:rPr>
        <w:t xml:space="preserve">Implementación:</w:t>
      </w:r>
      <w:r>
        <w:t xml:space="preserve"> traducción del diseño en código funcional.</w:t>
      </w:r>
    </w:p>
    <w:p>
      <w:pPr>
        <w:pStyle w:val="ListParagraph"/>
        <w:numPr>
          <w:ilvl w:val="0"/>
          <w:numId w:val="2"/>
        </w:numPr>
        <w:spacing w:after="100"/>
      </w:pPr>
      <w:r>
        <w:rPr>
          <w:b/>
          <w:bCs/>
        </w:rPr>
        <w:t xml:space="preserve">Pruebas:</w:t>
      </w:r>
      <w:r>
        <w:t xml:space="preserve"> validación de que el sistema cumple los requisitos definidos.</w:t>
      </w:r>
    </w:p>
    <w:p>
      <w:pPr>
        <w:pStyle w:val="ListParagraph"/>
        <w:numPr>
          <w:ilvl w:val="0"/>
          <w:numId w:val="2"/>
        </w:numPr>
        <w:spacing w:after="100"/>
      </w:pPr>
      <w:r>
        <w:rPr>
          <w:b/>
          <w:bCs/>
        </w:rPr>
        <w:t xml:space="preserve">Despliegue:</w:t>
      </w:r>
      <w:r>
        <w:t xml:space="preserve"> puesta en marcha del sistema en un entorno accesible para los usuarios finales.</w:t>
      </w:r>
    </w:p>
    <w:p>
      <w:pPr>
        <w:pStyle w:val="ListParagraph"/>
        <w:numPr>
          <w:ilvl w:val="0"/>
          <w:numId w:val="2"/>
        </w:numPr>
        <w:spacing w:after="100"/>
      </w:pPr>
      <w:r>
        <w:rPr>
          <w:b/>
          <w:bCs/>
        </w:rPr>
        <w:t xml:space="preserve">Mantenimiento:</w:t>
      </w:r>
      <w:r>
        <w:t xml:space="preserve"> correcciones, adaptaciones y mejoras continuas una vez el sistema está en uso.</w:t>
      </w:r>
    </w:p>
    <w:p>
      <w:pPr>
        <w:pStyle w:val="Heading2"/>
        <w:spacing w:after="150" w:before="300"/>
      </w:pPr>
      <w:r>
        <w:t xml:space="preserve">7.2. Metodologías dentro del PUDS</w:t>
      </w:r>
    </w:p>
    <w:p>
      <w:r>
        <w:t xml:space="preserve">El PUDS es un marco de fases, no una metodología única: puede recorrerse con distintos enfoques de trabajo, entre ellos:</w:t>
      </w:r>
    </w:p>
    <w:p>
      <w:pPr>
        <w:pStyle w:val="ListParagraph"/>
        <w:numPr>
          <w:ilvl w:val="0"/>
          <w:numId w:val="2"/>
        </w:numPr>
        <w:spacing w:after="100"/>
      </w:pPr>
      <w:r>
        <w:rPr>
          <w:b/>
          <w:bCs/>
        </w:rPr>
        <w:t xml:space="preserve">Modelo en cascada:</w:t>
      </w:r>
      <w:r>
        <w:t xml:space="preserve"> las fases se ejecutan de forma secuencial y estructurada, una después de la otra.</w:t>
      </w:r>
    </w:p>
    <w:p>
      <w:pPr>
        <w:pStyle w:val="ListParagraph"/>
        <w:numPr>
          <w:ilvl w:val="0"/>
          <w:numId w:val="2"/>
        </w:numPr>
        <w:spacing w:after="100"/>
      </w:pPr>
      <w:r>
        <w:rPr>
          <w:b/>
          <w:bCs/>
        </w:rPr>
        <w:t xml:space="preserve">Metodologías ágiles (Kanban, XP):</w:t>
      </w:r>
      <w:r>
        <w:t xml:space="preserve"> promueven iteraciones cortas, entregas incrementales verificables y adaptación continua a cambios de requisitos.</w:t>
      </w:r>
    </w:p>
    <w:p>
      <w:pPr>
        <w:pStyle w:val="ListParagraph"/>
        <w:numPr>
          <w:ilvl w:val="0"/>
          <w:numId w:val="2"/>
        </w:numPr>
        <w:spacing w:after="100"/>
      </w:pPr>
      <w:r>
        <w:rPr>
          <w:b/>
          <w:bCs/>
        </w:rPr>
        <w:t xml:space="preserve">Modelo incremental y evolutivo:</w:t>
      </w:r>
      <w:r>
        <w:t xml:space="preserve"> el software se construye en etapas sucesivas, cada una añadiendo funcionalidad sobre la anterior.</w:t>
      </w:r>
    </w:p>
    <w:p>
      <w:pPr>
        <w:pStyle w:val="ListParagraph"/>
        <w:numPr>
          <w:ilvl w:val="0"/>
          <w:numId w:val="2"/>
        </w:numPr>
        <w:spacing w:after="100"/>
      </w:pPr>
      <w:r>
        <w:rPr>
          <w:b/>
          <w:bCs/>
        </w:rPr>
        <w:t xml:space="preserve">Proceso Unificado (UP):</w:t>
      </w:r>
      <w:r>
        <w:t xml:space="preserve"> desarrollo guiado por casos de uso, con énfasis en la gestión temprana de riesgos.</w:t>
      </w:r>
    </w:p>
    <w:p>
      <w:r>
        <w:t xml:space="preserve">La Parte 2 de este documento desarrolla en detalle cómo se recorrieron las fases de análisis, diseño e implementación para este proyecto, siguiendo el marco de fases del PUDS de manera incremental a lo largo de varios ciclos de trabajo, en lugar de ejecutarlas una sola vez de forma estrictamente lineal.</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1.2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1.3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1.4 Objetivos Específicos</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importación y exportación del diagrama en formato estándar XMI 2.1 para interoperar con herramientas UML externas como Enterprise Architect.</w:t>
      </w:r>
    </w:p>
    <w:p>
      <w:pPr>
        <w:pStyle w:val="ListParagraph"/>
        <w:numPr>
          <w:ilvl w:val="0"/>
          <w:numId w:val="2"/>
        </w:numPr>
        <w:spacing w:after="100"/>
      </w:pPr>
      <w:r>
        <w:t xml:space="preserve">Incorporar autenticación de usuarios (registro e inicio de sesión) para identificar con nombre real a quien edita cada clase.</w:t>
      </w:r>
    </w:p>
    <w:p>
      <w:pPr>
        <w:pStyle w:val="ListParagraph"/>
        <w:numPr>
          <w:ilvl w:val="0"/>
          <w:numId w:val="2"/>
        </w:numPr>
        <w:spacing w:after="100"/>
      </w:pPr>
      <w:r>
        <w:t xml:space="preserve">Registrar una bitácora de cambios por diagrama que indique quién modificó qué y cuándo.</w:t>
      </w:r>
    </w:p>
    <w:p>
      <w:pPr>
        <w:pStyle w:val="ListParagraph"/>
        <w:numPr>
          <w:ilvl w:val="0"/>
          <w:numId w:val="2"/>
        </w:numPr>
        <w:spacing w:after="100"/>
      </w:pPr>
      <w:r>
        <w:t xml:space="preserve">Permitir adjuntar documentos e imágenes a un diagrama, respaldados en almacenamiento en la nube (Amazon S3).</w:t>
      </w:r>
    </w:p>
    <w:p>
      <w:pPr>
        <w:pStyle w:val="ListParagraph"/>
        <w:numPr>
          <w:ilvl w:val="0"/>
          <w:numId w:val="2"/>
        </w:numPr>
        <w:spacing w:after="100"/>
      </w:pPr>
      <w:r>
        <w:t xml:space="preserve">Soportar la declaración de clases abstractas e interfaces, reflejadas tanto en el diagrama como en el código Java generado.</w:t>
      </w:r>
    </w:p>
    <w:p>
      <w:pPr>
        <w:pStyle w:val="ListParagraph"/>
        <w:numPr>
          <w:ilvl w:val="0"/>
          <w:numId w:val="2"/>
        </w:numPr>
        <w:spacing w:after="100"/>
      </w:pPr>
      <w:r>
        <w:t xml:space="preserve">Habilitar la selección múltiple de clases y la exportación del diagrama como imagen (PNG/SVG).</w:t>
      </w:r>
    </w:p>
    <w:p>
      <w:pPr>
        <w:pStyle w:val="ListParagraph"/>
        <w:numPr>
          <w:ilvl w:val="0"/>
          <w:numId w:val="2"/>
        </w:numPr>
        <w:spacing w:after="100"/>
      </w:pPr>
      <w:r>
        <w:t xml:space="preserve">Desplegar la aplicación en un servidor accesible públicamente (AWS), verificando su funcionamiento fuera de un entorno local.</w:t>
      </w:r>
    </w:p>
    <w:p>
      <w:pPr>
        <w:pStyle w:val="ListParagraph"/>
        <w:numPr>
          <w:ilvl w:val="0"/>
          <w:numId w:val="2"/>
        </w:numPr>
        <w:spacing w:after="100"/>
      </w:pPr>
      <w:r>
        <w:t xml:space="preserve">Desarrollar un cliente móvil en Flutter que consuma el backend generado, con interacción por voz y operación sin conexión (offline) que sincroniza los cambios al reconectar.</w:t>
      </w:r>
    </w:p>
    <w:p>
      <w:pPr>
        <w:pStyle w:val="ListParagraph"/>
        <w:numPr>
          <w:ilvl w:val="0"/>
          <w:numId w:val="2"/>
        </w:numPr>
        <w:spacing w:after="100"/>
      </w:pPr>
      <w:r>
        <w:t xml:space="preserve">Habilitar el uso de modelos de inteligencia artificial locales, tanto en escritorio como en el dispositivo móvil, para asistir al usuario incluso sin conexión a internet.</w:t>
      </w:r>
    </w:p>
    <w:p>
      <w:pPr>
        <w:pStyle w:val="Heading2"/>
        <w:spacing w:after="150" w:before="300"/>
      </w:pPr>
      <w:r>
        <w:t xml:space="preserve">1.5 Alcance</w:t>
      </w:r>
    </w:p>
    <w:p>
      <w:pPr>
        <w:pStyle w:val="Heading3"/>
        <w:spacing w:after="120" w:before="220"/>
      </w:pPr>
      <w:r>
        <w:t xml:space="preserve">Módulo de Diagramas</w:t>
      </w:r>
    </w:p>
    <w:p>
      <w:pPr>
        <w:spacing w:after="160"/>
      </w:pPr>
      <w:r>
        <w:t xml:space="preserve">Gestiona la creación, edición, persistencia y carga compartida de diagramas UML.</w:t>
      </w:r>
    </w:p>
    <w:p>
      <w:pPr>
        <w:pStyle w:val="Heading3"/>
        <w:spacing w:after="120" w:before="220"/>
      </w:pPr>
      <w:r>
        <w:t xml:space="preserve">Módulo Generador</w:t>
      </w:r>
    </w:p>
    <w:p>
      <w:pPr>
        <w:spacing w:after="160"/>
      </w:pPr>
      <w:r>
        <w:t xml:space="preserve">Transforma el modelo UML en un proyecto Spring Boot completo (Entity, Repository, Service, Controller) y en un archivo XMI. El proyecto generado incluye además una colección Postman, los scripts SQL de esquema (schema.sql) y de datos de prueba (data.sql), y la documentación Swagger de la API.</w:t>
      </w:r>
    </w:p>
    <w:p>
      <w:pPr>
        <w:pStyle w:val="Heading3"/>
        <w:spacing w:after="120" w:before="220"/>
      </w:pPr>
      <w:r>
        <w:t xml:space="preserve">Módulo de Colaboración</w:t>
      </w:r>
    </w:p>
    <w:p>
      <w:pPr>
        <w:spacing w:after="160"/>
      </w:pPr>
      <w:r>
        <w:t xml:space="preserve">Sincroniza los cambios del diagrama en tiempo real entre todos los usuarios conectados a la misma sesión de edición. Muestra la presencia de los usuarios conectados y aplica control de exclusión mediante bloqueo por clase: mientras un usuario edita una clase, esta queda bloqueada para los demás y se libera al terminar la edición.</w:t>
      </w:r>
    </w:p>
    <w:p>
      <w:pPr>
        <w:pStyle w:val="Heading3"/>
        <w:spacing w:after="120" w:before="220"/>
      </w:pPr>
      <w:r>
        <w:t xml:space="preserve">Módulo de Inteligencia Artificial</w:t>
      </w:r>
    </w:p>
    <w:p>
      <w:pPr>
        <w:spacing w:after="160"/>
      </w:pPr>
      <w:r>
        <w:t xml:space="preserve">Provee el chat conversacional, el reconocimiento de voz y la interpretación de fotografías dibujadas a mano. Puede operar con modelos de IA en la nube (Google Gemini) o con modelos locales, en escritorio y en el dispositivo móvil, para funcionar sin conexión a internet.</w:t>
      </w:r>
    </w:p>
    <w:p>
      <w:pPr>
        <w:pStyle w:val="Heading3"/>
        <w:spacing w:after="120" w:before="220"/>
      </w:pPr>
      <w:r>
        <w:t xml:space="preserve">Módulo Cliente Móvil</w:t>
      </w:r>
    </w:p>
    <w:p>
      <w:pPr>
        <w:spacing w:after="160"/>
      </w:pPr>
      <w:r>
        <w:t xml:space="preserve">Aplicación desarrollada en Flutter que consume el backend generado para probar sus endpoints. Ofrece interacción por voz, un asistente de inteligencia artificial local y operación offline que encola las acciones realizadas sin conexión y las sincroniza al recuperar la conectividad.</w:t>
      </w:r>
    </w:p>
    <w:p>
      <w:pPr>
        <w:pStyle w:val="Heading1"/>
        <w:spacing w:after="200" w:before="500"/>
      </w:pPr>
      <w:r>
        <w:t xml:space="preserve">2. Captura De Requisitos</w:t>
      </w:r>
    </w:p>
    <w:p>
      <w:pPr>
        <w:pStyle w:val="Heading2"/>
        <w:spacing w:after="150" w:before="300"/>
      </w:pPr>
      <w:r>
        <w:t xml:space="preserve">2.1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2.2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2.3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2.4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3. Análisis</w:t>
      </w:r>
    </w:p>
    <w:p>
      <w:pPr>
        <w:pStyle w:val="Heading2"/>
        <w:spacing w:after="150" w:before="300"/>
      </w:pPr>
      <w:r>
        <w:t xml:space="preserve">3.1 Análisis De Arquitectura</w:t>
      </w:r>
    </w:p>
    <w:p>
      <w:pPr>
        <w:pStyle w:val="Heading3"/>
        <w:spacing w:after="120" w:before="220"/>
      </w:pPr>
      <w:r>
        <w:t xml:space="preserve">3.1.1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3.2.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3.3.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3.4.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4. Diseño</w:t>
      </w:r>
    </w:p>
    <w:p>
      <w:pPr>
        <w:pStyle w:val="Heading2"/>
        <w:spacing w:after="150" w:before="300"/>
      </w:pPr>
      <w:r>
        <w:t xml:space="preserve">4.1 Diseño de arquitectura</w:t>
      </w:r>
    </w:p>
    <w:p>
      <w:pPr>
        <w:pStyle w:val="Heading3"/>
        <w:spacing w:after="120" w:before="220"/>
      </w:pPr>
      <w:r>
        <w:t xml:space="preserve">4.1.1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4.1.2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4.2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4.3 Diseño de casos de uso</w:t>
      </w:r>
    </w:p>
    <w:p>
      <w:pPr>
        <w:pStyle w:val="Heading3"/>
        <w:spacing w:after="120" w:before="220"/>
      </w:pPr>
      <w:r>
        <w:t xml:space="preserve">4.3.1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5. Implementación</w:t>
      </w:r>
    </w:p>
    <w:p>
      <w:pPr>
        <w:pStyle w:val="Heading2"/>
        <w:spacing w:after="150" w:before="300"/>
      </w:pPr>
      <w:r>
        <w:t xml:space="preserve">5.1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5.2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Style w:val="Heading1"/>
        <w:spacing w:after="200" w:before="500"/>
      </w:pPr>
      <w:r>
        <w:t xml:space="preserve">6. Pruebas</w:t>
      </w:r>
    </w:p>
    <w:p>
      <w:r>
        <w:t xml:space="preserve">Esta fase valida que la implementación cumpla los requisitos definidos en el Perfil y el Modelo de Casos de Uso. A diferencia del resto de este documento, aquí no se describe lo que el sistema debería hacer, sino la evidencia concreta de que se verificó que lo hace.</w:t>
      </w:r>
    </w:p>
    <w:p>
      <w:pPr>
        <w:pStyle w:val="Heading2"/>
        <w:spacing w:after="150" w:before="300"/>
      </w:pPr>
      <w:r>
        <w:t xml:space="preserve">6.1 Plan de pruebas</w:t>
      </w:r>
    </w:p>
    <w:p>
      <w:pPr>
        <w:pStyle w:val="ListParagraph"/>
        <w:numPr>
          <w:ilvl w:val="0"/>
          <w:numId w:val="2"/>
        </w:numPr>
        <w:spacing w:after="100"/>
      </w:pPr>
      <w:r>
        <w:rPr>
          <w:b/>
          <w:bCs/>
        </w:rPr>
        <w:t xml:space="preserve">Alcance:</w:t>
      </w:r>
      <w:r>
        <w:t xml:space="preserve"> pruebas unitarias sobre la lógica pura del backend (el algoritmo de diff de la bitácora), pruebas funcionales del backend generado (Spring Boot) con Postman, y pruebas de integración y de sistema ejecutadas en vivo contra los servicios reales (PostgreSQL, Amazon S3, Google Gemini) y, para el sistema completo, contra el servidor de producción real en AWS (http://34.231.176.225), no contra localhost.</w:t>
      </w:r>
    </w:p>
    <w:p>
      <w:pPr>
        <w:pStyle w:val="ListParagraph"/>
        <w:numPr>
          <w:ilvl w:val="0"/>
          <w:numId w:val="2"/>
        </w:numPr>
        <w:spacing w:after="100"/>
      </w:pPr>
      <w:r>
        <w:rPr>
          <w:b/>
          <w:bCs/>
        </w:rPr>
        <w:t xml:space="preserve">Estrategia:</w:t>
      </w:r>
      <w:r>
        <w:t xml:space="preserve"> caja blanca (Vitest) para la lógica de negocio aislable, y caja negra (peticiones HTTP reales vía curl/Postman y verificación desde el navegador) para los endpoints REST, los WebSockets y el flujo end-to-end del usuario.</w:t>
      </w:r>
    </w:p>
    <w:p>
      <w:pPr>
        <w:pStyle w:val="ListParagraph"/>
        <w:numPr>
          <w:ilvl w:val="0"/>
          <w:numId w:val="2"/>
        </w:numPr>
        <w:spacing w:after="100"/>
      </w:pPr>
      <w:r>
        <w:rPr>
          <w:b/>
          <w:bCs/>
        </w:rPr>
        <w:t xml:space="preserve">Criterios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original.</w:t>
      </w:r>
    </w:p>
    <w:p>
      <w:pPr>
        <w:pStyle w:val="Heading2"/>
        <w:spacing w:after="150" w:before="300"/>
      </w:pPr>
      <w:r>
        <w:t xml:space="preserve">6.2 Diseño de pruebas (casos de prueba)</w:t>
      </w:r>
    </w:p>
    <w:p>
      <w:pPr>
        <w:pStyle w:val="ListParagraph"/>
        <w:numPr>
          <w:ilvl w:val="0"/>
          <w:numId w:val="2"/>
        </w:numPr>
        <w:spacing w:after="100"/>
      </w:pPr>
      <w:r>
        <w:rPr>
          <w:b/>
          <w:bCs/>
        </w:rPr>
        <w:t xml:space="preserve">CP-01 — Generación de backend Spring Boot:</w:t>
      </w:r>
      <w:r>
        <w:t xml:space="preserve"> a partir de un diagrama con relaciones 1:1, 1:N y N:N, el backend generado debe incluir las cuatro capas (Entity, Repository, Service, Controller) por clase, con las anotaciones JPA correctas (@OneToMany/@ManyToOne, tabla intermedia para N:N).</w:t>
      </w:r>
    </w:p>
    <w:p>
      <w:pPr>
        <w:pStyle w:val="ListParagraph"/>
        <w:numPr>
          <w:ilvl w:val="0"/>
          <w:numId w:val="2"/>
        </w:numPr>
        <w:spacing w:after="100"/>
      </w:pPr>
      <w:r>
        <w:rPr>
          <w:b/>
          <w:bCs/>
        </w:rPr>
        <w:t xml:space="preserve">CP-02 — Autenticación y bitácora:</w:t>
      </w:r>
      <w:r>
        <w:t xml:space="preserve"> registrar un usuario, iniciar sesión, crear y modificar un diagrama, y verificar que la bitácora registre el nombre real del usuario autenticado y un resumen legible del cambio (clases agregadas, atributos modificados, relaciones eliminadas).</w:t>
      </w:r>
    </w:p>
    <w:p>
      <w:pPr>
        <w:pStyle w:val="ListParagraph"/>
        <w:numPr>
          <w:ilvl w:val="0"/>
          <w:numId w:val="2"/>
        </w:numPr>
        <w:spacing w:after="100"/>
      </w:pPr>
      <w:r>
        <w:rPr>
          <w:b/>
          <w:bCs/>
        </w:rPr>
        <w:t xml:space="preserve">CP-03 — Adjuntos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permitido (.exe) y verificar el rechazo.</w:t>
      </w:r>
    </w:p>
    <w:p>
      <w:pPr>
        <w:pStyle w:val="ListParagraph"/>
        <w:numPr>
          <w:ilvl w:val="0"/>
          <w:numId w:val="2"/>
        </w:numPr>
        <w:spacing w:after="100"/>
      </w:pPr>
      <w:r>
        <w:rPr>
          <w:b/>
          <w:bCs/>
        </w:rPr>
        <w:t xml:space="preserve">CP-04 — Colaboración en tiempo real:</w:t>
      </w:r>
      <w:r>
        <w:t xml:space="preserve"> con dos sesiones de navegador abiertas sobre el mismo diagrama, verificar que un cambio hecho en una se refleje en la otra vía WebSocket sin recargar la página.</w:t>
      </w:r>
    </w:p>
    <w:p>
      <w:pPr>
        <w:pStyle w:val="ListParagraph"/>
        <w:numPr>
          <w:ilvl w:val="0"/>
          <w:numId w:val="2"/>
        </w:numPr>
        <w:spacing w:after="100"/>
      </w:pPr>
      <w:r>
        <w:rPr>
          <w:b/>
          <w:bCs/>
        </w:rPr>
        <w:t xml:space="preserve">Componente de prueba:</w:t>
      </w:r>
      <w:r>
        <w:t xml:space="preserve"> la suite model-diff.util.spec.ts (Vitest) ejercita la función pura summarizeModelDiff con 7 casos — clase agregada, eliminada, renombrada, atributos y operaciones modificados, y relaciones agregadas/eliminadas/con tipo cambiado — sin depender de base de datos ni red.</w:t>
      </w:r>
    </w:p>
    <w:p>
      <w:pPr>
        <w:pStyle w:val="Heading2"/>
        <w:spacing w:after="150" w:before="300"/>
      </w:pPr>
      <w:r>
        <w:t xml:space="preserve">6.3 Pruebas de integración</w:t>
      </w:r>
    </w:p>
    <w:p>
      <w:pPr>
        <w:pStyle w:val="ListParagraph"/>
        <w:numPr>
          <w:ilvl w:val="0"/>
          <w:numId w:val="2"/>
        </w:numPr>
        <w:spacing w:after="100"/>
      </w:pPr>
      <w:r>
        <w:rPr>
          <w:b/>
          <w:bCs/>
        </w:rPr>
        <w:t xml:space="preserve">Frontend ↔ Backend (vía Nginx):</w:t>
      </w:r>
      <w:r>
        <w:t xml:space="preserve"> en producción, Nginx actúa como proxy reverso hacia NestJS para /auth, /diagrams, /attachments, /generator, /ai y /socket.io. Se verificó cada ruta con peticiones reales contra la IP pública.</w:t>
      </w:r>
    </w:p>
    <w:p>
      <w:pPr>
        <w:pStyle w:val="ListParagraph"/>
        <w:numPr>
          <w:ilvl w:val="0"/>
          <w:numId w:val="2"/>
        </w:numPr>
        <w:spacing w:after="100"/>
      </w:pPr>
      <w:r>
        <w:rPr>
          <w:b/>
          <w:bCs/>
        </w:rPr>
        <w:t xml:space="preserve">Backend ↔ PostgreSQL:</w:t>
      </w:r>
      <w:r>
        <w:t xml:space="preserve"> persistencia de diagramas, relaciones y entradas de la bitácora, con DB_SYNCHRONIZE=true generando el esquema automáticamente al iniciar el contenedor.</w:t>
      </w:r>
    </w:p>
    <w:p>
      <w:pPr>
        <w:pStyle w:val="ListParagraph"/>
        <w:numPr>
          <w:ilvl w:val="0"/>
          <w:numId w:val="2"/>
        </w:numPr>
        <w:spacing w:after="100"/>
      </w:pPr>
      <w:r>
        <w:rPr>
          <w:b/>
          <w:bCs/>
        </w:rPr>
        <w:t xml:space="preserve">Backend ↔ Amazon S3:</w:t>
      </w:r>
      <w:r>
        <w:t xml:space="preserve"> subida, descarga con URL firmada (expira en 5 minutos) y eliminación, verificadas contra el bucket real diagramador-uml-adjuntos-fernando, no contra un mock.</w:t>
      </w:r>
    </w:p>
    <w:p>
      <w:pPr>
        <w:pStyle w:val="ListParagraph"/>
        <w:numPr>
          <w:ilvl w:val="0"/>
          <w:numId w:val="2"/>
        </w:numPr>
        <w:spacing w:after="100"/>
      </w:pPr>
      <w:r>
        <w:rPr>
          <w:b/>
          <w:bCs/>
        </w:rPr>
        <w:t xml:space="preserve">Backend ↔ Google Gemini:</w:t>
      </w:r>
      <w:r>
        <w:t xml:space="preserve"> el chat conversacional, el dictado por voz y la interpretación de fotografías de diagramas dibujados a mano se probaron contra el servicio real de IA, no contra una respuesta simulada.</w:t>
      </w:r>
    </w:p>
    <w:p>
      <w:r>
        <w:t xml:space="preserve">Defectos encontrados y corregidos durante la integración (antes del primer despliegue a producción, gracias a un ensayo local completo con Docker Compose sobre la misma imagen que se desplegaría):</w:t>
      </w:r>
    </w:p>
    <w:p>
      <w:pPr>
        <w:pStyle w:val="ListParagraph"/>
        <w:numPr>
          <w:ilvl w:val="0"/>
          <w:numId w:val="2"/>
        </w:numPr>
        <w:spacing w:after="100"/>
      </w:pPr>
      <w:r>
        <w:rPr>
          <w:b/>
          <w:bCs/>
        </w:rPr>
        <w:t xml:space="preserve">Rutas de Nginx incompletas:</w:t>
      </w:r>
      <w:r>
        <w:t xml:space="preserve"> nginx.conf no reenviaba /auth ni /attachments al backend — se habían agregado esos módulos después de escribir la configuración original. Sin el fix, login y adjuntos habrían devuelto el HTML de la SPA en vez de JSON en producción, aunque funcionaran en desarrollo.</w:t>
      </w:r>
    </w:p>
    <w:p>
      <w:pPr>
        <w:pStyle w:val="ListParagraph"/>
        <w:numPr>
          <w:ilvl w:val="0"/>
          <w:numId w:val="2"/>
        </w:numPr>
        <w:spacing w:after="100"/>
      </w:pPr>
      <w:r>
        <w:rPr>
          <w:b/>
          <w:bCs/>
        </w:rPr>
        <w:t xml:space="preserve">Incompatibilidad de versión de Node/npm en el build:</w:t>
      </w:r>
      <w:r>
        <w:t xml:space="preserve"> node:22-alpine (npm 10.x) resolvía package-lock.json de forma distinta al npm 11.x local, y npm ci fallaba dentro del contenedor con “Missing: typescript@5.9.3 from lock file”. Se corrigió alineando ambos Dockerfiles a node:24-alpine.</w:t>
      </w:r>
    </w:p>
    <w:p>
      <w:pPr>
        <w:pStyle w:val="ListParagraph"/>
        <w:numPr>
          <w:ilvl w:val="0"/>
          <w:numId w:val="2"/>
        </w:numPr>
        <w:spacing w:after="100"/>
      </w:pPr>
      <w:r>
        <w:rPr>
          <w:b/>
          <w:bCs/>
        </w:rPr>
        <w:t xml:space="preserve">Variables de entorno incompletas en Docker Compose:</w:t>
      </w:r>
      <w:r>
        <w:t xml:space="preserve"> docker-compose.prod.yml no exponía JWT_SECRET ni las variables AWS_* al contenedor del backend — se agregaron esas variables después de escribir el archivo original.</w:t>
      </w:r>
    </w:p>
    <w:p>
      <w:pPr>
        <w:pStyle w:val="Heading2"/>
        <w:spacing w:after="150" w:before="300"/>
      </w:pPr>
      <w:r>
        <w:t xml:space="preserve">6.4 Pruebas de sistema</w:t>
      </w:r>
    </w:p>
    <w:p>
      <w:r>
        <w:t xml:space="preserve">Se ejecutó el flujo completo extremo a extremo contra el servidor de producción real (http://34.231.176.225), no contra un entorno local:</w:t>
      </w:r>
    </w:p>
    <w:p>
      <w:pPr>
        <w:pStyle w:val="ListParagraph"/>
        <w:numPr>
          <w:ilvl w:val="0"/>
          <w:numId w:val="2"/>
        </w:numPr>
        <w:spacing w:after="100"/>
      </w:pPr>
      <w:r>
        <w:rPr>
          <w:b/>
          <w:bCs/>
        </w:rPr>
        <w:t xml:space="preserve">SYS-01 — Registro, autenticación y creación de diagrama:</w:t>
      </w:r>
      <w:r>
        <w:t xml:space="preserve"> un usuario nuevo se registra, inicia sesión, crea un diagrama y agrega clases — resultado: correcto.</w:t>
      </w:r>
    </w:p>
    <w:p>
      <w:pPr>
        <w:pStyle w:val="ListParagraph"/>
        <w:numPr>
          <w:ilvl w:val="0"/>
          <w:numId w:val="2"/>
        </w:numPr>
        <w:spacing w:after="100"/>
      </w:pPr>
      <w:r>
        <w:rPr>
          <w:b/>
          <w:bCs/>
        </w:rPr>
        <w:t xml:space="preserve">SYS-02 — Bitácora de cambios:</w:t>
      </w:r>
      <w:r>
        <w:t xml:space="preserve"> cada modificación queda registrada con el nombre real del usuario y un resumen del cambio — resultado: correcto.</w:t>
      </w:r>
    </w:p>
    <w:p>
      <w:pPr>
        <w:pStyle w:val="ListParagraph"/>
        <w:numPr>
          <w:ilvl w:val="0"/>
          <w:numId w:val="2"/>
        </w:numPr>
        <w:spacing w:after="100"/>
      </w:pPr>
      <w:r>
        <w:rPr>
          <w:b/>
          <w:bCs/>
        </w:rPr>
        <w:t xml:space="preserve">SYS-03 — Documentos adjuntos:</w:t>
      </w:r>
      <w:r>
        <w:t xml:space="preserve"> subida a S3 real desde dentro de la infraestructura de AWS — resultado: correcto.</w:t>
      </w:r>
    </w:p>
    <w:p>
      <w:pPr>
        <w:pStyle w:val="ListParagraph"/>
        <w:numPr>
          <w:ilvl w:val="0"/>
          <w:numId w:val="2"/>
        </w:numPr>
        <w:spacing w:after="100"/>
      </w:pPr>
      <w:r>
        <w:rPr>
          <w:b/>
          <w:bCs/>
        </w:rPr>
        <w:t xml:space="preserve">SYS-04 — Generación de backend Spring Boot:</w:t>
      </w:r>
      <w:r>
        <w:t xml:space="preserve"> descarga del proyecto generado, revisión de las cuatro capas por clase — resultado: correcto.</w:t>
      </w:r>
    </w:p>
    <w:p>
      <w:pPr>
        <w:pStyle w:val="ListParagraph"/>
        <w:numPr>
          <w:ilvl w:val="0"/>
          <w:numId w:val="2"/>
        </w:numPr>
        <w:spacing w:after="100"/>
      </w:pPr>
      <w:r>
        <w:rPr>
          <w:b/>
          <w:bCs/>
        </w:rPr>
        <w:t xml:space="preserve">SYS-05 — Recuperación ante reinicio del servidor:</w:t>
      </w:r>
      <w:r>
        <w:t xml:space="preserve"> los tres contenedores (restart: unless-stopped, Docker habilitado al arranque) vuelven a levantarse automáticamente tras un reinicio de la instancia EC2, sin intervención manual.</w:t>
      </w:r>
    </w:p>
    <w:p>
      <w:pPr>
        <w:pStyle w:val="Heading2"/>
        <w:spacing w:after="150" w:before="300"/>
      </w:pPr>
      <w:r>
        <w:t xml:space="preserve">6.5 Evaluación de las pruebas</w:t>
      </w:r>
    </w:p>
    <w:p>
      <w:r>
        <w:t xml:space="preserve">Todos los casos de prueba diseñados en 6.2 se ejecutaron y pasaron. Los tres defectos encontrados durante la integración (6.3) se detectaron antes de tocar la infraestructura de AWS —gracias a ensayar primero la pila completa de Docker Compose en local— y se corrigieron y verificaron antes del primer despliegue real, por lo que ninguno llegó a afectar al sistema en producción. Se considera que el sistema cumple los criterios de aceptación definidos en el plan de pruebas y está listo para la fase de despliegue documentada en la Parte I, sección 3.</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Style w:val="Heading2"/>
        <w:spacing w:after="150" w:before="300"/>
      </w:pPr>
      <w:r>
        <w:t xml:space="preserve">Anexo B — Estándar de Codificación</w:t>
      </w:r>
    </w:p>
    <w:p>
      <w:pPr>
        <w:pStyle w:val="Heading3"/>
        <w:spacing w:after="120" w:before="220"/>
      </w:pPr>
      <w:r>
        <w:t xml:space="preserve">1. Introducción</w:t>
      </w:r>
    </w:p>
    <w:p>
      <w:pPr>
        <w:spacing w:after="160"/>
      </w:pPr>
      <w:r>
        <w:t xml:space="preserve">El presente estándar define las convenciones, herramientas y prácticas aplicadas durante la construcción del proyecto, con el fin de garantizar un código legible, uniforme y mantenible a través de las distintas tecnologías que lo componen: el backend en TypeScript (NestJS), el frontend en TypeScript (React), el cliente móvil en Dart (Flutter) y el código Java (Spring Boot) producido por el motor generador. La adopción de un estándar común reduce los errores de transcripción, facilita el trabajo colaborativo y asegura la coherencia del producto final.</w:t>
      </w:r>
    </w:p>
    <w:p>
      <w:pPr>
        <w:pStyle w:val="Heading3"/>
        <w:spacing w:after="120" w:before="220"/>
      </w:pPr>
      <w:r>
        <w:t xml:space="preserve">2. Estándares Internacionales Implementados</w:t>
      </w:r>
    </w:p>
    <w:p>
      <w:pPr>
        <w:pStyle w:val="ListParagraph"/>
        <w:numPr>
          <w:ilvl w:val="0"/>
          <w:numId w:val="2"/>
        </w:numPr>
        <w:spacing w:after="100"/>
      </w:pPr>
      <w:r>
        <w:rPr>
          <w:b/>
          <w:bCs/>
        </w:rPr>
        <w:t xml:space="preserve">UML 2.5 (OMG): </w:t>
      </w:r>
      <w:r>
        <w:t xml:space="preserve">notación estándar para el modelado de los diagramas de clases, base conceptual de toda la herramienta.</w:t>
      </w:r>
    </w:p>
    <w:p>
      <w:pPr>
        <w:pStyle w:val="ListParagraph"/>
        <w:numPr>
          <w:ilvl w:val="0"/>
          <w:numId w:val="2"/>
        </w:numPr>
        <w:spacing w:after="100"/>
      </w:pPr>
      <w:r>
        <w:rPr>
          <w:b/>
          <w:bCs/>
        </w:rPr>
        <w:t xml:space="preserve">XMI 2.1 (OMG): </w:t>
      </w:r>
      <w:r>
        <w:t xml:space="preserve">formato estándar de intercambio de modelos para la importación y exportación con herramientas externas como Enterprise Architect.</w:t>
      </w:r>
    </w:p>
    <w:p>
      <w:pPr>
        <w:pStyle w:val="ListParagraph"/>
        <w:numPr>
          <w:ilvl w:val="0"/>
          <w:numId w:val="2"/>
        </w:numPr>
        <w:spacing w:after="100"/>
      </w:pPr>
      <w:r>
        <w:rPr>
          <w:b/>
          <w:bCs/>
        </w:rPr>
        <w:t xml:space="preserve">OpenAPI 3 / REST: </w:t>
      </w:r>
      <w:r>
        <w:t xml:space="preserve">los endpoints generados siguen el estilo arquitectónico REST y se documentan con la especificación OpenAPI 3 (Swagger UI).</w:t>
      </w:r>
    </w:p>
    <w:p>
      <w:pPr>
        <w:pStyle w:val="ListParagraph"/>
        <w:numPr>
          <w:ilvl w:val="0"/>
          <w:numId w:val="2"/>
        </w:numPr>
        <w:spacing w:after="100"/>
      </w:pPr>
      <w:r>
        <w:rPr>
          <w:b/>
          <w:bCs/>
        </w:rPr>
        <w:t xml:space="preserve">ISO/IEC 25010: </w:t>
      </w:r>
      <w:r>
        <w:t xml:space="preserve">atributos de calidad (mantenibilidad, portabilidad y fiabilidad) tomados como referencia del producto software.</w:t>
      </w:r>
    </w:p>
    <w:p>
      <w:pPr>
        <w:pStyle w:val="ListParagraph"/>
        <w:numPr>
          <w:ilvl w:val="0"/>
          <w:numId w:val="2"/>
        </w:numPr>
        <w:spacing w:after="100"/>
      </w:pPr>
      <w:r>
        <w:rPr>
          <w:b/>
          <w:bCs/>
        </w:rPr>
        <w:t xml:space="preserve">Convenciones de nomenclatura: </w:t>
      </w:r>
      <w:r>
        <w:t xml:space="preserve">TypeScript y Dart en camelCase (variables/funciones) y PascalCase (clases, tipos, componentes); Java en PascalCase para clases y camelCase para métodos, según Spring Boot; tablas de base de datos en snake_case.</w:t>
      </w:r>
    </w:p>
    <w:p>
      <w:pPr>
        <w:pStyle w:val="ListParagraph"/>
        <w:numPr>
          <w:ilvl w:val="0"/>
          <w:numId w:val="2"/>
        </w:numPr>
        <w:spacing w:after="100"/>
      </w:pPr>
      <w:r>
        <w:rPr>
          <w:b/>
          <w:bCs/>
        </w:rPr>
        <w:t xml:space="preserve">Arquitectura en capas: </w:t>
      </w:r>
      <w:r>
        <w:t xml:space="preserve">el backend generado respeta el patrón Controlador → Servicio → Repositorio → Entidad.</w:t>
      </w:r>
    </w:p>
    <w:p>
      <w:pPr>
        <w:pStyle w:val="Heading3"/>
        <w:spacing w:after="120" w:before="220"/>
      </w:pPr>
      <w:r>
        <w:t xml:space="preserve">3. Stack Tecnológico y Herramientas de Calidad</w:t>
      </w:r>
    </w:p>
    <w:p>
      <w:pPr>
        <w:spacing w:after="160"/>
      </w:pPr>
      <w:r>
        <w:t xml:space="preserve">El backend de la herramienta CASE está construido en NestJS + TypeScript (modo strict) con TypeORM y PostgreSQL; el frontend en React + Vite + TypeScript con React Flow; el cliente móvil en Flutter/Dart; y la salida generada en Spring Boot 3.3.4 con Java 17 y Maven. El aseguramiento de la calidad se apoya en herramientas automáticas:</w:t>
      </w:r>
    </w:p>
    <w:p>
      <w:pPr>
        <w:pStyle w:val="ListParagraph"/>
        <w:numPr>
          <w:ilvl w:val="0"/>
          <w:numId w:val="2"/>
        </w:numPr>
        <w:spacing w:after="100"/>
      </w:pPr>
      <w:r>
        <w:rPr>
          <w:b/>
          <w:bCs/>
        </w:rPr>
        <w:t xml:space="preserve">oxlint: </w:t>
      </w:r>
      <w:r>
        <w:t xml:space="preserve">analizador estático (linter) del código TypeScript en backend y frontend, que detecta errores y malas prácticas antes de la ejecución.</w:t>
      </w:r>
    </w:p>
    <w:p>
      <w:pPr>
        <w:pStyle w:val="ListParagraph"/>
        <w:numPr>
          <w:ilvl w:val="0"/>
          <w:numId w:val="2"/>
        </w:numPr>
        <w:spacing w:after="100"/>
      </w:pPr>
      <w:r>
        <w:rPr>
          <w:b/>
          <w:bCs/>
        </w:rPr>
        <w:t xml:space="preserve">Prettier: </w:t>
      </w:r>
      <w:r>
        <w:t xml:space="preserve">formateador automático con configuración uniforme (comillas simples y coma final en estructuras multilínea), evitando diffs ruidosos.</w:t>
      </w:r>
    </w:p>
    <w:p>
      <w:pPr>
        <w:pStyle w:val="ListParagraph"/>
        <w:numPr>
          <w:ilvl w:val="0"/>
          <w:numId w:val="2"/>
        </w:numPr>
        <w:spacing w:after="100"/>
      </w:pPr>
      <w:r>
        <w:rPr>
          <w:b/>
          <w:bCs/>
        </w:rPr>
        <w:t xml:space="preserve">TypeScript strict: </w:t>
      </w:r>
      <w:r>
        <w:t xml:space="preserve">verificación estricta de tipos en tiempo de compilación en backend y frontend.</w:t>
      </w:r>
    </w:p>
    <w:p>
      <w:pPr>
        <w:pStyle w:val="ListParagraph"/>
        <w:numPr>
          <w:ilvl w:val="0"/>
          <w:numId w:val="2"/>
        </w:numPr>
        <w:spacing w:after="100"/>
      </w:pPr>
      <w:r>
        <w:rPr>
          <w:b/>
          <w:bCs/>
        </w:rPr>
        <w:t xml:space="preserve">vitest: </w:t>
      </w:r>
      <w:r>
        <w:t xml:space="preserve">pruebas unitarias y de integración del backend, con medición de cobertura y pruebas end-to-end.</w:t>
      </w:r>
    </w:p>
    <w:p>
      <w:pPr>
        <w:pStyle w:val="ListParagraph"/>
        <w:numPr>
          <w:ilvl w:val="0"/>
          <w:numId w:val="2"/>
        </w:numPr>
        <w:spacing w:after="100"/>
      </w:pPr>
      <w:r>
        <w:rPr>
          <w:b/>
          <w:bCs/>
        </w:rPr>
        <w:t xml:space="preserve">flutter_lints y flutter analyze: </w:t>
      </w:r>
      <w:r>
        <w:t xml:space="preserve">reglas de análisis estático oficiales para el código Dart del cliente móvil.</w:t>
      </w:r>
    </w:p>
    <w:p>
      <w:pPr>
        <w:pStyle w:val="Heading3"/>
        <w:spacing w:after="120" w:before="220"/>
      </w:pPr>
      <w:r>
        <w:t xml:space="preserve">4. Configuración del Entorno de Desarrollo</w:t>
      </w:r>
    </w:p>
    <w:p>
      <w:pPr>
        <w:pStyle w:val="ListParagraph"/>
        <w:numPr>
          <w:ilvl w:val="0"/>
          <w:numId w:val="2"/>
        </w:numPr>
        <w:spacing w:after="100"/>
      </w:pPr>
      <w:r>
        <w:rPr>
          <w:b/>
          <w:bCs/>
        </w:rPr>
        <w:t xml:space="preserve">Requisitos: </w:t>
      </w:r>
      <w:r>
        <w:t xml:space="preserve">Node.js 22+, PostgreSQL en localhost:5432 y el SDK de Flutter.</w:t>
      </w:r>
    </w:p>
    <w:p>
      <w:pPr>
        <w:pStyle w:val="ListParagraph"/>
        <w:numPr>
          <w:ilvl w:val="0"/>
          <w:numId w:val="2"/>
        </w:numPr>
        <w:spacing w:after="100"/>
      </w:pPr>
      <w:r>
        <w:rPr>
          <w:b/>
          <w:bCs/>
        </w:rPr>
        <w:t xml:space="preserve">Variables de entorno (.env, nunca versionadas): </w:t>
      </w:r>
      <w:r>
        <w:t xml:space="preserve">credenciales de base de datos, GEMINI_API_KEY y AI_PROVIDER (para alternar entre IA en la nube y la IA local).</w:t>
      </w:r>
    </w:p>
    <w:p>
      <w:pPr>
        <w:pStyle w:val="ListParagraph"/>
        <w:numPr>
          <w:ilvl w:val="0"/>
          <w:numId w:val="2"/>
        </w:numPr>
        <w:spacing w:after="100"/>
      </w:pPr>
      <w:r>
        <w:rPr>
          <w:b/>
          <w:bCs/>
        </w:rPr>
        <w:t xml:space="preserve">Comandos estandarizados: </w:t>
      </w:r>
      <w:r>
        <w:t xml:space="preserve">npm run start:dev (desarrollo con recarga en caliente), npm run lint (oxlint), npm run format (Prettier), npm test y npm run test:cov (vitest), npm run test:e2e (end-to-end).</w:t>
      </w:r>
    </w:p>
    <w:p>
      <w:pPr>
        <w:pStyle w:val="ListParagraph"/>
        <w:numPr>
          <w:ilvl w:val="0"/>
          <w:numId w:val="2"/>
        </w:numPr>
        <w:spacing w:after="100"/>
      </w:pPr>
      <w:r>
        <w:rPr>
          <w:b/>
          <w:bCs/>
        </w:rPr>
        <w:t xml:space="preserve">Formateo automático al guardar </w:t>
      </w:r>
      <w:r>
        <w:t xml:space="preserve">habilitado en el editor, para mantener el estilo sin intervención manual.</w:t>
      </w:r>
    </w:p>
    <w:p>
      <w:pPr>
        <w:pStyle w:val="Heading3"/>
        <w:spacing w:after="120" w:before="220"/>
      </w:pPr>
      <w:r>
        <w:t xml:space="preserve">5. Flujo de Trabajo y Métricas</w:t>
      </w:r>
    </w:p>
    <w:p>
      <w:pPr>
        <w:pStyle w:val="ListParagraph"/>
        <w:numPr>
          <w:ilvl w:val="0"/>
          <w:numId w:val="2"/>
        </w:numPr>
        <w:spacing w:after="100"/>
      </w:pPr>
      <w:r>
        <w:rPr>
          <w:b/>
          <w:bCs/>
        </w:rPr>
        <w:t xml:space="preserve">Control de versiones con Git: </w:t>
      </w:r>
      <w:r>
        <w:t xml:space="preserve">cada avance se registra en commits con mensajes descriptivos y prefijos convencionales (feat, fix, docs), trazando la evolución del proyecto.</w:t>
      </w:r>
    </w:p>
    <w:p>
      <w:pPr>
        <w:pStyle w:val="ListParagraph"/>
        <w:numPr>
          <w:ilvl w:val="0"/>
          <w:numId w:val="2"/>
        </w:numPr>
        <w:spacing w:after="100"/>
      </w:pPr>
      <w:r>
        <w:rPr>
          <w:b/>
          <w:bCs/>
        </w:rPr>
        <w:t xml:space="preserve">Verificación previa a la integración: </w:t>
      </w:r>
      <w:r>
        <w:t xml:space="preserve">antes de validar un cambio se ejecutan el linter (oxlint / flutter analyze), el formateador y las pruebas automatizadas.</w:t>
      </w:r>
    </w:p>
    <w:p>
      <w:pPr>
        <w:pStyle w:val="ListParagraph"/>
        <w:numPr>
          <w:ilvl w:val="0"/>
          <w:numId w:val="2"/>
        </w:numPr>
        <w:spacing w:after="100"/>
      </w:pPr>
      <w:r>
        <w:rPr>
          <w:b/>
          <w:bCs/>
        </w:rPr>
        <w:t xml:space="preserve">Métricas de calidad: </w:t>
      </w:r>
      <w:r>
        <w:t xml:space="preserve">suite de pruebas del backend en verde con cobertura medida; verificación estricta de tipos (TypeScript strict); y pruebas específicas del motor generador que validan el pom.xml y las plantillas producidas.</w:t>
      </w:r>
    </w:p>
    <w:p>
      <w:pPr>
        <w:pStyle w:val="ListParagraph"/>
        <w:numPr>
          <w:ilvl w:val="0"/>
          <w:numId w:val="2"/>
        </w:numPr>
        <w:spacing w:after="100"/>
      </w:pPr>
      <w:r>
        <w:rPr>
          <w:b/>
          <w:bCs/>
        </w:rPr>
        <w:t xml:space="preserve">Revisión de código: </w:t>
      </w:r>
      <w:r>
        <w:t xml:space="preserve">el conocimiento del código por parte de los autores se verifica en la defensa presencial de autoría.</w:t>
      </w:r>
    </w:p>
    <w:p>
      <w:pPr>
        <w:pStyle w:val="Heading3"/>
        <w:spacing w:after="120" w:before="220"/>
      </w:pPr>
      <w:r>
        <w:t xml:space="preserve">6. Conclusión</w:t>
      </w:r>
    </w:p>
    <w:p>
      <w:pPr>
        <w:spacing w:after="160"/>
      </w:pPr>
      <w:r>
        <w:t xml:space="preserve">La aplicación de este estándar —soportado por herramientas automáticas de análisis estático, formateo, verificación de tipos y pruebas— asegura un nivel de calidad consistente a pesar de combinar cuatro lenguajes y plataformas distintas. El estándar no es solo un conjunto de recomendaciones: está respaldado por herramientas que lo hacen cumplir de forma automática, reduciendo la deuda técnica y facilitando la mantenibilidad y evolución futura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