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(Kanban, XP):</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siguiendo el marco de fases del PUDS de manera incremental a lo largo de varios ciclos de trabajo, en lugar de ejecutarlas una sola vez de forma estrictamente lineal.</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2. Captura De Requisitos</w:t>
      </w:r>
    </w:p>
    <w:p>
      <w:pPr>
        <w:pStyle w:val="Heading2"/>
        <w:spacing w:after="150" w:before="300"/>
      </w:pPr>
      <w:r>
        <w:t xml:space="preserve">2.1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2.2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2.3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2.4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3. Análisis</w:t>
      </w:r>
    </w:p>
    <w:p>
      <w:pPr>
        <w:pStyle w:val="Heading2"/>
        <w:spacing w:after="150" w:before="300"/>
      </w:pPr>
      <w:r>
        <w:t xml:space="preserve">3.1 Análisis De Arquitectura</w:t>
      </w:r>
    </w:p>
    <w:p>
      <w:pPr>
        <w:pStyle w:val="Heading3"/>
        <w:spacing w:after="120" w:before="220"/>
      </w:pPr>
      <w:r>
        <w:t xml:space="preserve">3.1.1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3.2.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3.3.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3.4.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4. Diseño</w:t>
      </w:r>
    </w:p>
    <w:p>
      <w:pPr>
        <w:pStyle w:val="Heading2"/>
        <w:spacing w:after="150" w:before="300"/>
      </w:pPr>
      <w:r>
        <w:t xml:space="preserve">4.1 Diseño de arquitectura</w:t>
      </w:r>
    </w:p>
    <w:p>
      <w:pPr>
        <w:pStyle w:val="Heading3"/>
        <w:spacing w:after="120" w:before="220"/>
      </w:pPr>
      <w:r>
        <w:t xml:space="preserve">4.1.1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4.1.2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4.2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4.3 Diseño de casos de uso</w:t>
      </w:r>
    </w:p>
    <w:p>
      <w:pPr>
        <w:pStyle w:val="Heading3"/>
        <w:spacing w:after="120" w:before="220"/>
      </w:pPr>
      <w:r>
        <w:t xml:space="preserve">4.3.1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5. Implementación</w:t>
      </w:r>
    </w:p>
    <w:p>
      <w:pPr>
        <w:pStyle w:val="Heading2"/>
        <w:spacing w:after="150" w:before="300"/>
      </w:pPr>
      <w:r>
        <w:t xml:space="preserve">5.1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5.2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Style w:val="Heading1"/>
        <w:spacing w:after="200" w:before="500"/>
      </w:pPr>
      <w:r>
        <w:t xml:space="preserve">6. Pruebas</w:t>
      </w:r>
    </w:p>
    <w:p>
      <w:r>
        <w:t xml:space="preserve">Esta fase valida que la implementación cumpla los requisitos definidos en el Perfil y el Modelo de Casos de Uso. A diferencia del resto de este documento, aquí no se describe lo que el sistema debería hacer, sino la evidencia concreta de que se verificó que lo hace.</w:t>
      </w:r>
    </w:p>
    <w:p>
      <w:pPr>
        <w:pStyle w:val="Heading2"/>
        <w:spacing w:after="150" w:before="300"/>
      </w:pPr>
      <w:r>
        <w:t xml:space="preserve">6.1 Plan de pruebas</w:t>
      </w:r>
    </w:p>
    <w:p>
      <w:pPr>
        <w:pStyle w:val="ListParagraph"/>
        <w:numPr>
          <w:ilvl w:val="0"/>
          <w:numId w:val="2"/>
        </w:numPr>
        <w:spacing w:after="100"/>
      </w:pPr>
      <w:r>
        <w:rPr>
          <w:b/>
          <w:bCs/>
        </w:rPr>
        <w:t xml:space="preserve">Alcance:</w:t>
      </w:r>
      <w:r>
        <w:t xml:space="preserve"> pruebas unitarias sobre la lógica pura del backend (el algoritmo de diff de la bitácora), pruebas funcionales del backend generado (Spring Boot) con Postman, y pruebas de integración y de sistema ejecutadas en vivo contra los servicios reales (PostgreSQL, Amazon S3, Google Gemini) y, para el sistema completo, contra el servidor de producción real en AWS (http://34.231.176.225), no contra localhost.</w:t>
      </w:r>
    </w:p>
    <w:p>
      <w:pPr>
        <w:pStyle w:val="ListParagraph"/>
        <w:numPr>
          <w:ilvl w:val="0"/>
          <w:numId w:val="2"/>
        </w:numPr>
        <w:spacing w:after="100"/>
      </w:pPr>
      <w:r>
        <w:rPr>
          <w:b/>
          <w:bCs/>
        </w:rPr>
        <w:t xml:space="preserve">Estrategia:</w:t>
      </w:r>
      <w:r>
        <w:t xml:space="preserve"> caja blanca (Vitest) para la lógica de negocio aislable, y caja negra (peticiones HTTP reales vía curl/Postman y verificación desde el navegador) para los endpoints REST, los WebSockets y el flujo end-to-end del usuario.</w:t>
      </w:r>
    </w:p>
    <w:p>
      <w:pPr>
        <w:pStyle w:val="ListParagraph"/>
        <w:numPr>
          <w:ilvl w:val="0"/>
          <w:numId w:val="2"/>
        </w:numPr>
        <w:spacing w:after="100"/>
      </w:pPr>
      <w:r>
        <w:rPr>
          <w:b/>
          <w:bCs/>
        </w:rPr>
        <w:t xml:space="preserve">Criterios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original.</w:t>
      </w:r>
    </w:p>
    <w:p>
      <w:pPr>
        <w:pStyle w:val="Heading2"/>
        <w:spacing w:after="150" w:before="300"/>
      </w:pPr>
      <w:r>
        <w:t xml:space="preserve">6.2 Diseño de pruebas (casos de prueba)</w:t>
      </w:r>
    </w:p>
    <w:p>
      <w:pPr>
        <w:pStyle w:val="ListParagraph"/>
        <w:numPr>
          <w:ilvl w:val="0"/>
          <w:numId w:val="2"/>
        </w:numPr>
        <w:spacing w:after="100"/>
      </w:pPr>
      <w:r>
        <w:rPr>
          <w:b/>
          <w:bCs/>
        </w:rPr>
        <w:t xml:space="preserve">CP-01 — Generación de backend Spring Boot:</w:t>
      </w:r>
      <w:r>
        <w:t xml:space="preserve"> a partir de un diagrama con relaciones 1:1, 1:N y N:N, el backend generado debe incluir las cuatro capas (Entity, Repository, Service, Controller) por clase, con las anotaciones JPA correctas (@OneToMany/@ManyToOne, tabla intermedia para N:N).</w:t>
      </w:r>
    </w:p>
    <w:p>
      <w:pPr>
        <w:pStyle w:val="ListParagraph"/>
        <w:numPr>
          <w:ilvl w:val="0"/>
          <w:numId w:val="2"/>
        </w:numPr>
        <w:spacing w:after="100"/>
      </w:pPr>
      <w:r>
        <w:rPr>
          <w:b/>
          <w:bCs/>
        </w:rPr>
        <w:t xml:space="preserve">CP-02 — Autenticación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eliminadas).</w:t>
      </w:r>
    </w:p>
    <w:p>
      <w:pPr>
        <w:pStyle w:val="ListParagraph"/>
        <w:numPr>
          <w:ilvl w:val="0"/>
          <w:numId w:val="2"/>
        </w:numPr>
        <w:spacing w:after="100"/>
      </w:pPr>
      <w:r>
        <w:rPr>
          <w:b/>
          <w:bCs/>
        </w:rPr>
        <w:t xml:space="preserve">CP-03 — Adjuntos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permitido (.exe) y verificar el rechazo.</w:t>
      </w:r>
    </w:p>
    <w:p>
      <w:pPr>
        <w:pStyle w:val="ListParagraph"/>
        <w:numPr>
          <w:ilvl w:val="0"/>
          <w:numId w:val="2"/>
        </w:numPr>
        <w:spacing w:after="100"/>
      </w:pPr>
      <w:r>
        <w:rPr>
          <w:b/>
          <w:bCs/>
        </w:rPr>
        <w:t xml:space="preserve">CP-04 — Colaboración en tiempo real:</w:t>
      </w:r>
      <w:r>
        <w:t xml:space="preserve"> con dos sesiones de navegador abiertas sobre el mismo diagrama, verificar que un cambio hecho en una se refleje en la otra vía WebSocket sin recargar la página.</w:t>
      </w:r>
    </w:p>
    <w:p>
      <w:pPr>
        <w:pStyle w:val="ListParagraph"/>
        <w:numPr>
          <w:ilvl w:val="0"/>
          <w:numId w:val="2"/>
        </w:numPr>
        <w:spacing w:after="100"/>
      </w:pPr>
      <w:r>
        <w:rPr>
          <w:b/>
          <w:bCs/>
        </w:rPr>
        <w:t xml:space="preserve">Componente de prueba:</w:t>
      </w:r>
      <w:r>
        <w:t xml:space="preserve"> la suite model-diff.util.spec.ts (Vitest) ejercita la función pura summarizeModelDiff con 7 casos — clase agregada, eliminada, renombrada, atributos y operaciones modificados, y relaciones agregadas/eliminadas/con tipo cambiado — sin depender de base de datos ni red.</w:t>
      </w:r>
    </w:p>
    <w:p>
      <w:pPr>
        <w:pStyle w:val="Heading2"/>
        <w:spacing w:after="150" w:before="300"/>
      </w:pPr>
      <w:r>
        <w:t xml:space="preserve">6.3 Pruebas de integración</w:t>
      </w:r>
    </w:p>
    <w:p>
      <w:pPr>
        <w:pStyle w:val="ListParagraph"/>
        <w:numPr>
          <w:ilvl w:val="0"/>
          <w:numId w:val="2"/>
        </w:numPr>
        <w:spacing w:after="100"/>
      </w:pPr>
      <w:r>
        <w:rPr>
          <w:b/>
          <w:bCs/>
        </w:rPr>
        <w:t xml:space="preserve">Frontend ↔ Backend (vía Nginx):</w:t>
      </w:r>
      <w:r>
        <w:t xml:space="preserve"> en producción, Nginx actúa como proxy reverso hacia NestJS para /auth, /diagrams, /attachments, /generator, /ai y /socket.io. Se verificó cada ruta con peticiones reales contra la IP pública.</w:t>
      </w:r>
    </w:p>
    <w:p>
      <w:pPr>
        <w:pStyle w:val="ListParagraph"/>
        <w:numPr>
          <w:ilvl w:val="0"/>
          <w:numId w:val="2"/>
        </w:numPr>
        <w:spacing w:after="100"/>
      </w:pPr>
      <w:r>
        <w:rPr>
          <w:b/>
          <w:bCs/>
        </w:rPr>
        <w:t xml:space="preserve">Backend ↔ PostgreSQL:</w:t>
      </w:r>
      <w:r>
        <w:t xml:space="preserve"> persistencia de diagramas, relaciones y entradas de la bitácora, con DB_SYNCHRONIZE=true generando el esquema automáticamente al iniciar el contenedor.</w:t>
      </w:r>
    </w:p>
    <w:p>
      <w:pPr>
        <w:pStyle w:val="ListParagraph"/>
        <w:numPr>
          <w:ilvl w:val="0"/>
          <w:numId w:val="2"/>
        </w:numPr>
        <w:spacing w:after="100"/>
      </w:pPr>
      <w:r>
        <w:rPr>
          <w:b/>
          <w:bCs/>
        </w:rPr>
        <w:t xml:space="preserve">Backend ↔ Amazon S3:</w:t>
      </w:r>
      <w:r>
        <w:t xml:space="preserve"> subida, descarga con URL firmada (expira en 5 minutos) y eliminación, verificadas contra el bucket real diagramador-uml-adjuntos-fernando, no contra un mock.</w:t>
      </w:r>
    </w:p>
    <w:p>
      <w:pPr>
        <w:pStyle w:val="ListParagraph"/>
        <w:numPr>
          <w:ilvl w:val="0"/>
          <w:numId w:val="2"/>
        </w:numPr>
        <w:spacing w:after="100"/>
      </w:pPr>
      <w:r>
        <w:rPr>
          <w:b/>
          <w:bCs/>
        </w:rPr>
        <w:t xml:space="preserve">Backend ↔ Google Gemini:</w:t>
      </w:r>
      <w:r>
        <w:t xml:space="preserve"> el chat conversacional, el dictado por voz y la interpretación de fotografías de diagramas dibujados a mano se probaron contra el servicio real de IA, no contra una respuesta simulada.</w:t>
      </w:r>
    </w:p>
    <w:p>
      <w:r>
        <w:t xml:space="preserve">Defectos encontrados y corregidos durante la integración (antes del primer despliegue a producción, gracias a un ensayo local completo con Docker Compose sobre la misma imagen que se desplegaría):</w:t>
      </w:r>
    </w:p>
    <w:p>
      <w:pPr>
        <w:pStyle w:val="ListParagraph"/>
        <w:numPr>
          <w:ilvl w:val="0"/>
          <w:numId w:val="2"/>
        </w:numPr>
        <w:spacing w:after="100"/>
      </w:pPr>
      <w:r>
        <w:rPr>
          <w:b/>
          <w:bCs/>
        </w:rPr>
        <w:t xml:space="preserve">Rutas de Nginx incompletas:</w:t>
      </w:r>
      <w:r>
        <w:t xml:space="preserve"> nginx.conf no reenviaba /auth ni /attachments al backend — se habían agregado esos módulos después de escribir la configuración original. Sin el fix, login y adjuntos habrían devuelto el HTML de la SPA en vez de JSON en producción, aunque funcionaran en desarrollo.</w:t>
      </w:r>
    </w:p>
    <w:p>
      <w:pPr>
        <w:pStyle w:val="ListParagraph"/>
        <w:numPr>
          <w:ilvl w:val="0"/>
          <w:numId w:val="2"/>
        </w:numPr>
        <w:spacing w:after="100"/>
      </w:pPr>
      <w:r>
        <w:rPr>
          <w:b/>
          <w:bCs/>
        </w:rPr>
        <w:t xml:space="preserve">Incompatibilidad de versión de Node/npm en el build:</w:t>
      </w:r>
      <w:r>
        <w:t xml:space="preserve"> node:22-alpine (npm 10.x) resolvía package-lock.json de forma distinta al npm 11.x local, y npm ci fallaba dentro del contenedor con “Missing: typescript@5.9.3 from lock file”. Se corrigió alineando ambos Dockerfiles a node:24-alpine.</w:t>
      </w:r>
    </w:p>
    <w:p>
      <w:pPr>
        <w:pStyle w:val="ListParagraph"/>
        <w:numPr>
          <w:ilvl w:val="0"/>
          <w:numId w:val="2"/>
        </w:numPr>
        <w:spacing w:after="100"/>
      </w:pPr>
      <w:r>
        <w:rPr>
          <w:b/>
          <w:bCs/>
        </w:rPr>
        <w:t xml:space="preserve">Variables de entorno incompletas en Docker Compose:</w:t>
      </w:r>
      <w:r>
        <w:t xml:space="preserve"> docker-compose.prod.yml no exponía JWT_SECRET ni las variables AWS_* al contenedor del backend — se agregaron esas variables después de escribir el archivo original.</w:t>
      </w:r>
    </w:p>
    <w:p>
      <w:pPr>
        <w:pStyle w:val="Heading2"/>
        <w:spacing w:after="150" w:before="300"/>
      </w:pPr>
      <w:r>
        <w:t xml:space="preserve">6.4 Pruebas de sistema</w:t>
      </w:r>
    </w:p>
    <w:p>
      <w:r>
        <w:t xml:space="preserve">Se ejecutó el flujo completo extremo a extremo contra el servidor de producción real (http://34.231.176.225), no contra un entorno local:</w:t>
      </w:r>
    </w:p>
    <w:p>
      <w:pPr>
        <w:pStyle w:val="ListParagraph"/>
        <w:numPr>
          <w:ilvl w:val="0"/>
          <w:numId w:val="2"/>
        </w:numPr>
        <w:spacing w:after="100"/>
      </w:pPr>
      <w:r>
        <w:rPr>
          <w:b/>
          <w:bCs/>
        </w:rPr>
        <w:t xml:space="preserve">SYS-01 — Registro, autenticación y creación de diagrama:</w:t>
      </w:r>
      <w:r>
        <w:t xml:space="preserve"> un usuario nuevo se registra, inicia sesión, crea un diagrama y agrega clases — resultado: correcto.</w:t>
      </w:r>
    </w:p>
    <w:p>
      <w:pPr>
        <w:pStyle w:val="ListParagraph"/>
        <w:numPr>
          <w:ilvl w:val="0"/>
          <w:numId w:val="2"/>
        </w:numPr>
        <w:spacing w:after="100"/>
      </w:pPr>
      <w:r>
        <w:rPr>
          <w:b/>
          <w:bCs/>
        </w:rPr>
        <w:t xml:space="preserve">SYS-02 — Bitácora de cambios:</w:t>
      </w:r>
      <w:r>
        <w:t xml:space="preserve"> cada modificación queda registrada con el nombre real del usuario y un resumen del cambio — resultado: correcto.</w:t>
      </w:r>
    </w:p>
    <w:p>
      <w:pPr>
        <w:pStyle w:val="ListParagraph"/>
        <w:numPr>
          <w:ilvl w:val="0"/>
          <w:numId w:val="2"/>
        </w:numPr>
        <w:spacing w:after="100"/>
      </w:pPr>
      <w:r>
        <w:rPr>
          <w:b/>
          <w:bCs/>
        </w:rPr>
        <w:t xml:space="preserve">SYS-03 — Documentos adjuntos:</w:t>
      </w:r>
      <w:r>
        <w:t xml:space="preserve"> subida a S3 real desde dentro de la infraestructura de AWS — resultado: correcto.</w:t>
      </w:r>
    </w:p>
    <w:p>
      <w:pPr>
        <w:pStyle w:val="ListParagraph"/>
        <w:numPr>
          <w:ilvl w:val="0"/>
          <w:numId w:val="2"/>
        </w:numPr>
        <w:spacing w:after="100"/>
      </w:pPr>
      <w:r>
        <w:rPr>
          <w:b/>
          <w:bCs/>
        </w:rPr>
        <w:t xml:space="preserve">SYS-04 — Generación de backend Spring Boot:</w:t>
      </w:r>
      <w:r>
        <w:t xml:space="preserve"> descarga del proyecto generado, revisión de las cuatro capas por clase — resultado: correcto.</w:t>
      </w:r>
    </w:p>
    <w:p>
      <w:pPr>
        <w:pStyle w:val="ListParagraph"/>
        <w:numPr>
          <w:ilvl w:val="0"/>
          <w:numId w:val="2"/>
        </w:numPr>
        <w:spacing w:after="100"/>
      </w:pPr>
      <w:r>
        <w:rPr>
          <w:b/>
          <w:bCs/>
        </w:rPr>
        <w:t xml:space="preserve">SYS-05 — Recuperación ante reinicio del servidor:</w:t>
      </w:r>
      <w:r>
        <w:t xml:space="preserve"> los tres contenedores (restart: unless-stopped, Docker habilitado al arranque) vuelven a levantarse automáticamente tras un reinicio de la instancia EC2, sin intervención manual.</w:t>
      </w:r>
    </w:p>
    <w:p>
      <w:pPr>
        <w:pStyle w:val="Heading2"/>
        <w:spacing w:after="150" w:before="300"/>
      </w:pPr>
      <w:r>
        <w:t xml:space="preserve">6.5 Evaluación de las pruebas</w:t>
      </w:r>
    </w:p>
    <w:p>
      <w:r>
        <w:t xml:space="preserve">Todos los casos de prueba diseñados en 6.2 se ejecutaron y pasaron. Los tres defectos encontrados durante la integración (6.3) se detectaron antes de tocar la infraestructura de AWS —gracias a ensayar primero la pila completa de Docker Compose en local— y se corrigieron y verificaron antes del primer despliegue real, por lo que ninguno llegó a afectar al sistema en producción. Se considera que el sistema cumple los criterios de aceptación definidos en el plan de pruebas y está listo para la fase de despliegue documentada en la Parte I, sección 3.</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