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sz w:val="36"/>
          <w:szCs w:val="36"/>
        </w:rPr>
        <w:t xml:space="preserve">Caso de Gestión — Licitación Ministerio de Salud</w:t>
      </w:r>
    </w:p>
    <w:p>
      <w:pPr>
        <w:spacing w:after="400"/>
        <w:jc w:val="center"/>
      </w:pPr>
      <w:r>
        <w:rPr>
          <w:i/>
          <w:iCs/>
          <w:color w:val="555555"/>
          <w:sz w:val="24"/>
          <w:szCs w:val="24"/>
        </w:rPr>
        <w:t xml:space="preserve">Estrategia gerencial ante una brecha de 6 vs. 12 meses de estimación</w:t>
      </w:r>
    </w:p>
    <w:p>
      <w:pPr>
        <w:pStyle w:val="Heading1"/>
        <w:spacing w:after="200" w:before="400"/>
      </w:pPr>
      <w:r>
        <w:t xml:space="preserve">1. Diagnóstico del problema</w:t>
      </w:r>
    </w:p>
    <w:p>
      <w:pPr>
        <w:spacing w:after="160"/>
      </w:pPr>
      <w:r>
        <w:t xml:space="preserve">La empresa ganó una licitación pública con el Ministerio de Salud para digitalizar historiales clínicos, construir una app móvil de reserva de fichas, habilitar telemedicina para tratamientos crónicos y generar reportes estadísticos gerenciales. El cliente exige entrega en 6 meses; la estimación técnica interna —basada en el alcance completo de los cuatro módulos— es de 12 meses.</w:t>
      </w:r>
    </w:p>
    <w:p>
      <w:pPr>
        <w:spacing w:after="160"/>
      </w:pPr>
      <w:r>
        <w:t xml:space="preserve">Este no es un problema de "trabajar más rápido": es una brecha estructural de alcance contra tiempo. La Ley de Brooks es clara al respecto —"agregar personal a un proyecto de software atrasado lo atrasa aún más"— porque cada persona nueva añade curva de aprendizaje y canales de comunicación adicionales sin aportar productividad inmediata. Contratar masivamente para "comprimir" 12 meses de trabajo en 6 no es viable ni responsable con un cliente del sector salud, donde los errores tienen consecuencias sobre datos clínicos reales.</w:t>
      </w:r>
    </w:p>
    <w:p>
      <w:pPr>
        <w:spacing w:after="160"/>
      </w:pPr>
      <w:r>
        <w:t xml:space="preserve">La estrategia correcta no es forzar el alcance completo en la mitad del tiempo, sino redefinir qué significa "entrega en 6 meses": un producto funcional y auditable que cubra lo más crítico y visible del contrato, con el resto en fases posteriores bajo el mismo contrato de mantenimiento/expansión.</w:t>
      </w:r>
    </w:p>
    <w:p>
      <w:pPr>
        <w:pStyle w:val="Heading1"/>
        <w:spacing w:after="200" w:before="400"/>
      </w:pPr>
      <w:r>
        <w:t xml:space="preserve">2. Estrategia de personal</w:t>
      </w:r>
    </w:p>
    <w:p>
      <w:pPr>
        <w:pStyle w:val="Heading2"/>
        <w:spacing w:after="150" w:before="300"/>
      </w:pPr>
      <w:r>
        <w:t xml:space="preserve">2.1 Reorganización en squads paralelos, no un solo equipo gigante</w:t>
      </w:r>
    </w:p>
    <w:p>
      <w:pPr>
        <w:spacing w:after="160"/>
      </w:pPr>
      <w:r>
        <w:t xml:space="preserve">Con 100+ ingenieros disponibles, el error más común es asignar a todos al mismo backlog secuencial. En su lugar, se organiza el trabajo en squads multifuncionales (backend, frontend, QA) alineados a los cuatro módulos del contrato — historiales, reservas, telemedicina, reportes — de forma que avancen en paralelo con dependencias mínimas entre sí (arquitectura de microservicios, ver sección 4). Esto es lo que realmente permite acelerar sin caer en la trampa de Brooks: no es "más gente en el mismo camino crítico", es "menos camino crítico compartido".</w:t>
      </w:r>
    </w:p>
    <w:p>
      <w:pPr>
        <w:pStyle w:val="Heading2"/>
        <w:spacing w:after="150" w:before="300"/>
      </w:pPr>
      <w:r>
        <w:t xml:space="preserve">2.2 Reasignación interna antes que contratación</w:t>
      </w:r>
    </w:p>
    <w:p>
      <w:pPr>
        <w:spacing w:after="160"/>
      </w:pPr>
      <w:r>
        <w:t xml:space="preserve">Se hace un inventario de los proyectos ERP/MRP actuales y se negocia con esos clientes la pausa o desaceleración de trabajo no crítico durante 6 meses, liberando ingenieros senior con dominio de la arquitectura de la empresa hacia los squads del Ministerio de Salud. Esto es más rápido y más barato que contratar, y mantiene el conocimiento institucional dentro del proyecto crítico.</w:t>
      </w:r>
    </w:p>
    <w:p>
      <w:pPr>
        <w:pStyle w:val="Heading2"/>
        <w:spacing w:after="150" w:before="300"/>
      </w:pPr>
      <w:r>
        <w:t xml:space="preserve">2.3 Contratación selectiva, no masiva</w:t>
      </w:r>
    </w:p>
    <w:p>
      <w:pPr>
        <w:spacing w:after="160"/>
      </w:pPr>
      <w:r>
        <w:t xml:space="preserve">Solo se contrata donde hay una brecha real de habilidad, no de cantidad:</w:t>
      </w:r>
    </w:p>
    <w:p>
      <w:pPr>
        <w:pStyle w:val="ListParagraph"/>
        <w:numPr>
          <w:ilvl w:val="0"/>
          <w:numId w:val="2"/>
        </w:numPr>
        <w:spacing w:after="100"/>
      </w:pPr>
      <w:r>
        <w:t xml:space="preserve">2–3 especialistas en interoperabilidad clínica (HL7 FHIR, estándares de historia clínica electrónica) vía contrato temporal — es la brecha de dominio más grande del equipo actual, orientado a ERP/MRP.</w:t>
      </w:r>
    </w:p>
    <w:p>
      <w:pPr>
        <w:pStyle w:val="ListParagraph"/>
        <w:numPr>
          <w:ilvl w:val="0"/>
          <w:numId w:val="2"/>
        </w:numPr>
        <w:spacing w:after="100"/>
      </w:pPr>
      <w:r>
        <w:t xml:space="preserve">1 responsable de seguridad/cumplimiento normativo en salud (protección de datos sensibles de pacientes), dado que es un requisito no negociable en un contrato de gobierno.</w:t>
      </w:r>
    </w:p>
    <w:p>
      <w:pPr>
        <w:spacing w:after="160"/>
      </w:pPr>
      <w:r>
        <w:t xml:space="preserve">Contratar en bloque a decenas de desarrolladores generalistas no resuelve el problema — el cuello de botella no es mano de obra genérica, es conocimiento de dominio específico.</w:t>
      </w:r>
    </w:p>
    <w:p>
      <w:pPr>
        <w:pStyle w:val="Heading2"/>
        <w:spacing w:after="150" w:before="300"/>
      </w:pPr>
      <w:r>
        <w:t xml:space="preserve">2.4 Horas extra: herramienta táctica, no estructural</w:t>
      </w:r>
    </w:p>
    <w:p>
      <w:pPr>
        <w:spacing w:after="160"/>
      </w:pPr>
      <w:r>
        <w:t xml:space="preserve">Se autorizan horas extra remuneradas por encima del promedio, pero limitadas a las primeras 6–8 semanas del proyecto y solo para el equipo trabajando en el spike técnico crítico (migración de historiales, ver Fase 0 del roadmap). Sostener sobretiempo durante 6 meses continuos degrada la calidad del código, aumenta el riesgo de errores en un sistema de salud y eleva la rotación de personal — el costo oculto de "quemar" al equipo supera cualquier ganancia de corto plazo.</w:t>
      </w:r>
    </w:p>
    <w:p>
      <w:pPr>
        <w:pStyle w:val="Heading1"/>
        <w:spacing w:after="200" w:before="400"/>
      </w:pPr>
      <w:r>
        <w:t xml:space="preserve">3. Justificación de costos</w:t>
      </w:r>
    </w:p>
    <w:p>
      <w:pPr>
        <w:spacing w:after="160"/>
      </w:pPr>
      <w:r>
        <w:t xml:space="preserve">El incremento de costo frente a la estimación original viene de tres fuentes: los squads paralelos (más coordinación, más líderes técnicos), la contratación especializada, y la subcontratación de telemedicina (sección 4). Este costo adicional se justifica ante la gerencia y ante el cliente comparándolo, no contra el presupuesto original, sino contra el costo de no cumplir:</w:t>
      </w:r>
    </w:p>
    <w:p>
      <w:pPr>
        <w:pStyle w:val="ListParagraph"/>
        <w:numPr>
          <w:ilvl w:val="0"/>
          <w:numId w:val="2"/>
        </w:numPr>
        <w:spacing w:after="100"/>
      </w:pPr>
      <w:r>
        <w:t xml:space="preserve">Penalidades contractuales por incumplimiento de plazo en un contrato público (cláusulas habituales en licitaciones estatales).</w:t>
      </w:r>
    </w:p>
    <w:p>
      <w:pPr>
        <w:pStyle w:val="ListParagraph"/>
        <w:numPr>
          <w:ilvl w:val="0"/>
          <w:numId w:val="2"/>
        </w:numPr>
        <w:spacing w:after="100"/>
      </w:pPr>
      <w:r>
        <w:t xml:space="preserve">Riesgo reputacional e inhabilitación para futuras licitaciones del Estado — el costo de perder la línea de negocio de contratos gubernamentales excede ampliamente el sobrecosto de esta entrega.</w:t>
      </w:r>
    </w:p>
    <w:p>
      <w:pPr>
        <w:pStyle w:val="ListParagraph"/>
        <w:numPr>
          <w:ilvl w:val="0"/>
          <w:numId w:val="2"/>
        </w:numPr>
        <w:spacing w:after="100"/>
      </w:pPr>
      <w:r>
        <w:t xml:space="preserve">Costo de re-trabajo: prometer el alcance completo en 6 meses sin cambiar la estrategia llevaría a una entrega apurada y de baja calidad, generando soporte correctivo más caro que la inversión inicial en hacerlo bien por fases.</w:t>
      </w:r>
    </w:p>
    <w:p>
      <w:pPr>
        <w:spacing w:after="160"/>
      </w:pPr>
      <w:r>
        <w:t xml:space="preserve">En síntesis: el sobrecosto no es un gasto adicional discrecional, es el precio de convertir un riesgo contractual y reputacional en un plan de entrega creíble y verificable por el cliente.</w:t>
      </w:r>
    </w:p>
    <w:p>
      <w:pPr>
        <w:pStyle w:val="Heading1"/>
        <w:spacing w:after="200" w:before="400"/>
      </w:pPr>
      <w:r>
        <w:t xml:space="preserve">4. Arquitectura tecnológica propuesta</w:t>
      </w:r>
    </w:p>
    <w:p>
      <w:pPr>
        <w:spacing w:after="160"/>
      </w:pPr>
      <w:r>
        <w:t xml:space="preserve">La arquitectura debe habilitar exactamente lo que la estrategia de personal necesita: equipos trabajando en paralelo sin bloquearse entre sí.</w:t>
      </w:r>
    </w:p>
    <w:p>
      <w:pPr>
        <w:pStyle w:val="ListParagraph"/>
        <w:numPr>
          <w:ilvl w:val="0"/>
          <w:numId w:val="2"/>
        </w:numPr>
        <w:spacing w:after="100"/>
      </w:pPr>
      <w:r>
        <w:t xml:space="preserve">Arquitectura de microservicios (o monolito modular con límites claros) por dominio: Historiales, Reservas, Telemedicina, Reportes — cada uno desplegable de forma independiente, cada uno "dueño" de un squad.</w:t>
      </w:r>
    </w:p>
    <w:p>
      <w:pPr>
        <w:pStyle w:val="ListParagraph"/>
        <w:numPr>
          <w:ilvl w:val="0"/>
          <w:numId w:val="2"/>
        </w:numPr>
        <w:spacing w:after="100"/>
      </w:pPr>
      <w:r>
        <w:t xml:space="preserve">Estándar HL7 FHIR para historiales clínicos, no un modelo de datos propietario — reduce el riesgo de interoperabilidad con sistemas hospitalarios existentes y es exigible en auditorías del sector salud.</w:t>
      </w:r>
    </w:p>
    <w:p>
      <w:pPr>
        <w:pStyle w:val="ListParagraph"/>
        <w:numPr>
          <w:ilvl w:val="0"/>
          <w:numId w:val="2"/>
        </w:numPr>
        <w:spacing w:after="100"/>
      </w:pPr>
      <w:r>
        <w:t xml:space="preserve">App móvil multiplataforma (Flutter o React Native) para la reserva de fichas — un solo código base para Android/iOS acelera la Fase 1 sin duplicar esfuerzo.</w:t>
      </w:r>
    </w:p>
    <w:p>
      <w:pPr>
        <w:pStyle w:val="ListParagraph"/>
        <w:numPr>
          <w:ilvl w:val="0"/>
          <w:numId w:val="2"/>
        </w:numPr>
        <w:spacing w:after="100"/>
      </w:pPr>
      <w:r>
        <w:t xml:space="preserve">Telemedicina vía integración con un proveedor externo de videoconsulta (SaaS/API de WebRTC ya certificado), en vez de construir infraestructura de video propia desde cero — reduce meses de desarrollo no diferenciador.</w:t>
      </w:r>
    </w:p>
    <w:p>
      <w:pPr>
        <w:pStyle w:val="ListParagraph"/>
        <w:numPr>
          <w:ilvl w:val="0"/>
          <w:numId w:val="2"/>
        </w:numPr>
        <w:spacing w:after="100"/>
      </w:pPr>
      <w:r>
        <w:t xml:space="preserve">Infraestructura contenedorizada (Docker/Kubernetes) con CI/CD por servicio, para que cada squad despliegue sin esperar a los demás y se mantenga calidad bajo presión de tiempo mediante pruebas automatizadas.</w:t>
      </w:r>
    </w:p>
    <w:p>
      <w:pPr>
        <w:pStyle w:val="ListParagraph"/>
        <w:numPr>
          <w:ilvl w:val="0"/>
          <w:numId w:val="2"/>
        </w:numPr>
        <w:spacing w:after="100"/>
      </w:pPr>
      <w:r>
        <w:t xml:space="preserve">PostgreSQL como base de datos relacional principal, con cifrado en reposo y control de acceso por rol dado el carácter sensible de los datos clínicos.</w:t>
      </w:r>
    </w:p>
    <w:p>
      <w:pPr>
        <w:pStyle w:val="Heading1"/>
        <w:spacing w:after="200" w:before="400"/>
      </w:pPr>
      <w:r>
        <w:t xml:space="preserve">5. Plan de mitigación de riesgos</w:t>
      </w:r>
    </w:p>
    <w:p>
      <w:pPr>
        <w:pStyle w:val="ListParagraph"/>
        <w:numPr>
          <w:ilvl w:val="0"/>
          <w:numId w:val="2"/>
        </w:numPr>
        <w:spacing w:after="100"/>
      </w:pPr>
      <w:r>
        <w:t xml:space="preserve">Comité de seguimiento quincenal con el cliente (Ministerio de Salud) para alinear expectativas y evitar cambios de alcance no controlados ("scope creep") sobre el compromiso de 6 meses.</w:t>
      </w:r>
    </w:p>
    <w:p>
      <w:pPr>
        <w:pStyle w:val="ListParagraph"/>
        <w:numPr>
          <w:ilvl w:val="0"/>
          <w:numId w:val="2"/>
        </w:numPr>
        <w:spacing w:after="100"/>
      </w:pPr>
      <w:r>
        <w:t xml:space="preserve">Spike técnico temprano (primeras 4 semanas) sobre la migración de historiales clínicos: es el riesgo técnico más alto e incierto del proyecto, y se valida antes de comprometer al resto del equipo sobre esa base.</w:t>
      </w:r>
    </w:p>
    <w:p>
      <w:pPr>
        <w:pStyle w:val="ListParagraph"/>
        <w:numPr>
          <w:ilvl w:val="0"/>
          <w:numId w:val="2"/>
        </w:numPr>
        <w:spacing w:after="100"/>
      </w:pPr>
      <w:r>
        <w:t xml:space="preserve">Entregas incrementales cada 2 semanas (Scrum) con demo funcional al cliente, para detectar desalineaciones temprano en vez de al final del plazo.</w:t>
      </w:r>
    </w:p>
    <w:p>
      <w:pPr>
        <w:pStyle w:val="ListParagraph"/>
        <w:numPr>
          <w:ilvl w:val="0"/>
          <w:numId w:val="2"/>
        </w:numPr>
        <w:spacing w:after="100"/>
      </w:pPr>
      <w:r>
        <w:t xml:space="preserve">Squad de seguridad/cumplimiento como revisor transversal de los otros tres squads, no solo un módulo aislado.</w:t>
      </w:r>
    </w:p>
    <w:p>
      <w:pPr>
        <w:pStyle w:val="Heading1"/>
        <w:spacing w:after="200" w:before="400"/>
      </w:pPr>
      <w:r>
        <w:t xml:space="preserve">6. Roadmap de entrega por fases</w:t>
      </w:r>
    </w:p>
    <w:p>
      <w:pPr>
        <w:spacing w:after="160"/>
      </w:pPr>
      <w:r>
        <w:t xml:space="preserve">La entrega de 6 meses se cumple como Fase 1 (MVP): lo más visible y de mayor impacto operativo para el Ministerio — historiales digitalizados y app de reservas. Telemedicina y reportes avanzados se entregan en fases posteriores bajo el mismo contrato, evitando tanto el incumplimiento del plazo como una entrega apresurada de baja calidad.</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3200"/>
        <w:gridCol w:w="1800"/>
      </w:tblGrid>
      <w:tr>
        <w:tc>
          <w:tcPr>
            <w:tcW w:type="dxa" w:w="1600"/>
            <w:shd w:fill="D9D9D9" w:val="clear"/>
          </w:tcPr>
          <w:p>
            <w:r>
              <w:rPr>
                <w:b/>
                <w:bCs/>
              </w:rPr>
              <w:t xml:space="preserve">Fase</w:t>
            </w:r>
          </w:p>
        </w:tc>
        <w:tc>
          <w:tcPr>
            <w:tcW w:type="dxa" w:w="3200"/>
            <w:shd w:fill="D9D9D9" w:val="clear"/>
          </w:tcPr>
          <w:p>
            <w:r>
              <w:rPr>
                <w:b/>
                <w:bCs/>
              </w:rPr>
              <w:t xml:space="preserve">Alcance funcional</w:t>
            </w:r>
          </w:p>
        </w:tc>
        <w:tc>
          <w:tcPr>
            <w:tcW w:type="dxa" w:w="3200"/>
            <w:shd w:fill="D9D9D9" w:val="clear"/>
          </w:tcPr>
          <w:p>
            <w:r>
              <w:rPr>
                <w:b/>
                <w:bCs/>
              </w:rPr>
              <w:t xml:space="preserve">Squad responsable</w:t>
            </w:r>
          </w:p>
        </w:tc>
        <w:tc>
          <w:tcPr>
            <w:tcW w:type="dxa" w:w="1800"/>
            <w:shd w:fill="D9D9D9" w:val="clear"/>
          </w:tcPr>
          <w:p>
            <w:r>
              <w:rPr>
                <w:b/>
                <w:bCs/>
              </w:rPr>
              <w:t xml:space="preserve">Entrega</w:t>
            </w:r>
          </w:p>
        </w:tc>
      </w:tr>
      <w:tr>
        <w:tc>
          <w:tcPr>
            <w:tcW w:type="dxa" w:w="1600"/>
          </w:tcPr>
          <w:p>
            <w:r>
              <w:rPr>
                <w:b w:val="false"/>
                <w:bCs w:val="false"/>
              </w:rPr>
              <w:t xml:space="preserve">0</w:t>
            </w:r>
          </w:p>
        </w:tc>
        <w:tc>
          <w:tcPr>
            <w:tcW w:type="dxa" w:w="3200"/>
          </w:tcPr>
          <w:p>
            <w:r>
              <w:rPr>
                <w:b w:val="false"/>
                <w:bCs w:val="false"/>
              </w:rPr>
              <w:t xml:space="preserve">Spike técnico: piloto de migración/interoperabilidad de historiales clínicos (HL7 FHIR) sobre una muestra real</w:t>
            </w:r>
          </w:p>
        </w:tc>
        <w:tc>
          <w:tcPr>
            <w:tcW w:type="dxa" w:w="3200"/>
          </w:tcPr>
          <w:p>
            <w:r>
              <w:rPr>
                <w:b w:val="false"/>
                <w:bCs w:val="false"/>
              </w:rPr>
              <w:t xml:space="preserve">Squad Historiales + Arquitecto</w:t>
            </w:r>
          </w:p>
        </w:tc>
        <w:tc>
          <w:tcPr>
            <w:tcW w:type="dxa" w:w="1800"/>
          </w:tcPr>
          <w:p>
            <w:r>
              <w:rPr>
                <w:b w:val="false"/>
                <w:bCs w:val="false"/>
              </w:rPr>
              <w:t xml:space="preserve">Semana 4</w:t>
            </w:r>
          </w:p>
        </w:tc>
      </w:tr>
      <w:tr>
        <w:tc>
          <w:tcPr>
            <w:tcW w:type="dxa" w:w="1600"/>
          </w:tcPr>
          <w:p>
            <w:r>
              <w:rPr>
                <w:b w:val="false"/>
                <w:bCs w:val="false"/>
              </w:rPr>
              <w:t xml:space="preserve">1 (MVP)</w:t>
            </w:r>
          </w:p>
        </w:tc>
        <w:tc>
          <w:tcPr>
            <w:tcW w:type="dxa" w:w="3200"/>
          </w:tcPr>
          <w:p>
            <w:r>
              <w:rPr>
                <w:b w:val="false"/>
                <w:bCs w:val="false"/>
              </w:rPr>
              <w:t xml:space="preserve">Digitalización de historiales clínicos, app móvil de reserva de fichas, reportes básicos de operación</w:t>
            </w:r>
          </w:p>
        </w:tc>
        <w:tc>
          <w:tcPr>
            <w:tcW w:type="dxa" w:w="3200"/>
          </w:tcPr>
          <w:p>
            <w:r>
              <w:rPr>
                <w:b w:val="false"/>
                <w:bCs w:val="false"/>
              </w:rPr>
              <w:t xml:space="preserve">Squad Historiales + Squad Reservas</w:t>
            </w:r>
          </w:p>
        </w:tc>
        <w:tc>
          <w:tcPr>
            <w:tcW w:type="dxa" w:w="1800"/>
          </w:tcPr>
          <w:p>
            <w:r>
              <w:rPr>
                <w:b w:val="false"/>
                <w:bCs w:val="false"/>
              </w:rPr>
              <w:t xml:space="preserve">Mes 6 (contractual)</w:t>
            </w:r>
          </w:p>
        </w:tc>
      </w:tr>
      <w:tr>
        <w:tc>
          <w:tcPr>
            <w:tcW w:type="dxa" w:w="1600"/>
          </w:tcPr>
          <w:p>
            <w:r>
              <w:rPr>
                <w:b w:val="false"/>
                <w:bCs w:val="false"/>
              </w:rPr>
              <w:t xml:space="preserve">2</w:t>
            </w:r>
          </w:p>
        </w:tc>
        <w:tc>
          <w:tcPr>
            <w:tcW w:type="dxa" w:w="3200"/>
          </w:tcPr>
          <w:p>
            <w:r>
              <w:rPr>
                <w:b w:val="false"/>
                <w:bCs w:val="false"/>
              </w:rPr>
              <w:t xml:space="preserve">Telemedicina (integración con proveedor externo de videoconsulta), recetas digitales de tratamientos crónicos</w:t>
            </w:r>
          </w:p>
        </w:tc>
        <w:tc>
          <w:tcPr>
            <w:tcW w:type="dxa" w:w="3200"/>
          </w:tcPr>
          <w:p>
            <w:r>
              <w:rPr>
                <w:b w:val="false"/>
                <w:bCs w:val="false"/>
              </w:rPr>
              <w:t xml:space="preserve">Squad Telemedicina</w:t>
            </w:r>
          </w:p>
        </w:tc>
        <w:tc>
          <w:tcPr>
            <w:tcW w:type="dxa" w:w="1800"/>
          </w:tcPr>
          <w:p>
            <w:r>
              <w:rPr>
                <w:b w:val="false"/>
                <w:bCs w:val="false"/>
              </w:rPr>
              <w:t xml:space="preserve">Mes 9</w:t>
            </w:r>
          </w:p>
        </w:tc>
      </w:tr>
      <w:tr>
        <w:tc>
          <w:tcPr>
            <w:tcW w:type="dxa" w:w="1600"/>
          </w:tcPr>
          <w:p>
            <w:r>
              <w:rPr>
                <w:b w:val="false"/>
                <w:bCs w:val="false"/>
              </w:rPr>
              <w:t xml:space="preserve">3</w:t>
            </w:r>
          </w:p>
        </w:tc>
        <w:tc>
          <w:tcPr>
            <w:tcW w:type="dxa" w:w="3200"/>
          </w:tcPr>
          <w:p>
            <w:r>
              <w:rPr>
                <w:b w:val="false"/>
                <w:bCs w:val="false"/>
              </w:rPr>
              <w:t xml:space="preserve">Reportes estadísticos avanzados para gerencia (BI, tableros ejecutivos), endurecimiento de seguridad y auditoría</w:t>
            </w:r>
          </w:p>
        </w:tc>
        <w:tc>
          <w:tcPr>
            <w:tcW w:type="dxa" w:w="3200"/>
          </w:tcPr>
          <w:p>
            <w:r>
              <w:rPr>
                <w:b w:val="false"/>
                <w:bCs w:val="false"/>
              </w:rPr>
              <w:t xml:space="preserve">Squad Reportes/BI</w:t>
            </w:r>
          </w:p>
        </w:tc>
        <w:tc>
          <w:tcPr>
            <w:tcW w:type="dxa" w:w="1800"/>
          </w:tcPr>
          <w:p>
            <w:r>
              <w:rPr>
                <w:b w:val="false"/>
                <w:bCs w:val="false"/>
              </w:rPr>
              <w:t xml:space="preserve">Mes 12</w:t>
            </w:r>
          </w:p>
        </w:tc>
      </w:tr>
    </w:tbl>
    <w:p>
      <w:pPr>
        <w:spacing w:before="400"/>
      </w:pPr>
    </w:p>
    <w:p>
      <w:pPr>
        <w:pStyle w:val="Heading1"/>
        <w:spacing w:after="200" w:before="400"/>
      </w:pPr>
      <w:r>
        <w:t xml:space="preserve">7. Conclusión</w:t>
      </w:r>
    </w:p>
    <w:p>
      <w:pPr>
        <w:spacing w:after="160"/>
      </w:pPr>
      <w:r>
        <w:t xml:space="preserve">La brecha de 6 contra 12 meses no se resuelve "trabajando más rápido" con el mismo plan: se resuelve rediseñando el plan. Reorganizar al equipo en squads paralelos con arquitectura desacoplada, reasignar antes que contratar, contratar solo donde hay brecha real de dominio, usar horas extra como herramienta táctica y no estructural, subcontratar lo no diferenciador (telemedicina), y renegociar el alcance de la entrega en 6 meses hacia un MVP creíble — es la combinación que permite cumplir con el Ministerio de Salud sin sacrificar la calidad de un sistema que maneja datos clínicos reales.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2026-08-31T02:16:43.576Z</dcterms:created>
  <dcterms:modified xsi:type="dcterms:W3CDTF">2026-08-31T02:16:43.578Z</dcterms:modified>
</cp:coreProperties>
</file>

<file path=docProps/custom.xml><?xml version="1.0" encoding="utf-8"?>
<Properties xmlns="http://schemas.openxmlformats.org/officeDocument/2006/custom-properties" xmlns:vt="http://schemas.openxmlformats.org/officeDocument/2006/docPropsVTypes"/>
</file>