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2.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3. Objetivo Específico</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exportación del diagrama a formato estándar XMI 2.1 para su uso en herramientas UML externas.</w:t>
      </w:r>
    </w:p>
    <w:p>
      <w:pPr>
        <w:pStyle w:val="Heading2"/>
        <w:spacing w:after="150" w:before="300"/>
      </w:pPr>
      <w:r>
        <w:t xml:space="preserve">4. Alcance</w:t>
      </w:r>
    </w:p>
    <w:p>
      <w:pPr>
        <w:pStyle w:val="Heading3"/>
        <w:spacing w:after="120" w:before="220"/>
      </w:pPr>
      <w:r>
        <w:t xml:space="preserve">4.1 Módulo de Diagramas</w:t>
      </w:r>
    </w:p>
    <w:p>
      <w:pPr>
        <w:spacing w:after="160"/>
      </w:pPr>
      <w:r>
        <w:t xml:space="preserve">Gestiona la creación, edición, persistencia y carga compartida de diagramas UML.</w:t>
      </w:r>
    </w:p>
    <w:p>
      <w:pPr>
        <w:pStyle w:val="Heading3"/>
        <w:spacing w:after="120" w:before="220"/>
      </w:pPr>
      <w:r>
        <w:t xml:space="preserve">4.2 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4.3 Módulo de Colaboración</w:t>
      </w:r>
    </w:p>
    <w:p>
      <w:pPr>
        <w:spacing w:after="160"/>
      </w:pPr>
      <w:r>
        <w:t xml:space="preserve">Sincroniza los cambios del diagrama en tiempo real entre todos los usuarios conectados a la misma sesión de edición.</w:t>
      </w:r>
    </w:p>
    <w:p>
      <w:pPr>
        <w:pStyle w:val="Heading3"/>
        <w:spacing w:after="120" w:before="220"/>
      </w:pPr>
      <w:r>
        <w:t xml:space="preserve">4.4 Módulo de Inteligencia Artificial</w:t>
      </w:r>
    </w:p>
    <w:p>
      <w:pPr>
        <w:spacing w:after="160"/>
      </w:pPr>
      <w:r>
        <w:t xml:space="preserve">Provee el chat conversacional, el reconocimiento de voz y la interpretación de fotografías dibujadas a mano.</w:t>
      </w:r>
    </w:p>
    <w:p>
      <w:pPr>
        <w:pStyle w:val="Heading1"/>
        <w:spacing w:after="200" w:before="500"/>
      </w:pPr>
      <w:r>
        <w:t xml:space="preserve">5. Captura De Requisitos</w:t>
      </w:r>
    </w:p>
    <w:p>
      <w:pPr>
        <w:pStyle w:val="Heading2"/>
        <w:spacing w:after="150" w:before="300"/>
      </w:pPr>
      <w:r>
        <w:t xml:space="preserve">5.1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5.2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5.3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5.4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6. Análisis</w:t>
      </w:r>
    </w:p>
    <w:p>
      <w:pPr>
        <w:pStyle w:val="Heading2"/>
        <w:spacing w:after="150" w:before="300"/>
      </w:pPr>
      <w:r>
        <w:t xml:space="preserve">6.1 Análisis De Arquitectura</w:t>
      </w:r>
    </w:p>
    <w:p>
      <w:pPr>
        <w:pStyle w:val="Heading3"/>
        <w:spacing w:after="120" w:before="220"/>
      </w:pPr>
      <w:r>
        <w:t xml:space="preserve">6.1.1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6.2.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6.3.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6.4.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7. Diseño</w:t>
      </w:r>
    </w:p>
    <w:p>
      <w:pPr>
        <w:pStyle w:val="Heading2"/>
        <w:spacing w:after="150" w:before="300"/>
      </w:pPr>
      <w:r>
        <w:t xml:space="preserve">7.1 Diseño de arquitectura</w:t>
      </w:r>
    </w:p>
    <w:p>
      <w:pPr>
        <w:pStyle w:val="Heading3"/>
        <w:spacing w:after="120" w:before="220"/>
      </w:pPr>
      <w:r>
        <w:t xml:space="preserve">7.1.1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7.1.2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7.2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7.3 Diseño de casos de uso</w:t>
      </w:r>
    </w:p>
    <w:p>
      <w:pPr>
        <w:pStyle w:val="Heading3"/>
        <w:spacing w:after="120" w:before="220"/>
      </w:pPr>
      <w:r>
        <w:t xml:space="preserve">7.3.1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8. Implementación</w:t>
      </w:r>
    </w:p>
    <w:p>
      <w:pPr>
        <w:pStyle w:val="Heading2"/>
        <w:spacing w:after="150" w:before="300"/>
      </w:pPr>
      <w:r>
        <w:t xml:space="preserve">8.1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8.2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