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200"/>
      </w:pPr>
    </w:p>
    <w:p>
      <w:pPr>
        <w:jc w:val="center"/>
      </w:pPr>
      <w:r>
        <w:rPr>
          <w:b/>
          <w:bCs/>
          <w:color w:val="1F3A5F"/>
          <w:sz w:val="64"/>
          <w:szCs w:val="64"/>
        </w:rPr>
        <w:t xml:space="preserve">NOCTILUZ</w:t>
      </w:r>
    </w:p>
    <w:p>
      <w:pPr>
        <w:spacing w:after="400"/>
        <w:jc w:val="center"/>
      </w:pPr>
      <w:r>
        <w:rPr>
          <w:sz w:val="30"/>
          <w:szCs w:val="30"/>
        </w:rPr>
        <w:t xml:space="preserve">Canal digital de venta instrumentado para una tienda de moda luminosa urbana</w:t>
      </w:r>
    </w:p>
    <w:p>
      <w:pPr>
        <w:jc w:val="center"/>
      </w:pPr>
      <w:r>
        <w:rPr>
          <w:b/>
          <w:bCs/>
          <w:sz w:val="26"/>
          <w:szCs w:val="26"/>
        </w:rPr>
        <w:t xml:space="preserve">Memoria de la Tarea 1</w:t>
      </w:r>
    </w:p>
    <w:p>
      <w:pPr>
        <w:jc w:val="center"/>
      </w:pPr>
      <w:r>
        <w:rPr>
          <w:sz w:val="22"/>
          <w:szCs w:val="22"/>
        </w:rPr>
        <w:t xml:space="preserve">Soluciones Informáticas para la Empresa · Grado en Ingeniería Informática · UCAM</w:t>
      </w:r>
    </w:p>
    <w:p>
      <w:pPr>
        <w:spacing w:after="800"/>
        <w:jc w:val="center"/>
      </w:pPr>
      <w:r>
        <w:rPr>
          <w:sz w:val="22"/>
          <w:szCs w:val="22"/>
        </w:rPr>
        <w:t xml:space="preserve">Curso 2026-2027</w:t>
      </w:r>
    </w:p>
    <w:p>
      <w:pPr>
        <w:jc w:val="center"/>
      </w:pPr>
      <w:r>
        <w:rPr>
          <w:b/>
          <w:bCs/>
          <w:sz w:val="22"/>
          <w:szCs w:val="22"/>
        </w:rPr>
        <w:t xml:space="preserve">Integrantes del grupo</w:t>
      </w:r>
    </w:p>
    <w:p>
      <w:pPr>
        <w:jc w:val="center"/>
      </w:pPr>
      <w:r>
        <w:rPr>
          <w:sz w:val="22"/>
          <w:szCs w:val="22"/>
        </w:rPr>
        <w:t xml:space="preserve">Luis Galindo Buendia</w:t>
      </w:r>
    </w:p>
    <w:p>
      <w:pPr>
        <w:jc w:val="center"/>
      </w:pPr>
      <w:r>
        <w:rPr>
          <w:sz w:val="22"/>
          <w:szCs w:val="22"/>
        </w:rPr>
        <w:t xml:space="preserve">Roberto Ciller Miñana</w:t>
      </w:r>
    </w:p>
    <w:p>
      <w:pPr>
        <w:jc w:val="center"/>
      </w:pPr>
      <w:r>
        <w:rPr>
          <w:sz w:val="22"/>
          <w:szCs w:val="22"/>
        </w:rPr>
        <w:t xml:space="preserve">Javier Zamora Lopez</w:t>
      </w:r>
    </w:p>
    <w:p>
      <w:pPr>
        <w:jc w:val="center"/>
      </w:pPr>
      <w:r>
        <w:rPr>
          <w:sz w:val="22"/>
          <w:szCs w:val="22"/>
        </w:rPr>
        <w:t xml:space="preserve">JunJie Yang Jao</w:t>
      </w:r>
    </w:p>
    <w:p>
      <w:pPr>
        <w:spacing w:after="600"/>
      </w:pPr>
    </w:p>
    <w:p>
      <w:pPr>
        <w:jc w:val="center"/>
      </w:pPr>
      <w:r>
        <w:t xml:space="preserve">URL pública: </w:t>
      </w:r>
      <w:r>
        <w:rPr>
          <w:b/>
          <w:bCs/>
          <w:highlight w:val="yellow"/>
          <w:highlightCs w:val="yellow"/>
        </w:rPr>
        <w:t xml:space="preserve">[COMPLETAR: https://noctiluz.xxx]</w:t>
      </w:r>
    </w:p>
    <w:p>
      <w:pPr>
        <w:jc w:val="center"/>
      </w:pPr>
      <w:r>
        <w:t xml:space="preserve">Repositorio: </w:t>
      </w:r>
      <w:r>
        <w:rPr>
          <w:b/>
          <w:bCs/>
          <w:highlight w:val="yellow"/>
          <w:highlightCs w:val="yellow"/>
        </w:rPr>
        <w:t xml:space="preserve">[COMPLETAR: https://github.com/...]</w:t>
      </w:r>
    </w:p>
    <w:p>
      <w:pPr>
        <w:spacing w:after="600"/>
      </w:pPr>
    </w:p>
    <w:p>
      <w:pPr>
        <w:jc w:val="center"/>
      </w:pPr>
      <w:r>
        <w:rPr>
          <w:i/>
          <w:iCs/>
          <w:color w:val="555555"/>
          <w:sz w:val="20"/>
          <w:szCs w:val="20"/>
        </w:rPr>
        <w:t xml:space="preserve">Prototipo académico sin actividad comercial real. Todos los datos son ficticios.</w:t>
      </w:r>
    </w:p>
    <w:p>
      <w:r>
        <w:br w:type="page"/>
      </w:r>
    </w:p>
    <w:p>
      <w:pPr>
        <w:pStyle w:val="Heading1"/>
      </w:pPr>
      <w:r>
        <w:t xml:space="preserve">1. Caso de empresa y arquitectura</w:t>
      </w:r>
    </w:p>
    <w:p>
      <w:pPr>
        <w:pStyle w:val="Heading2"/>
      </w:pPr>
      <w:r>
        <w:t xml:space="preserve">1.1. Caso de empresa</w:t>
      </w:r>
    </w:p>
    <w:p>
      <w:pPr>
        <w:spacing w:after="120" w:line="276"/>
        <w:jc w:val="both"/>
      </w:pPr>
      <w:r>
        <w:t xml:space="preserve">NOCTILUZ es una marca ficticia de moda urbana con iluminación integrada: camisetas, chaquetas, mochilas y gorras con fibra óptica alimentada por un módulo LED extraíble. El catálogo permanente se organiza según tres criterios que condicionan la compra: </w:t>
      </w:r>
      <w:r>
        <w:rPr>
          <w:b/>
          <w:bCs/>
        </w:rPr>
        <w:t xml:space="preserve">tipo de prenda</w:t>
      </w:r>
      <w:r>
        <w:t xml:space="preserve">, </w:t>
      </w:r>
      <w:r>
        <w:rPr>
          <w:b/>
          <w:bCs/>
        </w:rPr>
        <w:t xml:space="preserve">color de luz</w:t>
      </w:r>
      <w:r>
        <w:t xml:space="preserve"> (cian, rosa, ámbar, violeta, verde lima y blanco frío) y </w:t>
      </w:r>
      <w:r>
        <w:rPr>
          <w:b/>
          <w:bCs/>
        </w:rPr>
        <w:t xml:space="preserve">modo de iluminación</w:t>
      </w:r>
      <w:r>
        <w:t xml:space="preserve"> (fijo, parpadeo y degradado). Hay 8 modelos, cada uno en dos colores (16 variantes o SKU), y el controlador de cada modelo solo admite algunos modos. Por eso la combinación modelo–color–modo–talla es una regla de negocio que valida el servidor y no un simple filtro visual.</w:t>
      </w:r>
    </w:p>
    <w:p>
      <w:pPr>
        <w:spacing w:after="120" w:line="276"/>
        <w:jc w:val="both"/>
      </w:pPr>
      <w:r>
        <w:t xml:space="preserve">El canal digital cubre el recorrido completo de un pedido (catálogo, carrito, checkout, pago simulado, pedido y seguimiento) y genera los datos transaccionales y eventos que otros sistemas de la organización consumirán en la Tarea 2. Las condiciones comerciales simuladas son: IVA del 21 % incluido y desglosado en cada pedido, envío estándar de 4,95 € gratuito desde 120 €, envío exprés de 9,95 €, cupones con importe mínimo, un máximo de 9 unidades por línea y control de stock por variante.</w:t>
      </w:r>
    </w:p>
    <w:p>
      <w:pPr>
        <w:pStyle w:val="Heading2"/>
      </w:pPr>
      <w:r>
        <w:t xml:space="preserve">1.2. Arquitectura</w:t>
      </w:r>
    </w:p>
    <w:p>
      <w:pPr>
        <w:spacing w:after="120" w:line="276"/>
        <w:jc w:val="both"/>
      </w:pPr>
      <w:r>
        <w:t xml:space="preserve">Se ha optado por una arquitectura cliente-servidor en capas, desplegada en el alojamiento compartido de DonDominio (Apache, PHP y MySQL):</w:t>
      </w:r>
    </w:p>
    <w:p>
      <w:pPr>
        <w:pStyle w:val="ListParagraph"/>
        <w:numPr>
          <w:ilvl w:val="0"/>
          <w:numId w:val="2"/>
        </w:numPr>
        <w:spacing w:after="60" w:line="264"/>
      </w:pPr>
      <w:r>
        <w:rPr>
          <w:b/>
          <w:bCs/>
        </w:rPr>
        <w:t xml:space="preserve">Interfaz</w:t>
      </w:r>
      <w:r>
        <w:t xml:space="preserve"> (</w:t>
      </w:r>
      <w:r>
        <w:rPr>
          <w:rFonts w:ascii="Consolas" w:cs="Consolas" w:eastAsia="Consolas" w:hAnsi="Consolas"/>
          <w:sz w:val="19"/>
          <w:szCs w:val="19"/>
        </w:rPr>
        <w:t xml:space="preserve">index.html</w:t>
      </w:r>
      <w:r>
        <w:t xml:space="preserve">, </w:t>
      </w:r>
      <w:r>
        <w:rPr>
          <w:rFonts w:ascii="Consolas" w:cs="Consolas" w:eastAsia="Consolas" w:hAnsi="Consolas"/>
          <w:sz w:val="19"/>
          <w:szCs w:val="19"/>
        </w:rPr>
        <w:t xml:space="preserve">admin.html</w:t>
      </w:r>
      <w:r>
        <w:t xml:space="preserve">, </w:t>
      </w:r>
      <w:r>
        <w:rPr>
          <w:rFonts w:ascii="Consolas" w:cs="Consolas" w:eastAsia="Consolas" w:hAnsi="Consolas"/>
          <w:sz w:val="19"/>
          <w:szCs w:val="19"/>
        </w:rPr>
        <w:t xml:space="preserve">assets/js</w:t>
      </w:r>
      <w:r>
        <w:t xml:space="preserve">): aplicación de una sola página con HTML, CSS y JavaScript nativo organizado en módulos (API, carrito, eventos y vistas). Solo presenta datos y recoge lo que el usuario quiere hacer.</w:t>
      </w:r>
    </w:p>
    <w:p>
      <w:pPr>
        <w:pStyle w:val="ListParagraph"/>
        <w:numPr>
          <w:ilvl w:val="0"/>
          <w:numId w:val="2"/>
        </w:numPr>
        <w:spacing w:after="60" w:line="264"/>
      </w:pPr>
      <w:r>
        <w:rPr>
          <w:b/>
          <w:bCs/>
        </w:rPr>
        <w:t xml:space="preserve">Servicios</w:t>
      </w:r>
      <w:r>
        <w:t xml:space="preserve"> (</w:t>
      </w:r>
      <w:r>
        <w:rPr>
          <w:rFonts w:ascii="Consolas" w:cs="Consolas" w:eastAsia="Consolas" w:hAnsi="Consolas"/>
          <w:sz w:val="19"/>
          <w:szCs w:val="19"/>
        </w:rPr>
        <w:t xml:space="preserve">api/</w:t>
      </w:r>
      <w:r>
        <w:t xml:space="preserve">): un endpoint PHP por recurso que recibe y devuelve JSON, comprueba el método HTTP y traduce los errores de negocio a respuestas 422 con el detalle por campo.</w:t>
      </w:r>
    </w:p>
    <w:p>
      <w:pPr>
        <w:pStyle w:val="ListParagraph"/>
        <w:numPr>
          <w:ilvl w:val="0"/>
          <w:numId w:val="2"/>
        </w:numPr>
        <w:spacing w:after="60" w:line="264"/>
      </w:pPr>
      <w:r>
        <w:rPr>
          <w:b/>
          <w:bCs/>
        </w:rPr>
        <w:t xml:space="preserve">Lógica de negocio</w:t>
      </w:r>
      <w:r>
        <w:t xml:space="preserve"> (</w:t>
      </w:r>
      <w:r>
        <w:rPr>
          <w:rFonts w:ascii="Consolas" w:cs="Consolas" w:eastAsia="Consolas" w:hAnsi="Consolas"/>
          <w:sz w:val="19"/>
          <w:szCs w:val="19"/>
        </w:rPr>
        <w:t xml:space="preserve">app/</w:t>
      </w:r>
      <w:r>
        <w:t xml:space="preserve">): clases </w:t>
      </w:r>
      <w:r>
        <w:rPr>
          <w:rFonts w:ascii="Consolas" w:cs="Consolas" w:eastAsia="Consolas" w:hAnsi="Consolas"/>
          <w:sz w:val="19"/>
          <w:szCs w:val="19"/>
        </w:rPr>
        <w:t xml:space="preserve">ReglasNegocio</w:t>
      </w:r>
      <w:r>
        <w:t xml:space="preserve">, </w:t>
      </w:r>
      <w:r>
        <w:rPr>
          <w:rFonts w:ascii="Consolas" w:cs="Consolas" w:eastAsia="Consolas" w:hAnsi="Consolas"/>
          <w:sz w:val="19"/>
          <w:szCs w:val="19"/>
        </w:rPr>
        <w:t xml:space="preserve">Pedidos</w:t>
      </w:r>
      <w:r>
        <w:t xml:space="preserve">, </w:t>
      </w:r>
      <w:r>
        <w:rPr>
          <w:rFonts w:ascii="Consolas" w:cs="Consolas" w:eastAsia="Consolas" w:hAnsi="Consolas"/>
          <w:sz w:val="19"/>
          <w:szCs w:val="19"/>
        </w:rPr>
        <w:t xml:space="preserve">Pagos</w:t>
      </w:r>
      <w:r>
        <w:t xml:space="preserve">, </w:t>
      </w:r>
      <w:r>
        <w:rPr>
          <w:rFonts w:ascii="Consolas" w:cs="Consolas" w:eastAsia="Consolas" w:hAnsi="Consolas"/>
          <w:sz w:val="19"/>
          <w:szCs w:val="19"/>
        </w:rPr>
        <w:t xml:space="preserve">Incidencias</w:t>
      </w:r>
      <w:r>
        <w:t xml:space="preserve">, </w:t>
      </w:r>
      <w:r>
        <w:rPr>
          <w:rFonts w:ascii="Consolas" w:cs="Consolas" w:eastAsia="Consolas" w:hAnsi="Consolas"/>
          <w:sz w:val="19"/>
          <w:szCs w:val="19"/>
        </w:rPr>
        <w:t xml:space="preserve">Catalogo</w:t>
      </w:r>
      <w:r>
        <w:t xml:space="preserve"> y </w:t>
      </w:r>
      <w:r>
        <w:rPr>
          <w:rFonts w:ascii="Consolas" w:cs="Consolas" w:eastAsia="Consolas" w:hAnsi="Consolas"/>
          <w:sz w:val="19"/>
          <w:szCs w:val="19"/>
        </w:rPr>
        <w:t xml:space="preserve">Eventos</w:t>
      </w:r>
      <w:r>
        <w:t xml:space="preserve">. Los precios, descuentos, impuestos y gastos de envío se calculan a partir de la base de datos, nunca a partir de lo que envía el navegador.</w:t>
      </w:r>
    </w:p>
    <w:p>
      <w:pPr>
        <w:pStyle w:val="ListParagraph"/>
        <w:numPr>
          <w:ilvl w:val="0"/>
          <w:numId w:val="2"/>
        </w:numPr>
        <w:spacing w:after="60" w:line="264"/>
      </w:pPr>
      <w:r>
        <w:rPr>
          <w:b/>
          <w:bCs/>
        </w:rPr>
        <w:t xml:space="preserve">Persistencia</w:t>
      </w:r>
      <w:r>
        <w:t xml:space="preserve"> (</w:t>
      </w:r>
      <w:r>
        <w:rPr>
          <w:rFonts w:ascii="Consolas" w:cs="Consolas" w:eastAsia="Consolas" w:hAnsi="Consolas"/>
          <w:sz w:val="19"/>
          <w:szCs w:val="19"/>
        </w:rPr>
        <w:t xml:space="preserve">app/Db.php</w:t>
      </w:r>
      <w:r>
        <w:t xml:space="preserve"> y MySQL): acceso con PDO, sentencias preparadas y transacciones. Crear un pedido (cliente, pedido, líneas, descuento de stock, historial y evento) es una única transacción: o se guarda todo o no se guarda nada.</w:t>
      </w:r>
    </w:p>
    <w:p>
      <w:pPr>
        <w:spacing w:after="120" w:line="276"/>
        <w:jc w:val="both"/>
      </w:pPr>
      <w:r>
        <w:t xml:space="preserve">El carrito se guarda en el navegador porque todavía no es un compromiso de compra; en el momento de confirmar se envía al servidor, que vuelve a validarlo por completo (existencia, modo, talla, cantidad y stock).</w:t>
      </w:r>
    </w:p>
    <w:p>
      <w:pPr>
        <w:pStyle w:val="Heading2"/>
      </w:pPr>
      <w:r>
        <w:t xml:space="preserve">1.3. Decisiones tecnológicas y alternativas consideradas</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1500"/>
        <w:gridCol w:w="2000"/>
        <w:gridCol w:w="2250"/>
        <w:gridCol w:w="3322"/>
      </w:tblGrid>
      <w:tr>
        <w:trPr>
          <w:tblHeader/>
        </w:trPr>
        <w:tc>
          <w:tcPr>
            <w:tcW w:type="dxa" w:w="1500"/>
            <w:tcBorders>
              <w:top w:val="single" w:color="B8BCC6" w:sz="4"/>
              <w:left w:val="single" w:color="B8BCC6" w:sz="4"/>
              <w:bottom w:val="single" w:color="B8BCC6" w:sz="4"/>
              <w:right w:val="single" w:color="B8BCC6" w:sz="4"/>
            </w:tcBorders>
            <w:shd w:fill="1F3A5F" w:color="auto" w:val="clear"/>
            <w:tcMar>
              <w:top w:type="dxa" w:w="50"/>
              <w:left w:type="dxa" w:w="90"/>
              <w:bottom w:type="dxa" w:w="50"/>
              <w:right w:type="dxa" w:w="90"/>
            </w:tcMar>
          </w:tcPr>
          <w:p>
            <w:pPr>
              <w:spacing w:after="20"/>
            </w:pPr>
            <w:r>
              <w:rPr>
                <w:b/>
                <w:bCs/>
                <w:color w:val="FFFFFF"/>
                <w:sz w:val="18"/>
                <w:szCs w:val="18"/>
              </w:rPr>
              <w:t xml:space="preserve">Aspecto</w:t>
            </w:r>
          </w:p>
        </w:tc>
        <w:tc>
          <w:tcPr>
            <w:tcW w:type="dxa" w:w="2000"/>
            <w:tcBorders>
              <w:top w:val="single" w:color="B8BCC6" w:sz="4"/>
              <w:left w:val="single" w:color="B8BCC6" w:sz="4"/>
              <w:bottom w:val="single" w:color="B8BCC6" w:sz="4"/>
              <w:right w:val="single" w:color="B8BCC6" w:sz="4"/>
            </w:tcBorders>
            <w:shd w:fill="1F3A5F" w:color="auto" w:val="clear"/>
            <w:tcMar>
              <w:top w:type="dxa" w:w="50"/>
              <w:left w:type="dxa" w:w="90"/>
              <w:bottom w:type="dxa" w:w="50"/>
              <w:right w:type="dxa" w:w="90"/>
            </w:tcMar>
          </w:tcPr>
          <w:p>
            <w:pPr>
              <w:spacing w:after="20"/>
            </w:pPr>
            <w:r>
              <w:rPr>
                <w:b/>
                <w:bCs/>
                <w:color w:val="FFFFFF"/>
                <w:sz w:val="18"/>
                <w:szCs w:val="18"/>
              </w:rPr>
              <w:t xml:space="preserve">Decisión</w:t>
            </w:r>
          </w:p>
        </w:tc>
        <w:tc>
          <w:tcPr>
            <w:tcW w:type="dxa" w:w="2250"/>
            <w:tcBorders>
              <w:top w:val="single" w:color="B8BCC6" w:sz="4"/>
              <w:left w:val="single" w:color="B8BCC6" w:sz="4"/>
              <w:bottom w:val="single" w:color="B8BCC6" w:sz="4"/>
              <w:right w:val="single" w:color="B8BCC6" w:sz="4"/>
            </w:tcBorders>
            <w:shd w:fill="1F3A5F" w:color="auto" w:val="clear"/>
            <w:tcMar>
              <w:top w:type="dxa" w:w="50"/>
              <w:left w:type="dxa" w:w="90"/>
              <w:bottom w:type="dxa" w:w="50"/>
              <w:right w:type="dxa" w:w="90"/>
            </w:tcMar>
          </w:tcPr>
          <w:p>
            <w:pPr>
              <w:spacing w:after="20"/>
            </w:pPr>
            <w:r>
              <w:rPr>
                <w:b/>
                <w:bCs/>
                <w:color w:val="FFFFFF"/>
                <w:sz w:val="18"/>
                <w:szCs w:val="18"/>
              </w:rPr>
              <w:t xml:space="preserve">Alternativas</w:t>
            </w:r>
          </w:p>
        </w:tc>
        <w:tc>
          <w:tcPr>
            <w:tcW w:type="dxa" w:w="3322"/>
            <w:tcBorders>
              <w:top w:val="single" w:color="B8BCC6" w:sz="4"/>
              <w:left w:val="single" w:color="B8BCC6" w:sz="4"/>
              <w:bottom w:val="single" w:color="B8BCC6" w:sz="4"/>
              <w:right w:val="single" w:color="B8BCC6" w:sz="4"/>
            </w:tcBorders>
            <w:shd w:fill="1F3A5F" w:color="auto" w:val="clear"/>
            <w:tcMar>
              <w:top w:type="dxa" w:w="50"/>
              <w:left w:type="dxa" w:w="90"/>
              <w:bottom w:type="dxa" w:w="50"/>
              <w:right w:type="dxa" w:w="90"/>
            </w:tcMar>
          </w:tcPr>
          <w:p>
            <w:pPr>
              <w:spacing w:after="20"/>
            </w:pPr>
            <w:r>
              <w:rPr>
                <w:b/>
                <w:bCs/>
                <w:color w:val="FFFFFF"/>
                <w:sz w:val="18"/>
                <w:szCs w:val="18"/>
              </w:rPr>
              <w:t xml:space="preserve">Justificación</w:t>
            </w:r>
          </w:p>
        </w:tc>
      </w:tr>
      <w:tr>
        <w:trPr>
          <w:tblHeader w:val="false"/>
        </w:trPr>
        <w:tc>
          <w:tcPr>
            <w:tcW w:type="dxa" w:w="1500"/>
            <w:tcBorders>
              <w:top w:val="single" w:color="B8BCC6" w:sz="4"/>
              <w:left w:val="single" w:color="B8BCC6" w:sz="4"/>
              <w:bottom w:val="single" w:color="B8BCC6" w:sz="4"/>
              <w:right w:val="single" w:color="B8BCC6" w:sz="4"/>
            </w:tcBorders>
            <w:tcMar>
              <w:top w:type="dxa" w:w="50"/>
              <w:left w:type="dxa" w:w="90"/>
              <w:bottom w:type="dxa" w:w="50"/>
              <w:right w:type="dxa" w:w="90"/>
            </w:tcMar>
          </w:tcPr>
          <w:p>
            <w:pPr>
              <w:spacing w:after="20"/>
            </w:pPr>
            <w:r>
              <w:rPr>
                <w:sz w:val="18"/>
                <w:szCs w:val="18"/>
              </w:rPr>
              <w:t xml:space="preserve">Servidor</w:t>
            </w:r>
          </w:p>
        </w:tc>
        <w:tc>
          <w:tcPr>
            <w:tcW w:type="dxa" w:w="2000"/>
            <w:tcBorders>
              <w:top w:val="single" w:color="B8BCC6" w:sz="4"/>
              <w:left w:val="single" w:color="B8BCC6" w:sz="4"/>
              <w:bottom w:val="single" w:color="B8BCC6" w:sz="4"/>
              <w:right w:val="single" w:color="B8BCC6" w:sz="4"/>
            </w:tcBorders>
            <w:tcMar>
              <w:top w:type="dxa" w:w="50"/>
              <w:left w:type="dxa" w:w="90"/>
              <w:bottom w:type="dxa" w:w="50"/>
              <w:right w:type="dxa" w:w="90"/>
            </w:tcMar>
          </w:tcPr>
          <w:p>
            <w:pPr>
              <w:spacing w:after="20"/>
            </w:pPr>
            <w:r>
              <w:rPr>
                <w:sz w:val="18"/>
                <w:szCs w:val="18"/>
              </w:rPr>
              <w:t xml:space="preserve">PHP 8 sin framework</w:t>
            </w:r>
          </w:p>
        </w:tc>
        <w:tc>
          <w:tcPr>
            <w:tcW w:type="dxa" w:w="2250"/>
            <w:tcBorders>
              <w:top w:val="single" w:color="B8BCC6" w:sz="4"/>
              <w:left w:val="single" w:color="B8BCC6" w:sz="4"/>
              <w:bottom w:val="single" w:color="B8BCC6" w:sz="4"/>
              <w:right w:val="single" w:color="B8BCC6" w:sz="4"/>
            </w:tcBorders>
            <w:tcMar>
              <w:top w:type="dxa" w:w="50"/>
              <w:left w:type="dxa" w:w="90"/>
              <w:bottom w:type="dxa" w:w="50"/>
              <w:right w:type="dxa" w:w="90"/>
            </w:tcMar>
          </w:tcPr>
          <w:p>
            <w:pPr>
              <w:spacing w:after="20"/>
            </w:pPr>
            <w:r>
              <w:rPr>
                <w:sz w:val="18"/>
                <w:szCs w:val="18"/>
              </w:rPr>
              <w:t xml:space="preserve">Node.js + Express; Laravel; Python + Flask</w:t>
            </w:r>
          </w:p>
        </w:tc>
        <w:tc>
          <w:tcPr>
            <w:tcW w:type="dxa" w:w="3322"/>
            <w:tcBorders>
              <w:top w:val="single" w:color="B8BCC6" w:sz="4"/>
              <w:left w:val="single" w:color="B8BCC6" w:sz="4"/>
              <w:bottom w:val="single" w:color="B8BCC6" w:sz="4"/>
              <w:right w:val="single" w:color="B8BCC6" w:sz="4"/>
            </w:tcBorders>
            <w:tcMar>
              <w:top w:type="dxa" w:w="50"/>
              <w:left w:type="dxa" w:w="90"/>
              <w:bottom w:type="dxa" w:w="50"/>
              <w:right w:type="dxa" w:w="90"/>
            </w:tcMar>
          </w:tcPr>
          <w:p>
            <w:pPr>
              <w:spacing w:after="20"/>
            </w:pPr>
            <w:r>
              <w:rPr>
                <w:sz w:val="18"/>
                <w:szCs w:val="18"/>
              </w:rPr>
              <w:t xml:space="preserve">El Alojamiento Básico ejecuta PHP de forma nativa; Node o Python exigirían un VPS. Un framework añade dependencias (Composer) que no compensan para 12 endpoints.</w:t>
            </w:r>
          </w:p>
        </w:tc>
      </w:tr>
      <w:tr>
        <w:trPr>
          <w:tblHeader w:val="false"/>
        </w:trPr>
        <w:tc>
          <w:tcPr>
            <w:tcW w:type="dxa" w:w="1500"/>
            <w:tcBorders>
              <w:top w:val="single" w:color="B8BCC6" w:sz="4"/>
              <w:left w:val="single" w:color="B8BCC6" w:sz="4"/>
              <w:bottom w:val="single" w:color="B8BCC6" w:sz="4"/>
              <w:right w:val="single" w:color="B8BCC6" w:sz="4"/>
            </w:tcBorders>
            <w:shd w:fill="F3F5F8" w:color="auto" w:val="clear"/>
            <w:tcMar>
              <w:top w:type="dxa" w:w="50"/>
              <w:left w:type="dxa" w:w="90"/>
              <w:bottom w:type="dxa" w:w="50"/>
              <w:right w:type="dxa" w:w="90"/>
            </w:tcMar>
          </w:tcPr>
          <w:p>
            <w:pPr>
              <w:spacing w:after="20"/>
            </w:pPr>
            <w:r>
              <w:rPr>
                <w:sz w:val="18"/>
                <w:szCs w:val="18"/>
              </w:rPr>
              <w:t xml:space="preserve">Plataforma</w:t>
            </w:r>
          </w:p>
        </w:tc>
        <w:tc>
          <w:tcPr>
            <w:tcW w:type="dxa" w:w="2000"/>
            <w:tcBorders>
              <w:top w:val="single" w:color="B8BCC6" w:sz="4"/>
              <w:left w:val="single" w:color="B8BCC6" w:sz="4"/>
              <w:bottom w:val="single" w:color="B8BCC6" w:sz="4"/>
              <w:right w:val="single" w:color="B8BCC6" w:sz="4"/>
            </w:tcBorders>
            <w:shd w:fill="F3F5F8" w:color="auto" w:val="clear"/>
            <w:tcMar>
              <w:top w:type="dxa" w:w="50"/>
              <w:left w:type="dxa" w:w="90"/>
              <w:bottom w:type="dxa" w:w="50"/>
              <w:right w:type="dxa" w:w="90"/>
            </w:tcMar>
          </w:tcPr>
          <w:p>
            <w:pPr>
              <w:spacing w:after="20"/>
            </w:pPr>
            <w:r>
              <w:rPr>
                <w:sz w:val="18"/>
                <w:szCs w:val="18"/>
              </w:rPr>
              <w:t xml:space="preserve">Desarrollo propio</w:t>
            </w:r>
          </w:p>
        </w:tc>
        <w:tc>
          <w:tcPr>
            <w:tcW w:type="dxa" w:w="2250"/>
            <w:tcBorders>
              <w:top w:val="single" w:color="B8BCC6" w:sz="4"/>
              <w:left w:val="single" w:color="B8BCC6" w:sz="4"/>
              <w:bottom w:val="single" w:color="B8BCC6" w:sz="4"/>
              <w:right w:val="single" w:color="B8BCC6" w:sz="4"/>
            </w:tcBorders>
            <w:shd w:fill="F3F5F8" w:color="auto" w:val="clear"/>
            <w:tcMar>
              <w:top w:type="dxa" w:w="50"/>
              <w:left w:type="dxa" w:w="90"/>
              <w:bottom w:type="dxa" w:w="50"/>
              <w:right w:type="dxa" w:w="90"/>
            </w:tcMar>
          </w:tcPr>
          <w:p>
            <w:pPr>
              <w:spacing w:after="20"/>
            </w:pPr>
            <w:r>
              <w:rPr>
                <w:sz w:val="18"/>
                <w:szCs w:val="18"/>
              </w:rPr>
              <w:t xml:space="preserve">WooCommerce, PrestaShop</w:t>
            </w:r>
          </w:p>
        </w:tc>
        <w:tc>
          <w:tcPr>
            <w:tcW w:type="dxa" w:w="3322"/>
            <w:tcBorders>
              <w:top w:val="single" w:color="B8BCC6" w:sz="4"/>
              <w:left w:val="single" w:color="B8BCC6" w:sz="4"/>
              <w:bottom w:val="single" w:color="B8BCC6" w:sz="4"/>
              <w:right w:val="single" w:color="B8BCC6" w:sz="4"/>
            </w:tcBorders>
            <w:shd w:fill="F3F5F8" w:color="auto" w:val="clear"/>
            <w:tcMar>
              <w:top w:type="dxa" w:w="50"/>
              <w:left w:type="dxa" w:w="90"/>
              <w:bottom w:type="dxa" w:w="50"/>
              <w:right w:type="dxa" w:w="90"/>
            </w:tcMar>
          </w:tcPr>
          <w:p>
            <w:pPr>
              <w:spacing w:after="20"/>
            </w:pPr>
            <w:r>
              <w:rPr>
                <w:sz w:val="18"/>
                <w:szCs w:val="18"/>
              </w:rPr>
              <w:t xml:space="preserve">Resuelven el carrito, pero ocultan el modelo de datos y la instrumentación, que son el objeto de la tarea y lo que hay que saber explicar.</w:t>
            </w:r>
          </w:p>
        </w:tc>
      </w:tr>
      <w:tr>
        <w:trPr>
          <w:tblHeader w:val="false"/>
        </w:trPr>
        <w:tc>
          <w:tcPr>
            <w:tcW w:type="dxa" w:w="1500"/>
            <w:tcBorders>
              <w:top w:val="single" w:color="B8BCC6" w:sz="4"/>
              <w:left w:val="single" w:color="B8BCC6" w:sz="4"/>
              <w:bottom w:val="single" w:color="B8BCC6" w:sz="4"/>
              <w:right w:val="single" w:color="B8BCC6" w:sz="4"/>
            </w:tcBorders>
            <w:tcMar>
              <w:top w:type="dxa" w:w="50"/>
              <w:left w:type="dxa" w:w="90"/>
              <w:bottom w:type="dxa" w:w="50"/>
              <w:right w:type="dxa" w:w="90"/>
            </w:tcMar>
          </w:tcPr>
          <w:p>
            <w:pPr>
              <w:spacing w:after="20"/>
            </w:pPr>
            <w:r>
              <w:rPr>
                <w:sz w:val="18"/>
                <w:szCs w:val="18"/>
              </w:rPr>
              <w:t xml:space="preserve">Base de datos</w:t>
            </w:r>
          </w:p>
        </w:tc>
        <w:tc>
          <w:tcPr>
            <w:tcW w:type="dxa" w:w="2000"/>
            <w:tcBorders>
              <w:top w:val="single" w:color="B8BCC6" w:sz="4"/>
              <w:left w:val="single" w:color="B8BCC6" w:sz="4"/>
              <w:bottom w:val="single" w:color="B8BCC6" w:sz="4"/>
              <w:right w:val="single" w:color="B8BCC6" w:sz="4"/>
            </w:tcBorders>
            <w:tcMar>
              <w:top w:type="dxa" w:w="50"/>
              <w:left w:type="dxa" w:w="90"/>
              <w:bottom w:type="dxa" w:w="50"/>
              <w:right w:type="dxa" w:w="90"/>
            </w:tcMar>
          </w:tcPr>
          <w:p>
            <w:pPr>
              <w:spacing w:after="20"/>
            </w:pPr>
            <w:r>
              <w:rPr>
                <w:sz w:val="18"/>
                <w:szCs w:val="18"/>
              </w:rPr>
              <w:t xml:space="preserve">MySQL (SQLite en local)</w:t>
            </w:r>
          </w:p>
        </w:tc>
        <w:tc>
          <w:tcPr>
            <w:tcW w:type="dxa" w:w="2250"/>
            <w:tcBorders>
              <w:top w:val="single" w:color="B8BCC6" w:sz="4"/>
              <w:left w:val="single" w:color="B8BCC6" w:sz="4"/>
              <w:bottom w:val="single" w:color="B8BCC6" w:sz="4"/>
              <w:right w:val="single" w:color="B8BCC6" w:sz="4"/>
            </w:tcBorders>
            <w:tcMar>
              <w:top w:type="dxa" w:w="50"/>
              <w:left w:type="dxa" w:w="90"/>
              <w:bottom w:type="dxa" w:w="50"/>
              <w:right w:type="dxa" w:w="90"/>
            </w:tcMar>
          </w:tcPr>
          <w:p>
            <w:pPr>
              <w:spacing w:after="20"/>
            </w:pPr>
            <w:r>
              <w:rPr>
                <w:sz w:val="18"/>
                <w:szCs w:val="18"/>
              </w:rPr>
              <w:t xml:space="preserve">Ficheros JSON; Firebase</w:t>
            </w:r>
          </w:p>
        </w:tc>
        <w:tc>
          <w:tcPr>
            <w:tcW w:type="dxa" w:w="3322"/>
            <w:tcBorders>
              <w:top w:val="single" w:color="B8BCC6" w:sz="4"/>
              <w:left w:val="single" w:color="B8BCC6" w:sz="4"/>
              <w:bottom w:val="single" w:color="B8BCC6" w:sz="4"/>
              <w:right w:val="single" w:color="B8BCC6" w:sz="4"/>
            </w:tcBorders>
            <w:tcMar>
              <w:top w:type="dxa" w:w="50"/>
              <w:left w:type="dxa" w:w="90"/>
              <w:bottom w:type="dxa" w:w="50"/>
              <w:right w:type="dxa" w:w="90"/>
            </w:tcMar>
          </w:tcPr>
          <w:p>
            <w:pPr>
              <w:spacing w:after="20"/>
            </w:pPr>
            <w:r>
              <w:rPr>
                <w:sz w:val="18"/>
                <w:szCs w:val="18"/>
              </w:rPr>
              <w:t xml:space="preserve">Relacional con claves foráneas, restricciones y transacciones, incluida en el hosting. SQLite con el mismo SQL permite ejecutar el proyecto sin instalar un servidor de base de datos.</w:t>
            </w:r>
          </w:p>
        </w:tc>
      </w:tr>
      <w:tr>
        <w:trPr>
          <w:tblHeader w:val="false"/>
        </w:trPr>
        <w:tc>
          <w:tcPr>
            <w:tcW w:type="dxa" w:w="1500"/>
            <w:tcBorders>
              <w:top w:val="single" w:color="B8BCC6" w:sz="4"/>
              <w:left w:val="single" w:color="B8BCC6" w:sz="4"/>
              <w:bottom w:val="single" w:color="B8BCC6" w:sz="4"/>
              <w:right w:val="single" w:color="B8BCC6" w:sz="4"/>
            </w:tcBorders>
            <w:shd w:fill="F3F5F8" w:color="auto" w:val="clear"/>
            <w:tcMar>
              <w:top w:type="dxa" w:w="50"/>
              <w:left w:type="dxa" w:w="90"/>
              <w:bottom w:type="dxa" w:w="50"/>
              <w:right w:type="dxa" w:w="90"/>
            </w:tcMar>
          </w:tcPr>
          <w:p>
            <w:pPr>
              <w:spacing w:after="20"/>
            </w:pPr>
            <w:r>
              <w:rPr>
                <w:sz w:val="18"/>
                <w:szCs w:val="18"/>
              </w:rPr>
              <w:t xml:space="preserve">Interfaz</w:t>
            </w:r>
          </w:p>
        </w:tc>
        <w:tc>
          <w:tcPr>
            <w:tcW w:type="dxa" w:w="2000"/>
            <w:tcBorders>
              <w:top w:val="single" w:color="B8BCC6" w:sz="4"/>
              <w:left w:val="single" w:color="B8BCC6" w:sz="4"/>
              <w:bottom w:val="single" w:color="B8BCC6" w:sz="4"/>
              <w:right w:val="single" w:color="B8BCC6" w:sz="4"/>
            </w:tcBorders>
            <w:shd w:fill="F3F5F8" w:color="auto" w:val="clear"/>
            <w:tcMar>
              <w:top w:type="dxa" w:w="50"/>
              <w:left w:type="dxa" w:w="90"/>
              <w:bottom w:type="dxa" w:w="50"/>
              <w:right w:type="dxa" w:w="90"/>
            </w:tcMar>
          </w:tcPr>
          <w:p>
            <w:pPr>
              <w:spacing w:after="20"/>
            </w:pPr>
            <w:r>
              <w:rPr>
                <w:sz w:val="18"/>
                <w:szCs w:val="18"/>
              </w:rPr>
              <w:t xml:space="preserve">HTML, CSS y JS nativo</w:t>
            </w:r>
          </w:p>
        </w:tc>
        <w:tc>
          <w:tcPr>
            <w:tcW w:type="dxa" w:w="2250"/>
            <w:tcBorders>
              <w:top w:val="single" w:color="B8BCC6" w:sz="4"/>
              <w:left w:val="single" w:color="B8BCC6" w:sz="4"/>
              <w:bottom w:val="single" w:color="B8BCC6" w:sz="4"/>
              <w:right w:val="single" w:color="B8BCC6" w:sz="4"/>
            </w:tcBorders>
            <w:shd w:fill="F3F5F8" w:color="auto" w:val="clear"/>
            <w:tcMar>
              <w:top w:type="dxa" w:w="50"/>
              <w:left w:type="dxa" w:w="90"/>
              <w:bottom w:type="dxa" w:w="50"/>
              <w:right w:type="dxa" w:w="90"/>
            </w:tcMar>
          </w:tcPr>
          <w:p>
            <w:pPr>
              <w:spacing w:after="20"/>
            </w:pPr>
            <w:r>
              <w:rPr>
                <w:sz w:val="18"/>
                <w:szCs w:val="18"/>
              </w:rPr>
              <w:t xml:space="preserve">React, Vue</w:t>
            </w:r>
          </w:p>
        </w:tc>
        <w:tc>
          <w:tcPr>
            <w:tcW w:type="dxa" w:w="3322"/>
            <w:tcBorders>
              <w:top w:val="single" w:color="B8BCC6" w:sz="4"/>
              <w:left w:val="single" w:color="B8BCC6" w:sz="4"/>
              <w:bottom w:val="single" w:color="B8BCC6" w:sz="4"/>
              <w:right w:val="single" w:color="B8BCC6" w:sz="4"/>
            </w:tcBorders>
            <w:shd w:fill="F3F5F8" w:color="auto" w:val="clear"/>
            <w:tcMar>
              <w:top w:type="dxa" w:w="50"/>
              <w:left w:type="dxa" w:w="90"/>
              <w:bottom w:type="dxa" w:w="50"/>
              <w:right w:type="dxa" w:w="90"/>
            </w:tcMar>
          </w:tcPr>
          <w:p>
            <w:pPr>
              <w:spacing w:after="20"/>
            </w:pPr>
            <w:r>
              <w:rPr>
                <w:sz w:val="18"/>
                <w:szCs w:val="18"/>
              </w:rPr>
              <w:t xml:space="preserve">Se partía de un HTML existente; un framework obligaría a un proceso de compilación sin aportar ninguna funcionalidad necesaria.</w:t>
            </w:r>
          </w:p>
        </w:tc>
      </w:tr>
      <w:tr>
        <w:trPr>
          <w:tblHeader w:val="false"/>
        </w:trPr>
        <w:tc>
          <w:tcPr>
            <w:tcW w:type="dxa" w:w="1500"/>
            <w:tcBorders>
              <w:top w:val="single" w:color="B8BCC6" w:sz="4"/>
              <w:left w:val="single" w:color="B8BCC6" w:sz="4"/>
              <w:bottom w:val="single" w:color="B8BCC6" w:sz="4"/>
              <w:right w:val="single" w:color="B8BCC6" w:sz="4"/>
            </w:tcBorders>
            <w:tcMar>
              <w:top w:type="dxa" w:w="50"/>
              <w:left w:type="dxa" w:w="90"/>
              <w:bottom w:type="dxa" w:w="50"/>
              <w:right w:type="dxa" w:w="90"/>
            </w:tcMar>
          </w:tcPr>
          <w:p>
            <w:pPr>
              <w:spacing w:after="20"/>
            </w:pPr>
            <w:r>
              <w:rPr>
                <w:sz w:val="18"/>
                <w:szCs w:val="18"/>
              </w:rPr>
              <w:t xml:space="preserve">Pago</w:t>
            </w:r>
          </w:p>
        </w:tc>
        <w:tc>
          <w:tcPr>
            <w:tcW w:type="dxa" w:w="2000"/>
            <w:tcBorders>
              <w:top w:val="single" w:color="B8BCC6" w:sz="4"/>
              <w:left w:val="single" w:color="B8BCC6" w:sz="4"/>
              <w:bottom w:val="single" w:color="B8BCC6" w:sz="4"/>
              <w:right w:val="single" w:color="B8BCC6" w:sz="4"/>
            </w:tcBorders>
            <w:tcMar>
              <w:top w:type="dxa" w:w="50"/>
              <w:left w:type="dxa" w:w="90"/>
              <w:bottom w:type="dxa" w:w="50"/>
              <w:right w:type="dxa" w:w="90"/>
            </w:tcMar>
          </w:tcPr>
          <w:p>
            <w:pPr>
              <w:spacing w:after="20"/>
            </w:pPr>
            <w:r>
              <w:rPr>
                <w:sz w:val="18"/>
                <w:szCs w:val="18"/>
              </w:rPr>
              <w:t xml:space="preserve">Pasarela simulada propia</w:t>
            </w:r>
          </w:p>
        </w:tc>
        <w:tc>
          <w:tcPr>
            <w:tcW w:type="dxa" w:w="2250"/>
            <w:tcBorders>
              <w:top w:val="single" w:color="B8BCC6" w:sz="4"/>
              <w:left w:val="single" w:color="B8BCC6" w:sz="4"/>
              <w:bottom w:val="single" w:color="B8BCC6" w:sz="4"/>
              <w:right w:val="single" w:color="B8BCC6" w:sz="4"/>
            </w:tcBorders>
            <w:tcMar>
              <w:top w:type="dxa" w:w="50"/>
              <w:left w:type="dxa" w:w="90"/>
              <w:bottom w:type="dxa" w:w="50"/>
              <w:right w:type="dxa" w:w="90"/>
            </w:tcMar>
          </w:tcPr>
          <w:p>
            <w:pPr>
              <w:spacing w:after="20"/>
            </w:pPr>
            <w:r>
              <w:rPr>
                <w:sz w:val="18"/>
                <w:szCs w:val="18"/>
              </w:rPr>
              <w:t xml:space="preserve">Stripe o Redsys en modo pruebas</w:t>
            </w:r>
          </w:p>
        </w:tc>
        <w:tc>
          <w:tcPr>
            <w:tcW w:type="dxa" w:w="3322"/>
            <w:tcBorders>
              <w:top w:val="single" w:color="B8BCC6" w:sz="4"/>
              <w:left w:val="single" w:color="B8BCC6" w:sz="4"/>
              <w:bottom w:val="single" w:color="B8BCC6" w:sz="4"/>
              <w:right w:val="single" w:color="B8BCC6" w:sz="4"/>
            </w:tcBorders>
            <w:tcMar>
              <w:top w:type="dxa" w:w="50"/>
              <w:left w:type="dxa" w:w="90"/>
              <w:bottom w:type="dxa" w:w="50"/>
              <w:right w:type="dxa" w:w="90"/>
            </w:tcMar>
          </w:tcPr>
          <w:p>
            <w:pPr>
              <w:spacing w:after="20"/>
            </w:pPr>
            <w:r>
              <w:rPr>
                <w:sz w:val="18"/>
                <w:szCs w:val="18"/>
              </w:rPr>
              <w:t xml:space="preserve">Evita crear cuentas y claves de terceros (el enunciado prohíbe credenciales). Replica el convenio de tarjetas de prueba y solo guarda los 4 últimos dígitos.</w:t>
            </w:r>
          </w:p>
        </w:tc>
      </w:tr>
      <w:tr>
        <w:trPr>
          <w:tblHeader w:val="false"/>
        </w:trPr>
        <w:tc>
          <w:tcPr>
            <w:tcW w:type="dxa" w:w="1500"/>
            <w:tcBorders>
              <w:top w:val="single" w:color="B8BCC6" w:sz="4"/>
              <w:left w:val="single" w:color="B8BCC6" w:sz="4"/>
              <w:bottom w:val="single" w:color="B8BCC6" w:sz="4"/>
              <w:right w:val="single" w:color="B8BCC6" w:sz="4"/>
            </w:tcBorders>
            <w:shd w:fill="F3F5F8" w:color="auto" w:val="clear"/>
            <w:tcMar>
              <w:top w:type="dxa" w:w="50"/>
              <w:left w:type="dxa" w:w="90"/>
              <w:bottom w:type="dxa" w:w="50"/>
              <w:right w:type="dxa" w:w="90"/>
            </w:tcMar>
          </w:tcPr>
          <w:p>
            <w:pPr>
              <w:spacing w:after="20"/>
            </w:pPr>
            <w:r>
              <w:rPr>
                <w:sz w:val="18"/>
                <w:szCs w:val="18"/>
              </w:rPr>
              <w:t xml:space="preserve">Eventos</w:t>
            </w:r>
          </w:p>
        </w:tc>
        <w:tc>
          <w:tcPr>
            <w:tcW w:type="dxa" w:w="2000"/>
            <w:tcBorders>
              <w:top w:val="single" w:color="B8BCC6" w:sz="4"/>
              <w:left w:val="single" w:color="B8BCC6" w:sz="4"/>
              <w:bottom w:val="single" w:color="B8BCC6" w:sz="4"/>
              <w:right w:val="single" w:color="B8BCC6" w:sz="4"/>
            </w:tcBorders>
            <w:shd w:fill="F3F5F8" w:color="auto" w:val="clear"/>
            <w:tcMar>
              <w:top w:type="dxa" w:w="50"/>
              <w:left w:type="dxa" w:w="90"/>
              <w:bottom w:type="dxa" w:w="50"/>
              <w:right w:type="dxa" w:w="90"/>
            </w:tcMar>
          </w:tcPr>
          <w:p>
            <w:pPr>
              <w:spacing w:after="20"/>
            </w:pPr>
            <w:r>
              <w:rPr>
                <w:sz w:val="18"/>
                <w:szCs w:val="18"/>
              </w:rPr>
              <w:t xml:space="preserve">Tabla en la base de datos + API con cursor</w:t>
            </w:r>
          </w:p>
        </w:tc>
        <w:tc>
          <w:tcPr>
            <w:tcW w:type="dxa" w:w="2250"/>
            <w:tcBorders>
              <w:top w:val="single" w:color="B8BCC6" w:sz="4"/>
              <w:left w:val="single" w:color="B8BCC6" w:sz="4"/>
              <w:bottom w:val="single" w:color="B8BCC6" w:sz="4"/>
              <w:right w:val="single" w:color="B8BCC6" w:sz="4"/>
            </w:tcBorders>
            <w:shd w:fill="F3F5F8" w:color="auto" w:val="clear"/>
            <w:tcMar>
              <w:top w:type="dxa" w:w="50"/>
              <w:left w:type="dxa" w:w="90"/>
              <w:bottom w:type="dxa" w:w="50"/>
              <w:right w:type="dxa" w:w="90"/>
            </w:tcMar>
          </w:tcPr>
          <w:p>
            <w:pPr>
              <w:spacing w:after="20"/>
            </w:pPr>
            <w:r>
              <w:rPr>
                <w:sz w:val="18"/>
                <w:szCs w:val="18"/>
              </w:rPr>
              <w:t xml:space="preserve">Fichero de log; Google Analytics; cola de mensajes</w:t>
            </w:r>
          </w:p>
        </w:tc>
        <w:tc>
          <w:tcPr>
            <w:tcW w:type="dxa" w:w="3322"/>
            <w:tcBorders>
              <w:top w:val="single" w:color="B8BCC6" w:sz="4"/>
              <w:left w:val="single" w:color="B8BCC6" w:sz="4"/>
              <w:bottom w:val="single" w:color="B8BCC6" w:sz="4"/>
              <w:right w:val="single" w:color="B8BCC6" w:sz="4"/>
            </w:tcBorders>
            <w:shd w:fill="F3F5F8" w:color="auto" w:val="clear"/>
            <w:tcMar>
              <w:top w:type="dxa" w:w="50"/>
              <w:left w:type="dxa" w:w="90"/>
              <w:bottom w:type="dxa" w:w="50"/>
              <w:right w:type="dxa" w:w="90"/>
            </w:tcMar>
          </w:tcPr>
          <w:p>
            <w:pPr>
              <w:spacing w:after="20"/>
            </w:pPr>
            <w:r>
              <w:rPr>
                <w:sz w:val="18"/>
                <w:szCs w:val="18"/>
              </w:rPr>
              <w:t xml:space="preserve">Permite guardar el evento en la misma transacción que el dato de negocio y consultarlo con SQL. La analítica externa no registra eventos de servidor y cede datos a terceros; una cola necesita infraestructura que no hay en un hosting compartido.</w:t>
            </w:r>
          </w:p>
        </w:tc>
      </w:tr>
      <w:tr>
        <w:trPr>
          <w:tblHeader w:val="false"/>
        </w:trPr>
        <w:tc>
          <w:tcPr>
            <w:tcW w:type="dxa" w:w="1500"/>
            <w:tcBorders>
              <w:top w:val="single" w:color="B8BCC6" w:sz="4"/>
              <w:left w:val="single" w:color="B8BCC6" w:sz="4"/>
              <w:bottom w:val="single" w:color="B8BCC6" w:sz="4"/>
              <w:right w:val="single" w:color="B8BCC6" w:sz="4"/>
            </w:tcBorders>
            <w:tcMar>
              <w:top w:type="dxa" w:w="50"/>
              <w:left w:type="dxa" w:w="90"/>
              <w:bottom w:type="dxa" w:w="50"/>
              <w:right w:type="dxa" w:w="90"/>
            </w:tcMar>
          </w:tcPr>
          <w:p>
            <w:pPr>
              <w:spacing w:after="20"/>
            </w:pPr>
            <w:r>
              <w:rPr>
                <w:sz w:val="18"/>
                <w:szCs w:val="18"/>
              </w:rPr>
              <w:t xml:space="preserve">Clientes</w:t>
            </w:r>
          </w:p>
        </w:tc>
        <w:tc>
          <w:tcPr>
            <w:tcW w:type="dxa" w:w="2000"/>
            <w:tcBorders>
              <w:top w:val="single" w:color="B8BCC6" w:sz="4"/>
              <w:left w:val="single" w:color="B8BCC6" w:sz="4"/>
              <w:bottom w:val="single" w:color="B8BCC6" w:sz="4"/>
              <w:right w:val="single" w:color="B8BCC6" w:sz="4"/>
            </w:tcBorders>
            <w:tcMar>
              <w:top w:type="dxa" w:w="50"/>
              <w:left w:type="dxa" w:w="90"/>
              <w:bottom w:type="dxa" w:w="50"/>
              <w:right w:type="dxa" w:w="90"/>
            </w:tcMar>
          </w:tcPr>
          <w:p>
            <w:pPr>
              <w:spacing w:after="20"/>
            </w:pPr>
            <w:r>
              <w:rPr>
                <w:sz w:val="18"/>
                <w:szCs w:val="18"/>
              </w:rPr>
              <w:t xml:space="preserve">Email + código de pedido, sin cuentas</w:t>
            </w:r>
          </w:p>
        </w:tc>
        <w:tc>
          <w:tcPr>
            <w:tcW w:type="dxa" w:w="2250"/>
            <w:tcBorders>
              <w:top w:val="single" w:color="B8BCC6" w:sz="4"/>
              <w:left w:val="single" w:color="B8BCC6" w:sz="4"/>
              <w:bottom w:val="single" w:color="B8BCC6" w:sz="4"/>
              <w:right w:val="single" w:color="B8BCC6" w:sz="4"/>
            </w:tcBorders>
            <w:tcMar>
              <w:top w:type="dxa" w:w="50"/>
              <w:left w:type="dxa" w:w="90"/>
              <w:bottom w:type="dxa" w:w="50"/>
              <w:right w:type="dxa" w:w="90"/>
            </w:tcMar>
          </w:tcPr>
          <w:p>
            <w:pPr>
              <w:spacing w:after="20"/>
            </w:pPr>
            <w:r>
              <w:rPr>
                <w:sz w:val="18"/>
                <w:szCs w:val="18"/>
              </w:rPr>
              <w:t xml:space="preserve">Registro con contraseña</w:t>
            </w:r>
          </w:p>
        </w:tc>
        <w:tc>
          <w:tcPr>
            <w:tcW w:type="dxa" w:w="3322"/>
            <w:tcBorders>
              <w:top w:val="single" w:color="B8BCC6" w:sz="4"/>
              <w:left w:val="single" w:color="B8BCC6" w:sz="4"/>
              <w:bottom w:val="single" w:color="B8BCC6" w:sz="4"/>
              <w:right w:val="single" w:color="B8BCC6" w:sz="4"/>
            </w:tcBorders>
            <w:tcMar>
              <w:top w:type="dxa" w:w="50"/>
              <w:left w:type="dxa" w:w="90"/>
              <w:bottom w:type="dxa" w:w="50"/>
              <w:right w:type="dxa" w:w="90"/>
            </w:tcMar>
          </w:tcPr>
          <w:p>
            <w:pPr>
              <w:spacing w:after="20"/>
            </w:pPr>
            <w:r>
              <w:rPr>
                <w:sz w:val="18"/>
                <w:szCs w:val="18"/>
              </w:rPr>
              <w:t xml:space="preserve">Guarda menos datos personales y simplifica el flujo; es suficiente para un prototipo.</w:t>
            </w:r>
          </w:p>
        </w:tc>
      </w:tr>
    </w:tbl>
    <w:p>
      <w:pPr>
        <w:spacing w:after="80"/>
      </w:pPr>
    </w:p>
    <w:p>
      <w:pPr>
        <w:pStyle w:val="Heading1"/>
      </w:pPr>
      <w:r>
        <w:t xml:space="preserve">2. Modelo de datos</w:t>
      </w:r>
    </w:p>
    <w:p>
      <w:pPr>
        <w:jc w:val="center"/>
      </w:pPr>
      <w:r>
        <w:drawing>
          <wp:inline distT="0" distB="0" distL="0" distR="0">
            <wp:extent cx="5762625" cy="3371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62625" cy="3371850"/>
                    </a:xfrm>
                    <a:prstGeom prst="rect">
                      <a:avLst/>
                    </a:prstGeom>
                  </pic:spPr>
                </pic:pic>
              </a:graphicData>
            </a:graphic>
          </wp:inline>
        </w:drawing>
      </w:r>
    </w:p>
    <w:p>
      <w:pPr>
        <w:spacing w:after="200"/>
        <w:jc w:val="center"/>
      </w:pPr>
      <w:r>
        <w:rPr>
          <w:i/>
          <w:iCs/>
          <w:color w:val="555555"/>
          <w:sz w:val="18"/>
          <w:szCs w:val="18"/>
        </w:rPr>
        <w:t xml:space="preserve">Figura 1. Esquema de entidades (15 tablas). Generado a partir de database/esquema_mysql.sql.</w:t>
      </w:r>
    </w:p>
    <w:p>
      <w:pPr>
        <w:spacing w:after="120" w:line="276"/>
        <w:jc w:val="both"/>
      </w:pPr>
      <w:r>
        <w:rPr>
          <w:b/>
          <w:bCs/>
        </w:rPr>
        <w:t xml:space="preserve">Datos maestros.</w:t>
      </w:r>
      <w:r>
        <w:t xml:space="preserve"> </w:t>
      </w:r>
      <w:r>
        <w:rPr>
          <w:rFonts w:ascii="Consolas" w:cs="Consolas" w:eastAsia="Consolas" w:hAnsi="Consolas"/>
          <w:sz w:val="19"/>
          <w:szCs w:val="19"/>
        </w:rPr>
        <w:t xml:space="preserve">categorias</w:t>
      </w:r>
      <w:r>
        <w:t xml:space="preserve">, </w:t>
      </w:r>
      <w:r>
        <w:rPr>
          <w:rFonts w:ascii="Consolas" w:cs="Consolas" w:eastAsia="Consolas" w:hAnsi="Consolas"/>
          <w:sz w:val="19"/>
          <w:szCs w:val="19"/>
        </w:rPr>
        <w:t xml:space="preserve">colores</w:t>
      </w:r>
      <w:r>
        <w:t xml:space="preserve"> y </w:t>
      </w:r>
      <w:r>
        <w:rPr>
          <w:rFonts w:ascii="Consolas" w:cs="Consolas" w:eastAsia="Consolas" w:hAnsi="Consolas"/>
          <w:sz w:val="19"/>
          <w:szCs w:val="19"/>
        </w:rPr>
        <w:t xml:space="preserve">modos</w:t>
      </w:r>
      <w:r>
        <w:t xml:space="preserve"> son los tres criterios del catálogo. </w:t>
      </w:r>
      <w:r>
        <w:rPr>
          <w:rFonts w:ascii="Consolas" w:cs="Consolas" w:eastAsia="Consolas" w:hAnsi="Consolas"/>
          <w:sz w:val="19"/>
          <w:szCs w:val="19"/>
        </w:rPr>
        <w:t xml:space="preserve">productos</w:t>
      </w:r>
      <w:r>
        <w:t xml:space="preserve"> guarda la información común de cada modelo (precio, material, autonomía, si tiene tallas) y </w:t>
      </w:r>
      <w:r>
        <w:rPr>
          <w:rFonts w:ascii="Consolas" w:cs="Consolas" w:eastAsia="Consolas" w:hAnsi="Consolas"/>
          <w:sz w:val="19"/>
          <w:szCs w:val="19"/>
        </w:rPr>
        <w:t xml:space="preserve">producto_modos</w:t>
      </w:r>
      <w:r>
        <w:t xml:space="preserve"> resuelve la relación N:M entre productos y modos admitidos. </w:t>
      </w:r>
      <w:r>
        <w:rPr>
          <w:rFonts w:ascii="Consolas" w:cs="Consolas" w:eastAsia="Consolas" w:hAnsi="Consolas"/>
          <w:sz w:val="19"/>
          <w:szCs w:val="19"/>
        </w:rPr>
        <w:t xml:space="preserve">variantes</w:t>
      </w:r>
      <w:r>
        <w:t xml:space="preserve"> representa cada SKU (producto + color) con su stock e imagen. </w:t>
      </w:r>
      <w:r>
        <w:rPr>
          <w:rFonts w:ascii="Consolas" w:cs="Consolas" w:eastAsia="Consolas" w:hAnsi="Consolas"/>
          <w:sz w:val="19"/>
          <w:szCs w:val="19"/>
        </w:rPr>
        <w:t xml:space="preserve">cupones</w:t>
      </w:r>
      <w:r>
        <w:t xml:space="preserve"> y </w:t>
      </w:r>
      <w:r>
        <w:rPr>
          <w:rFonts w:ascii="Consolas" w:cs="Consolas" w:eastAsia="Consolas" w:hAnsi="Consolas"/>
          <w:sz w:val="19"/>
          <w:szCs w:val="19"/>
        </w:rPr>
        <w:t xml:space="preserve">usuarios_admin</w:t>
      </w:r>
      <w:r>
        <w:t xml:space="preserve"> completan los datos de referencia.</w:t>
      </w:r>
    </w:p>
    <w:p>
      <w:pPr>
        <w:spacing w:after="120" w:line="276"/>
        <w:jc w:val="both"/>
      </w:pPr>
      <w:r>
        <w:rPr>
          <w:b/>
          <w:bCs/>
        </w:rPr>
        <w:t xml:space="preserve">Datos transaccionales.</w:t>
      </w:r>
      <w:r>
        <w:t xml:space="preserve"> </w:t>
      </w:r>
      <w:r>
        <w:rPr>
          <w:rFonts w:ascii="Consolas" w:cs="Consolas" w:eastAsia="Consolas" w:hAnsi="Consolas"/>
          <w:sz w:val="19"/>
          <w:szCs w:val="19"/>
        </w:rPr>
        <w:t xml:space="preserve">clientes</w:t>
      </w:r>
      <w:r>
        <w:t xml:space="preserve"> se identifica por un email único. </w:t>
      </w:r>
      <w:r>
        <w:rPr>
          <w:rFonts w:ascii="Consolas" w:cs="Consolas" w:eastAsia="Consolas" w:hAnsi="Consolas"/>
          <w:sz w:val="19"/>
          <w:szCs w:val="19"/>
        </w:rPr>
        <w:t xml:space="preserve">pedidos</w:t>
      </w:r>
      <w:r>
        <w:t xml:space="preserve"> guarda el código único (</w:t>
      </w:r>
      <w:r>
        <w:rPr>
          <w:rFonts w:ascii="Consolas" w:cs="Consolas" w:eastAsia="Consolas" w:hAnsi="Consolas"/>
          <w:sz w:val="19"/>
          <w:szCs w:val="19"/>
        </w:rPr>
        <w:t xml:space="preserve">NCZ-AAMMDD-XXXXXX</w:t>
      </w:r>
      <w:r>
        <w:t xml:space="preserve">), el estado, el desglose completo de importes (subtotal, descuento, envío, base imponible, IVA y total) y una copia de la dirección. </w:t>
      </w:r>
      <w:r>
        <w:rPr>
          <w:rFonts w:ascii="Consolas" w:cs="Consolas" w:eastAsia="Consolas" w:hAnsi="Consolas"/>
          <w:sz w:val="19"/>
          <w:szCs w:val="19"/>
        </w:rPr>
        <w:t xml:space="preserve">lineas_pedido</w:t>
      </w:r>
      <w:r>
        <w:t xml:space="preserve"> conserva la descripción y el precio del momento de la compra para que un cambio de precio posterior no altere pedidos pasados. </w:t>
      </w:r>
      <w:r>
        <w:rPr>
          <w:rFonts w:ascii="Consolas" w:cs="Consolas" w:eastAsia="Consolas" w:hAnsi="Consolas"/>
          <w:sz w:val="19"/>
          <w:szCs w:val="19"/>
        </w:rPr>
        <w:t xml:space="preserve">pagos</w:t>
      </w:r>
      <w:r>
        <w:t xml:space="preserve"> registra cada intento, aprobado o rechazado; </w:t>
      </w:r>
      <w:r>
        <w:rPr>
          <w:rFonts w:ascii="Consolas" w:cs="Consolas" w:eastAsia="Consolas" w:hAnsi="Consolas"/>
          <w:sz w:val="19"/>
          <w:szCs w:val="19"/>
        </w:rPr>
        <w:t xml:space="preserve">historial_estados</w:t>
      </w:r>
      <w:r>
        <w:t xml:space="preserve"> deja trazabilidad de cada transición (quién, cuándo y por qué); </w:t>
      </w:r>
      <w:r>
        <w:rPr>
          <w:rFonts w:ascii="Consolas" w:cs="Consolas" w:eastAsia="Consolas" w:hAnsi="Consolas"/>
          <w:sz w:val="19"/>
          <w:szCs w:val="19"/>
        </w:rPr>
        <w:t xml:space="preserve">incidencias</w:t>
      </w:r>
      <w:r>
        <w:t xml:space="preserve"> recoge el soporte postventa.</w:t>
      </w:r>
    </w:p>
    <w:p>
      <w:pPr>
        <w:spacing w:after="120" w:line="276"/>
        <w:jc w:val="both"/>
      </w:pPr>
      <w:r>
        <w:rPr>
          <w:b/>
          <w:bCs/>
        </w:rPr>
        <w:t xml:space="preserve">Eventos.</w:t>
      </w:r>
      <w:r>
        <w:t xml:space="preserve"> La tabla </w:t>
      </w:r>
      <w:r>
        <w:rPr>
          <w:rFonts w:ascii="Consolas" w:cs="Consolas" w:eastAsia="Consolas" w:hAnsi="Consolas"/>
          <w:sz w:val="19"/>
          <w:szCs w:val="19"/>
        </w:rPr>
        <w:t xml:space="preserve">eventos</w:t>
      </w:r>
      <w:r>
        <w:t xml:space="preserve"> no tiene claves foráneas a propósito: es un registro de solo inserción que debe conservarse aunque los datos transaccionales se archiven o se borren.</w:t>
      </w:r>
    </w:p>
    <w:p>
      <w:pPr>
        <w:spacing w:after="120" w:line="276"/>
        <w:jc w:val="both"/>
      </w:pPr>
      <w:r>
        <w:rPr>
          <w:b/>
          <w:bCs/>
        </w:rPr>
        <w:t xml:space="preserve">Integridad.</w:t>
      </w:r>
      <w:r>
        <w:t xml:space="preserve"> Claves foráneas; campos únicos (SKU, email, código de pedido, referencia de pago, uuid del evento); </w:t>
      </w:r>
      <w:r>
        <w:rPr>
          <w:rFonts w:ascii="Consolas" w:cs="Consolas" w:eastAsia="Consolas" w:hAnsi="Consolas"/>
          <w:sz w:val="19"/>
          <w:szCs w:val="19"/>
        </w:rPr>
        <w:t xml:space="preserve">CHECK (stock &gt;= 0)</w:t>
      </w:r>
      <w:r>
        <w:t xml:space="preserve">; descuento de stock condicionado (</w:t>
      </w:r>
      <w:r>
        <w:rPr>
          <w:rFonts w:ascii="Consolas" w:cs="Consolas" w:eastAsia="Consolas" w:hAnsi="Consolas"/>
          <w:sz w:val="19"/>
          <w:szCs w:val="19"/>
        </w:rPr>
        <w:t xml:space="preserve">UPDATE … WHERE stock &gt;= cantidad</w:t>
      </w:r>
      <w:r>
        <w:t xml:space="preserve">) para no vender de más con compras simultáneas; importes calculados en céntimos enteros para evitar errores de redondeo. El ciclo de vida del pedido es una máquina de estados:</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2600"/>
        <w:gridCol w:w="6472"/>
      </w:tblGrid>
      <w:tr>
        <w:trPr>
          <w:tblHeader/>
        </w:trPr>
        <w:tc>
          <w:tcPr>
            <w:tcW w:type="dxa" w:w="2600"/>
            <w:tcBorders>
              <w:top w:val="single" w:color="B8BCC6" w:sz="4"/>
              <w:left w:val="single" w:color="B8BCC6" w:sz="4"/>
              <w:bottom w:val="single" w:color="B8BCC6" w:sz="4"/>
              <w:right w:val="single" w:color="B8BCC6" w:sz="4"/>
            </w:tcBorders>
            <w:shd w:fill="1F3A5F" w:color="auto" w:val="clear"/>
            <w:tcMar>
              <w:top w:type="dxa" w:w="50"/>
              <w:left w:type="dxa" w:w="90"/>
              <w:bottom w:type="dxa" w:w="50"/>
              <w:right w:type="dxa" w:w="90"/>
            </w:tcMar>
          </w:tcPr>
          <w:p>
            <w:pPr>
              <w:spacing w:after="20"/>
            </w:pPr>
            <w:r>
              <w:rPr>
                <w:b/>
                <w:bCs/>
                <w:color w:val="FFFFFF"/>
                <w:sz w:val="18"/>
                <w:szCs w:val="18"/>
              </w:rPr>
              <w:t xml:space="preserve">Estado</w:t>
            </w:r>
          </w:p>
        </w:tc>
        <w:tc>
          <w:tcPr>
            <w:tcW w:type="dxa" w:w="6472"/>
            <w:tcBorders>
              <w:top w:val="single" w:color="B8BCC6" w:sz="4"/>
              <w:left w:val="single" w:color="B8BCC6" w:sz="4"/>
              <w:bottom w:val="single" w:color="B8BCC6" w:sz="4"/>
              <w:right w:val="single" w:color="B8BCC6" w:sz="4"/>
            </w:tcBorders>
            <w:shd w:fill="1F3A5F" w:color="auto" w:val="clear"/>
            <w:tcMar>
              <w:top w:type="dxa" w:w="50"/>
              <w:left w:type="dxa" w:w="90"/>
              <w:bottom w:type="dxa" w:w="50"/>
              <w:right w:type="dxa" w:w="90"/>
            </w:tcMar>
          </w:tcPr>
          <w:p>
            <w:pPr>
              <w:spacing w:after="20"/>
            </w:pPr>
            <w:r>
              <w:rPr>
                <w:b/>
                <w:bCs/>
                <w:color w:val="FFFFFF"/>
                <w:sz w:val="18"/>
                <w:szCs w:val="18"/>
              </w:rPr>
              <w:t xml:space="preserve">Transiciones permitidas</w:t>
            </w:r>
          </w:p>
        </w:tc>
      </w:tr>
      <w:tr>
        <w:trPr>
          <w:tblHeader w:val="false"/>
        </w:trPr>
        <w:tc>
          <w:tcPr>
            <w:tcW w:type="dxa" w:w="2600"/>
            <w:tcBorders>
              <w:top w:val="single" w:color="B8BCC6" w:sz="4"/>
              <w:left w:val="single" w:color="B8BCC6" w:sz="4"/>
              <w:bottom w:val="single" w:color="B8BCC6" w:sz="4"/>
              <w:right w:val="single" w:color="B8BCC6" w:sz="4"/>
            </w:tcBorders>
            <w:tcMar>
              <w:top w:type="dxa" w:w="50"/>
              <w:left w:type="dxa" w:w="90"/>
              <w:bottom w:type="dxa" w:w="50"/>
              <w:right w:type="dxa" w:w="90"/>
            </w:tcMar>
          </w:tcPr>
          <w:p>
            <w:pPr>
              <w:spacing w:after="20"/>
            </w:pPr>
            <w:r>
              <w:rPr>
                <w:sz w:val="18"/>
                <w:szCs w:val="18"/>
              </w:rPr>
              <w:t xml:space="preserve">creado</w:t>
            </w:r>
          </w:p>
        </w:tc>
        <w:tc>
          <w:tcPr>
            <w:tcW w:type="dxa" w:w="6472"/>
            <w:tcBorders>
              <w:top w:val="single" w:color="B8BCC6" w:sz="4"/>
              <w:left w:val="single" w:color="B8BCC6" w:sz="4"/>
              <w:bottom w:val="single" w:color="B8BCC6" w:sz="4"/>
              <w:right w:val="single" w:color="B8BCC6" w:sz="4"/>
            </w:tcBorders>
            <w:tcMar>
              <w:top w:type="dxa" w:w="50"/>
              <w:left w:type="dxa" w:w="90"/>
              <w:bottom w:type="dxa" w:w="50"/>
              <w:right w:type="dxa" w:w="90"/>
            </w:tcMar>
          </w:tcPr>
          <w:p>
            <w:pPr>
              <w:spacing w:after="20"/>
            </w:pPr>
            <w:r>
              <w:rPr>
                <w:sz w:val="18"/>
                <w:szCs w:val="18"/>
              </w:rPr>
              <w:t xml:space="preserve">pagado (solo la pasarela simulada), cancelado</w:t>
            </w:r>
          </w:p>
        </w:tc>
      </w:tr>
      <w:tr>
        <w:trPr>
          <w:tblHeader w:val="false"/>
        </w:trPr>
        <w:tc>
          <w:tcPr>
            <w:tcW w:type="dxa" w:w="2600"/>
            <w:tcBorders>
              <w:top w:val="single" w:color="B8BCC6" w:sz="4"/>
              <w:left w:val="single" w:color="B8BCC6" w:sz="4"/>
              <w:bottom w:val="single" w:color="B8BCC6" w:sz="4"/>
              <w:right w:val="single" w:color="B8BCC6" w:sz="4"/>
            </w:tcBorders>
            <w:shd w:fill="F3F5F8" w:color="auto" w:val="clear"/>
            <w:tcMar>
              <w:top w:type="dxa" w:w="50"/>
              <w:left w:type="dxa" w:w="90"/>
              <w:bottom w:type="dxa" w:w="50"/>
              <w:right w:type="dxa" w:w="90"/>
            </w:tcMar>
          </w:tcPr>
          <w:p>
            <w:pPr>
              <w:spacing w:after="20"/>
            </w:pPr>
            <w:r>
              <w:rPr>
                <w:sz w:val="18"/>
                <w:szCs w:val="18"/>
              </w:rPr>
              <w:t xml:space="preserve">pagado</w:t>
            </w:r>
          </w:p>
        </w:tc>
        <w:tc>
          <w:tcPr>
            <w:tcW w:type="dxa" w:w="6472"/>
            <w:tcBorders>
              <w:top w:val="single" w:color="B8BCC6" w:sz="4"/>
              <w:left w:val="single" w:color="B8BCC6" w:sz="4"/>
              <w:bottom w:val="single" w:color="B8BCC6" w:sz="4"/>
              <w:right w:val="single" w:color="B8BCC6" w:sz="4"/>
            </w:tcBorders>
            <w:shd w:fill="F3F5F8" w:color="auto" w:val="clear"/>
            <w:tcMar>
              <w:top w:type="dxa" w:w="50"/>
              <w:left w:type="dxa" w:w="90"/>
              <w:bottom w:type="dxa" w:w="50"/>
              <w:right w:type="dxa" w:w="90"/>
            </w:tcMar>
          </w:tcPr>
          <w:p>
            <w:pPr>
              <w:spacing w:after="20"/>
            </w:pPr>
            <w:r>
              <w:rPr>
                <w:sz w:val="18"/>
                <w:szCs w:val="18"/>
              </w:rPr>
              <w:t xml:space="preserve">en_preparacion, incidencia, cancelado</w:t>
            </w:r>
          </w:p>
        </w:tc>
      </w:tr>
      <w:tr>
        <w:trPr>
          <w:tblHeader w:val="false"/>
        </w:trPr>
        <w:tc>
          <w:tcPr>
            <w:tcW w:type="dxa" w:w="2600"/>
            <w:tcBorders>
              <w:top w:val="single" w:color="B8BCC6" w:sz="4"/>
              <w:left w:val="single" w:color="B8BCC6" w:sz="4"/>
              <w:bottom w:val="single" w:color="B8BCC6" w:sz="4"/>
              <w:right w:val="single" w:color="B8BCC6" w:sz="4"/>
            </w:tcBorders>
            <w:tcMar>
              <w:top w:type="dxa" w:w="50"/>
              <w:left w:type="dxa" w:w="90"/>
              <w:bottom w:type="dxa" w:w="50"/>
              <w:right w:type="dxa" w:w="90"/>
            </w:tcMar>
          </w:tcPr>
          <w:p>
            <w:pPr>
              <w:spacing w:after="20"/>
            </w:pPr>
            <w:r>
              <w:rPr>
                <w:sz w:val="18"/>
                <w:szCs w:val="18"/>
              </w:rPr>
              <w:t xml:space="preserve">en_preparacion</w:t>
            </w:r>
          </w:p>
        </w:tc>
        <w:tc>
          <w:tcPr>
            <w:tcW w:type="dxa" w:w="6472"/>
            <w:tcBorders>
              <w:top w:val="single" w:color="B8BCC6" w:sz="4"/>
              <w:left w:val="single" w:color="B8BCC6" w:sz="4"/>
              <w:bottom w:val="single" w:color="B8BCC6" w:sz="4"/>
              <w:right w:val="single" w:color="B8BCC6" w:sz="4"/>
            </w:tcBorders>
            <w:tcMar>
              <w:top w:type="dxa" w:w="50"/>
              <w:left w:type="dxa" w:w="90"/>
              <w:bottom w:type="dxa" w:w="50"/>
              <w:right w:type="dxa" w:w="90"/>
            </w:tcMar>
          </w:tcPr>
          <w:p>
            <w:pPr>
              <w:spacing w:after="20"/>
            </w:pPr>
            <w:r>
              <w:rPr>
                <w:sz w:val="18"/>
                <w:szCs w:val="18"/>
              </w:rPr>
              <w:t xml:space="preserve">enviado, incidencia, cancelado</w:t>
            </w:r>
          </w:p>
        </w:tc>
      </w:tr>
      <w:tr>
        <w:trPr>
          <w:tblHeader w:val="false"/>
        </w:trPr>
        <w:tc>
          <w:tcPr>
            <w:tcW w:type="dxa" w:w="2600"/>
            <w:tcBorders>
              <w:top w:val="single" w:color="B8BCC6" w:sz="4"/>
              <w:left w:val="single" w:color="B8BCC6" w:sz="4"/>
              <w:bottom w:val="single" w:color="B8BCC6" w:sz="4"/>
              <w:right w:val="single" w:color="B8BCC6" w:sz="4"/>
            </w:tcBorders>
            <w:shd w:fill="F3F5F8" w:color="auto" w:val="clear"/>
            <w:tcMar>
              <w:top w:type="dxa" w:w="50"/>
              <w:left w:type="dxa" w:w="90"/>
              <w:bottom w:type="dxa" w:w="50"/>
              <w:right w:type="dxa" w:w="90"/>
            </w:tcMar>
          </w:tcPr>
          <w:p>
            <w:pPr>
              <w:spacing w:after="20"/>
            </w:pPr>
            <w:r>
              <w:rPr>
                <w:sz w:val="18"/>
                <w:szCs w:val="18"/>
              </w:rPr>
              <w:t xml:space="preserve">enviado</w:t>
            </w:r>
          </w:p>
        </w:tc>
        <w:tc>
          <w:tcPr>
            <w:tcW w:type="dxa" w:w="6472"/>
            <w:tcBorders>
              <w:top w:val="single" w:color="B8BCC6" w:sz="4"/>
              <w:left w:val="single" w:color="B8BCC6" w:sz="4"/>
              <w:bottom w:val="single" w:color="B8BCC6" w:sz="4"/>
              <w:right w:val="single" w:color="B8BCC6" w:sz="4"/>
            </w:tcBorders>
            <w:shd w:fill="F3F5F8" w:color="auto" w:val="clear"/>
            <w:tcMar>
              <w:top w:type="dxa" w:w="50"/>
              <w:left w:type="dxa" w:w="90"/>
              <w:bottom w:type="dxa" w:w="50"/>
              <w:right w:type="dxa" w:w="90"/>
            </w:tcMar>
          </w:tcPr>
          <w:p>
            <w:pPr>
              <w:spacing w:after="20"/>
            </w:pPr>
            <w:r>
              <w:rPr>
                <w:sz w:val="18"/>
                <w:szCs w:val="18"/>
              </w:rPr>
              <w:t xml:space="preserve">entregado, incidencia</w:t>
            </w:r>
          </w:p>
        </w:tc>
      </w:tr>
      <w:tr>
        <w:trPr>
          <w:tblHeader w:val="false"/>
        </w:trPr>
        <w:tc>
          <w:tcPr>
            <w:tcW w:type="dxa" w:w="2600"/>
            <w:tcBorders>
              <w:top w:val="single" w:color="B8BCC6" w:sz="4"/>
              <w:left w:val="single" w:color="B8BCC6" w:sz="4"/>
              <w:bottom w:val="single" w:color="B8BCC6" w:sz="4"/>
              <w:right w:val="single" w:color="B8BCC6" w:sz="4"/>
            </w:tcBorders>
            <w:tcMar>
              <w:top w:type="dxa" w:w="50"/>
              <w:left w:type="dxa" w:w="90"/>
              <w:bottom w:type="dxa" w:w="50"/>
              <w:right w:type="dxa" w:w="90"/>
            </w:tcMar>
          </w:tcPr>
          <w:p>
            <w:pPr>
              <w:spacing w:after="20"/>
            </w:pPr>
            <w:r>
              <w:rPr>
                <w:sz w:val="18"/>
                <w:szCs w:val="18"/>
              </w:rPr>
              <w:t xml:space="preserve">entregado</w:t>
            </w:r>
          </w:p>
        </w:tc>
        <w:tc>
          <w:tcPr>
            <w:tcW w:type="dxa" w:w="6472"/>
            <w:tcBorders>
              <w:top w:val="single" w:color="B8BCC6" w:sz="4"/>
              <w:left w:val="single" w:color="B8BCC6" w:sz="4"/>
              <w:bottom w:val="single" w:color="B8BCC6" w:sz="4"/>
              <w:right w:val="single" w:color="B8BCC6" w:sz="4"/>
            </w:tcBorders>
            <w:tcMar>
              <w:top w:type="dxa" w:w="50"/>
              <w:left w:type="dxa" w:w="90"/>
              <w:bottom w:type="dxa" w:w="50"/>
              <w:right w:type="dxa" w:w="90"/>
            </w:tcMar>
          </w:tcPr>
          <w:p>
            <w:pPr>
              <w:spacing w:after="20"/>
            </w:pPr>
            <w:r>
              <w:rPr>
                <w:sz w:val="18"/>
                <w:szCs w:val="18"/>
              </w:rPr>
              <w:t xml:space="preserve">incidencia</w:t>
            </w:r>
          </w:p>
        </w:tc>
      </w:tr>
      <w:tr>
        <w:trPr>
          <w:tblHeader w:val="false"/>
        </w:trPr>
        <w:tc>
          <w:tcPr>
            <w:tcW w:type="dxa" w:w="2600"/>
            <w:tcBorders>
              <w:top w:val="single" w:color="B8BCC6" w:sz="4"/>
              <w:left w:val="single" w:color="B8BCC6" w:sz="4"/>
              <w:bottom w:val="single" w:color="B8BCC6" w:sz="4"/>
              <w:right w:val="single" w:color="B8BCC6" w:sz="4"/>
            </w:tcBorders>
            <w:shd w:fill="F3F5F8" w:color="auto" w:val="clear"/>
            <w:tcMar>
              <w:top w:type="dxa" w:w="50"/>
              <w:left w:type="dxa" w:w="90"/>
              <w:bottom w:type="dxa" w:w="50"/>
              <w:right w:type="dxa" w:w="90"/>
            </w:tcMar>
          </w:tcPr>
          <w:p>
            <w:pPr>
              <w:spacing w:after="20"/>
            </w:pPr>
            <w:r>
              <w:rPr>
                <w:sz w:val="18"/>
                <w:szCs w:val="18"/>
              </w:rPr>
              <w:t xml:space="preserve">incidencia</w:t>
            </w:r>
          </w:p>
        </w:tc>
        <w:tc>
          <w:tcPr>
            <w:tcW w:type="dxa" w:w="6472"/>
            <w:tcBorders>
              <w:top w:val="single" w:color="B8BCC6" w:sz="4"/>
              <w:left w:val="single" w:color="B8BCC6" w:sz="4"/>
              <w:bottom w:val="single" w:color="B8BCC6" w:sz="4"/>
              <w:right w:val="single" w:color="B8BCC6" w:sz="4"/>
            </w:tcBorders>
            <w:shd w:fill="F3F5F8" w:color="auto" w:val="clear"/>
            <w:tcMar>
              <w:top w:type="dxa" w:w="50"/>
              <w:left w:type="dxa" w:w="90"/>
              <w:bottom w:type="dxa" w:w="50"/>
              <w:right w:type="dxa" w:w="90"/>
            </w:tcMar>
          </w:tcPr>
          <w:p>
            <w:pPr>
              <w:spacing w:after="20"/>
            </w:pPr>
            <w:r>
              <w:rPr>
                <w:sz w:val="18"/>
                <w:szCs w:val="18"/>
              </w:rPr>
              <w:t xml:space="preserve">en_preparacion, enviado, entregado, cancelado</w:t>
            </w:r>
          </w:p>
        </w:tc>
      </w:tr>
      <w:tr>
        <w:trPr>
          <w:tblHeader w:val="false"/>
        </w:trPr>
        <w:tc>
          <w:tcPr>
            <w:tcW w:type="dxa" w:w="2600"/>
            <w:tcBorders>
              <w:top w:val="single" w:color="B8BCC6" w:sz="4"/>
              <w:left w:val="single" w:color="B8BCC6" w:sz="4"/>
              <w:bottom w:val="single" w:color="B8BCC6" w:sz="4"/>
              <w:right w:val="single" w:color="B8BCC6" w:sz="4"/>
            </w:tcBorders>
            <w:tcMar>
              <w:top w:type="dxa" w:w="50"/>
              <w:left w:type="dxa" w:w="90"/>
              <w:bottom w:type="dxa" w:w="50"/>
              <w:right w:type="dxa" w:w="90"/>
            </w:tcMar>
          </w:tcPr>
          <w:p>
            <w:pPr>
              <w:spacing w:after="20"/>
            </w:pPr>
            <w:r>
              <w:rPr>
                <w:sz w:val="18"/>
                <w:szCs w:val="18"/>
              </w:rPr>
              <w:t xml:space="preserve">cancelado</w:t>
            </w:r>
          </w:p>
        </w:tc>
        <w:tc>
          <w:tcPr>
            <w:tcW w:type="dxa" w:w="6472"/>
            <w:tcBorders>
              <w:top w:val="single" w:color="B8BCC6" w:sz="4"/>
              <w:left w:val="single" w:color="B8BCC6" w:sz="4"/>
              <w:bottom w:val="single" w:color="B8BCC6" w:sz="4"/>
              <w:right w:val="single" w:color="B8BCC6" w:sz="4"/>
            </w:tcBorders>
            <w:tcMar>
              <w:top w:type="dxa" w:w="50"/>
              <w:left w:type="dxa" w:w="90"/>
              <w:bottom w:type="dxa" w:w="50"/>
              <w:right w:type="dxa" w:w="90"/>
            </w:tcMar>
          </w:tcPr>
          <w:p>
            <w:pPr>
              <w:spacing w:after="20"/>
            </w:pPr>
            <w:r>
              <w:rPr>
                <w:sz w:val="18"/>
                <w:szCs w:val="18"/>
              </w:rPr>
              <w:t xml:space="preserve">ninguna (estado final; devuelve el stock)</w:t>
            </w:r>
          </w:p>
        </w:tc>
      </w:tr>
    </w:tbl>
    <w:p>
      <w:pPr>
        <w:spacing w:after="80"/>
      </w:pPr>
    </w:p>
    <w:p>
      <w:pPr>
        <w:pStyle w:val="Heading1"/>
      </w:pPr>
      <w:r>
        <w:t xml:space="preserve">3. Eventos registrados</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2200"/>
        <w:gridCol w:w="1200"/>
        <w:gridCol w:w="5672"/>
      </w:tblGrid>
      <w:tr>
        <w:trPr>
          <w:tblHeader/>
        </w:trPr>
        <w:tc>
          <w:tcPr>
            <w:tcW w:type="dxa" w:w="2200"/>
            <w:tcBorders>
              <w:top w:val="single" w:color="B8BCC6" w:sz="4"/>
              <w:left w:val="single" w:color="B8BCC6" w:sz="4"/>
              <w:bottom w:val="single" w:color="B8BCC6" w:sz="4"/>
              <w:right w:val="single" w:color="B8BCC6" w:sz="4"/>
            </w:tcBorders>
            <w:shd w:fill="1F3A5F" w:color="auto" w:val="clear"/>
            <w:tcMar>
              <w:top w:type="dxa" w:w="50"/>
              <w:left w:type="dxa" w:w="90"/>
              <w:bottom w:type="dxa" w:w="50"/>
              <w:right w:type="dxa" w:w="90"/>
            </w:tcMar>
          </w:tcPr>
          <w:p>
            <w:pPr>
              <w:spacing w:after="20"/>
            </w:pPr>
            <w:r>
              <w:rPr>
                <w:b/>
                <w:bCs/>
                <w:color w:val="FFFFFF"/>
                <w:sz w:val="18"/>
                <w:szCs w:val="18"/>
              </w:rPr>
              <w:t xml:space="preserve">Evento</w:t>
            </w:r>
          </w:p>
        </w:tc>
        <w:tc>
          <w:tcPr>
            <w:tcW w:type="dxa" w:w="1200"/>
            <w:tcBorders>
              <w:top w:val="single" w:color="B8BCC6" w:sz="4"/>
              <w:left w:val="single" w:color="B8BCC6" w:sz="4"/>
              <w:bottom w:val="single" w:color="B8BCC6" w:sz="4"/>
              <w:right w:val="single" w:color="B8BCC6" w:sz="4"/>
            </w:tcBorders>
            <w:shd w:fill="1F3A5F" w:color="auto" w:val="clear"/>
            <w:tcMar>
              <w:top w:type="dxa" w:w="50"/>
              <w:left w:type="dxa" w:w="90"/>
              <w:bottom w:type="dxa" w:w="50"/>
              <w:right w:type="dxa" w:w="90"/>
            </w:tcMar>
          </w:tcPr>
          <w:p>
            <w:pPr>
              <w:spacing w:after="20"/>
            </w:pPr>
            <w:r>
              <w:rPr>
                <w:b/>
                <w:bCs/>
                <w:color w:val="FFFFFF"/>
                <w:sz w:val="18"/>
                <w:szCs w:val="18"/>
              </w:rPr>
              <w:t xml:space="preserve">Origen</w:t>
            </w:r>
          </w:p>
        </w:tc>
        <w:tc>
          <w:tcPr>
            <w:tcW w:type="dxa" w:w="5672"/>
            <w:tcBorders>
              <w:top w:val="single" w:color="B8BCC6" w:sz="4"/>
              <w:left w:val="single" w:color="B8BCC6" w:sz="4"/>
              <w:bottom w:val="single" w:color="B8BCC6" w:sz="4"/>
              <w:right w:val="single" w:color="B8BCC6" w:sz="4"/>
            </w:tcBorders>
            <w:shd w:fill="1F3A5F" w:color="auto" w:val="clear"/>
            <w:tcMar>
              <w:top w:type="dxa" w:w="50"/>
              <w:left w:type="dxa" w:w="90"/>
              <w:bottom w:type="dxa" w:w="50"/>
              <w:right w:type="dxa" w:w="90"/>
            </w:tcMar>
          </w:tcPr>
          <w:p>
            <w:pPr>
              <w:spacing w:after="20"/>
            </w:pPr>
            <w:r>
              <w:rPr>
                <w:b/>
                <w:bCs/>
                <w:color w:val="FFFFFF"/>
                <w:sz w:val="18"/>
                <w:szCs w:val="18"/>
              </w:rPr>
              <w:t xml:space="preserve">Momento y datos principales</w:t>
            </w:r>
          </w:p>
        </w:tc>
      </w:tr>
      <w:tr>
        <w:trPr>
          <w:tblHeader w:val="false"/>
        </w:trPr>
        <w:tc>
          <w:tcPr>
            <w:tcW w:type="dxa" w:w="2200"/>
            <w:tcBorders>
              <w:top w:val="single" w:color="B8BCC6" w:sz="4"/>
              <w:left w:val="single" w:color="B8BCC6" w:sz="4"/>
              <w:bottom w:val="single" w:color="B8BCC6" w:sz="4"/>
              <w:right w:val="single" w:color="B8BCC6" w:sz="4"/>
            </w:tcBorders>
            <w:tcMar>
              <w:top w:type="dxa" w:w="50"/>
              <w:left w:type="dxa" w:w="90"/>
              <w:bottom w:type="dxa" w:w="50"/>
              <w:right w:type="dxa" w:w="90"/>
            </w:tcMar>
          </w:tcPr>
          <w:p>
            <w:pPr>
              <w:spacing w:after="20"/>
            </w:pPr>
            <w:r>
              <w:rPr>
                <w:rFonts w:ascii="Consolas" w:cs="Consolas" w:eastAsia="Consolas" w:hAnsi="Consolas"/>
                <w:sz w:val="19"/>
                <w:szCs w:val="19"/>
              </w:rPr>
              <w:t xml:space="preserve">product.viewed</w:t>
            </w:r>
          </w:p>
        </w:tc>
        <w:tc>
          <w:tcPr>
            <w:tcW w:type="dxa" w:w="1200"/>
            <w:tcBorders>
              <w:top w:val="single" w:color="B8BCC6" w:sz="4"/>
              <w:left w:val="single" w:color="B8BCC6" w:sz="4"/>
              <w:bottom w:val="single" w:color="B8BCC6" w:sz="4"/>
              <w:right w:val="single" w:color="B8BCC6" w:sz="4"/>
            </w:tcBorders>
            <w:tcMar>
              <w:top w:type="dxa" w:w="50"/>
              <w:left w:type="dxa" w:w="90"/>
              <w:bottom w:type="dxa" w:w="50"/>
              <w:right w:type="dxa" w:w="90"/>
            </w:tcMar>
          </w:tcPr>
          <w:p>
            <w:pPr>
              <w:spacing w:after="20"/>
            </w:pPr>
            <w:r>
              <w:rPr>
                <w:sz w:val="18"/>
                <w:szCs w:val="18"/>
              </w:rPr>
              <w:t xml:space="preserve">Navegador</w:t>
            </w:r>
          </w:p>
        </w:tc>
        <w:tc>
          <w:tcPr>
            <w:tcW w:type="dxa" w:w="5672"/>
            <w:tcBorders>
              <w:top w:val="single" w:color="B8BCC6" w:sz="4"/>
              <w:left w:val="single" w:color="B8BCC6" w:sz="4"/>
              <w:bottom w:val="single" w:color="B8BCC6" w:sz="4"/>
              <w:right w:val="single" w:color="B8BCC6" w:sz="4"/>
            </w:tcBorders>
            <w:tcMar>
              <w:top w:type="dxa" w:w="50"/>
              <w:left w:type="dxa" w:w="90"/>
              <w:bottom w:type="dxa" w:w="50"/>
              <w:right w:type="dxa" w:w="90"/>
            </w:tcMar>
          </w:tcPr>
          <w:p>
            <w:pPr>
              <w:spacing w:after="20"/>
            </w:pPr>
            <w:r>
              <w:rPr>
                <w:sz w:val="18"/>
                <w:szCs w:val="18"/>
              </w:rPr>
              <w:t xml:space="preserve">Apertura de una ficha. SKU y precio.</w:t>
            </w:r>
          </w:p>
        </w:tc>
      </w:tr>
      <w:tr>
        <w:trPr>
          <w:tblHeader w:val="false"/>
        </w:trPr>
        <w:tc>
          <w:tcPr>
            <w:tcW w:type="dxa" w:w="2200"/>
            <w:tcBorders>
              <w:top w:val="single" w:color="B8BCC6" w:sz="4"/>
              <w:left w:val="single" w:color="B8BCC6" w:sz="4"/>
              <w:bottom w:val="single" w:color="B8BCC6" w:sz="4"/>
              <w:right w:val="single" w:color="B8BCC6" w:sz="4"/>
            </w:tcBorders>
            <w:shd w:fill="F3F5F8" w:color="auto" w:val="clear"/>
            <w:tcMar>
              <w:top w:type="dxa" w:w="50"/>
              <w:left w:type="dxa" w:w="90"/>
              <w:bottom w:type="dxa" w:w="50"/>
              <w:right w:type="dxa" w:w="90"/>
            </w:tcMar>
          </w:tcPr>
          <w:p>
            <w:pPr>
              <w:spacing w:after="20"/>
            </w:pPr>
            <w:r>
              <w:rPr>
                <w:rFonts w:ascii="Consolas" w:cs="Consolas" w:eastAsia="Consolas" w:hAnsi="Consolas"/>
                <w:sz w:val="19"/>
                <w:szCs w:val="19"/>
              </w:rPr>
              <w:t xml:space="preserve">cart.item_added</w:t>
            </w:r>
          </w:p>
        </w:tc>
        <w:tc>
          <w:tcPr>
            <w:tcW w:type="dxa" w:w="1200"/>
            <w:tcBorders>
              <w:top w:val="single" w:color="B8BCC6" w:sz="4"/>
              <w:left w:val="single" w:color="B8BCC6" w:sz="4"/>
              <w:bottom w:val="single" w:color="B8BCC6" w:sz="4"/>
              <w:right w:val="single" w:color="B8BCC6" w:sz="4"/>
            </w:tcBorders>
            <w:shd w:fill="F3F5F8" w:color="auto" w:val="clear"/>
            <w:tcMar>
              <w:top w:type="dxa" w:w="50"/>
              <w:left w:type="dxa" w:w="90"/>
              <w:bottom w:type="dxa" w:w="50"/>
              <w:right w:type="dxa" w:w="90"/>
            </w:tcMar>
          </w:tcPr>
          <w:p>
            <w:pPr>
              <w:spacing w:after="20"/>
            </w:pPr>
            <w:r>
              <w:rPr>
                <w:sz w:val="18"/>
                <w:szCs w:val="18"/>
              </w:rPr>
              <w:t xml:space="preserve">Navegador</w:t>
            </w:r>
          </w:p>
        </w:tc>
        <w:tc>
          <w:tcPr>
            <w:tcW w:type="dxa" w:w="5672"/>
            <w:tcBorders>
              <w:top w:val="single" w:color="B8BCC6" w:sz="4"/>
              <w:left w:val="single" w:color="B8BCC6" w:sz="4"/>
              <w:bottom w:val="single" w:color="B8BCC6" w:sz="4"/>
              <w:right w:val="single" w:color="B8BCC6" w:sz="4"/>
            </w:tcBorders>
            <w:shd w:fill="F3F5F8" w:color="auto" w:val="clear"/>
            <w:tcMar>
              <w:top w:type="dxa" w:w="50"/>
              <w:left w:type="dxa" w:w="90"/>
              <w:bottom w:type="dxa" w:w="50"/>
              <w:right w:type="dxa" w:w="90"/>
            </w:tcMar>
          </w:tcPr>
          <w:p>
            <w:pPr>
              <w:spacing w:after="20"/>
            </w:pPr>
            <w:r>
              <w:rPr>
                <w:sz w:val="18"/>
                <w:szCs w:val="18"/>
              </w:rPr>
              <w:t xml:space="preserve">Línea añadida al carrito. SKU, modo, talla, cantidad y precio.</w:t>
            </w:r>
          </w:p>
        </w:tc>
      </w:tr>
      <w:tr>
        <w:trPr>
          <w:tblHeader w:val="false"/>
        </w:trPr>
        <w:tc>
          <w:tcPr>
            <w:tcW w:type="dxa" w:w="2200"/>
            <w:tcBorders>
              <w:top w:val="single" w:color="B8BCC6" w:sz="4"/>
              <w:left w:val="single" w:color="B8BCC6" w:sz="4"/>
              <w:bottom w:val="single" w:color="B8BCC6" w:sz="4"/>
              <w:right w:val="single" w:color="B8BCC6" w:sz="4"/>
            </w:tcBorders>
            <w:tcMar>
              <w:top w:type="dxa" w:w="50"/>
              <w:left w:type="dxa" w:w="90"/>
              <w:bottom w:type="dxa" w:w="50"/>
              <w:right w:type="dxa" w:w="90"/>
            </w:tcMar>
          </w:tcPr>
          <w:p>
            <w:pPr>
              <w:spacing w:after="20"/>
            </w:pPr>
            <w:r>
              <w:rPr>
                <w:rFonts w:ascii="Consolas" w:cs="Consolas" w:eastAsia="Consolas" w:hAnsi="Consolas"/>
                <w:sz w:val="19"/>
                <w:szCs w:val="19"/>
              </w:rPr>
              <w:t xml:space="preserve">cart.item_removed</w:t>
            </w:r>
          </w:p>
        </w:tc>
        <w:tc>
          <w:tcPr>
            <w:tcW w:type="dxa" w:w="1200"/>
            <w:tcBorders>
              <w:top w:val="single" w:color="B8BCC6" w:sz="4"/>
              <w:left w:val="single" w:color="B8BCC6" w:sz="4"/>
              <w:bottom w:val="single" w:color="B8BCC6" w:sz="4"/>
              <w:right w:val="single" w:color="B8BCC6" w:sz="4"/>
            </w:tcBorders>
            <w:tcMar>
              <w:top w:type="dxa" w:w="50"/>
              <w:left w:type="dxa" w:w="90"/>
              <w:bottom w:type="dxa" w:w="50"/>
              <w:right w:type="dxa" w:w="90"/>
            </w:tcMar>
          </w:tcPr>
          <w:p>
            <w:pPr>
              <w:spacing w:after="20"/>
            </w:pPr>
            <w:r>
              <w:rPr>
                <w:sz w:val="18"/>
                <w:szCs w:val="18"/>
              </w:rPr>
              <w:t xml:space="preserve">Navegador</w:t>
            </w:r>
          </w:p>
        </w:tc>
        <w:tc>
          <w:tcPr>
            <w:tcW w:type="dxa" w:w="5672"/>
            <w:tcBorders>
              <w:top w:val="single" w:color="B8BCC6" w:sz="4"/>
              <w:left w:val="single" w:color="B8BCC6" w:sz="4"/>
              <w:bottom w:val="single" w:color="B8BCC6" w:sz="4"/>
              <w:right w:val="single" w:color="B8BCC6" w:sz="4"/>
            </w:tcBorders>
            <w:tcMar>
              <w:top w:type="dxa" w:w="50"/>
              <w:left w:type="dxa" w:w="90"/>
              <w:bottom w:type="dxa" w:w="50"/>
              <w:right w:type="dxa" w:w="90"/>
            </w:tcMar>
          </w:tcPr>
          <w:p>
            <w:pPr>
              <w:spacing w:after="20"/>
            </w:pPr>
            <w:r>
              <w:rPr>
                <w:sz w:val="18"/>
                <w:szCs w:val="18"/>
              </w:rPr>
              <w:t xml:space="preserve">Línea eliminada del carrito. SKU y cantidad.</w:t>
            </w:r>
          </w:p>
        </w:tc>
      </w:tr>
      <w:tr>
        <w:trPr>
          <w:tblHeader w:val="false"/>
        </w:trPr>
        <w:tc>
          <w:tcPr>
            <w:tcW w:type="dxa" w:w="2200"/>
            <w:tcBorders>
              <w:top w:val="single" w:color="B8BCC6" w:sz="4"/>
              <w:left w:val="single" w:color="B8BCC6" w:sz="4"/>
              <w:bottom w:val="single" w:color="B8BCC6" w:sz="4"/>
              <w:right w:val="single" w:color="B8BCC6" w:sz="4"/>
            </w:tcBorders>
            <w:shd w:fill="F3F5F8" w:color="auto" w:val="clear"/>
            <w:tcMar>
              <w:top w:type="dxa" w:w="50"/>
              <w:left w:type="dxa" w:w="90"/>
              <w:bottom w:type="dxa" w:w="50"/>
              <w:right w:type="dxa" w:w="90"/>
            </w:tcMar>
          </w:tcPr>
          <w:p>
            <w:pPr>
              <w:spacing w:after="20"/>
            </w:pPr>
            <w:r>
              <w:rPr>
                <w:rFonts w:ascii="Consolas" w:cs="Consolas" w:eastAsia="Consolas" w:hAnsi="Consolas"/>
                <w:sz w:val="19"/>
                <w:szCs w:val="19"/>
              </w:rPr>
              <w:t xml:space="preserve">checkout.started</w:t>
            </w:r>
          </w:p>
        </w:tc>
        <w:tc>
          <w:tcPr>
            <w:tcW w:type="dxa" w:w="1200"/>
            <w:tcBorders>
              <w:top w:val="single" w:color="B8BCC6" w:sz="4"/>
              <w:left w:val="single" w:color="B8BCC6" w:sz="4"/>
              <w:bottom w:val="single" w:color="B8BCC6" w:sz="4"/>
              <w:right w:val="single" w:color="B8BCC6" w:sz="4"/>
            </w:tcBorders>
            <w:shd w:fill="F3F5F8" w:color="auto" w:val="clear"/>
            <w:tcMar>
              <w:top w:type="dxa" w:w="50"/>
              <w:left w:type="dxa" w:w="90"/>
              <w:bottom w:type="dxa" w:w="50"/>
              <w:right w:type="dxa" w:w="90"/>
            </w:tcMar>
          </w:tcPr>
          <w:p>
            <w:pPr>
              <w:spacing w:after="20"/>
            </w:pPr>
            <w:r>
              <w:rPr>
                <w:sz w:val="18"/>
                <w:szCs w:val="18"/>
              </w:rPr>
              <w:t xml:space="preserve">Navegador</w:t>
            </w:r>
          </w:p>
        </w:tc>
        <w:tc>
          <w:tcPr>
            <w:tcW w:type="dxa" w:w="5672"/>
            <w:tcBorders>
              <w:top w:val="single" w:color="B8BCC6" w:sz="4"/>
              <w:left w:val="single" w:color="B8BCC6" w:sz="4"/>
              <w:bottom w:val="single" w:color="B8BCC6" w:sz="4"/>
              <w:right w:val="single" w:color="B8BCC6" w:sz="4"/>
            </w:tcBorders>
            <w:shd w:fill="F3F5F8" w:color="auto" w:val="clear"/>
            <w:tcMar>
              <w:top w:type="dxa" w:w="50"/>
              <w:left w:type="dxa" w:w="90"/>
              <w:bottom w:type="dxa" w:w="50"/>
              <w:right w:type="dxa" w:w="90"/>
            </w:tcMar>
          </w:tcPr>
          <w:p>
            <w:pPr>
              <w:spacing w:after="20"/>
            </w:pPr>
            <w:r>
              <w:rPr>
                <w:sz w:val="18"/>
                <w:szCs w:val="18"/>
              </w:rPr>
              <w:t xml:space="preserve">Entrada en el checkout. Nº de líneas, unidades y subtotal.</w:t>
            </w:r>
          </w:p>
        </w:tc>
      </w:tr>
      <w:tr>
        <w:trPr>
          <w:tblHeader w:val="false"/>
        </w:trPr>
        <w:tc>
          <w:tcPr>
            <w:tcW w:type="dxa" w:w="2200"/>
            <w:tcBorders>
              <w:top w:val="single" w:color="B8BCC6" w:sz="4"/>
              <w:left w:val="single" w:color="B8BCC6" w:sz="4"/>
              <w:bottom w:val="single" w:color="B8BCC6" w:sz="4"/>
              <w:right w:val="single" w:color="B8BCC6" w:sz="4"/>
            </w:tcBorders>
            <w:tcMar>
              <w:top w:type="dxa" w:w="50"/>
              <w:left w:type="dxa" w:w="90"/>
              <w:bottom w:type="dxa" w:w="50"/>
              <w:right w:type="dxa" w:w="90"/>
            </w:tcMar>
          </w:tcPr>
          <w:p>
            <w:pPr>
              <w:spacing w:after="20"/>
            </w:pPr>
            <w:r>
              <w:rPr>
                <w:rFonts w:ascii="Consolas" w:cs="Consolas" w:eastAsia="Consolas" w:hAnsi="Consolas"/>
                <w:sz w:val="19"/>
                <w:szCs w:val="19"/>
              </w:rPr>
              <w:t xml:space="preserve">order.created</w:t>
            </w:r>
          </w:p>
        </w:tc>
        <w:tc>
          <w:tcPr>
            <w:tcW w:type="dxa" w:w="1200"/>
            <w:tcBorders>
              <w:top w:val="single" w:color="B8BCC6" w:sz="4"/>
              <w:left w:val="single" w:color="B8BCC6" w:sz="4"/>
              <w:bottom w:val="single" w:color="B8BCC6" w:sz="4"/>
              <w:right w:val="single" w:color="B8BCC6" w:sz="4"/>
            </w:tcBorders>
            <w:tcMar>
              <w:top w:type="dxa" w:w="50"/>
              <w:left w:type="dxa" w:w="90"/>
              <w:bottom w:type="dxa" w:w="50"/>
              <w:right w:type="dxa" w:w="90"/>
            </w:tcMar>
          </w:tcPr>
          <w:p>
            <w:pPr>
              <w:spacing w:after="20"/>
            </w:pPr>
            <w:r>
              <w:rPr>
                <w:sz w:val="18"/>
                <w:szCs w:val="18"/>
              </w:rPr>
              <w:t xml:space="preserve">Servidor</w:t>
            </w:r>
          </w:p>
        </w:tc>
        <w:tc>
          <w:tcPr>
            <w:tcW w:type="dxa" w:w="5672"/>
            <w:tcBorders>
              <w:top w:val="single" w:color="B8BCC6" w:sz="4"/>
              <w:left w:val="single" w:color="B8BCC6" w:sz="4"/>
              <w:bottom w:val="single" w:color="B8BCC6" w:sz="4"/>
              <w:right w:val="single" w:color="B8BCC6" w:sz="4"/>
            </w:tcBorders>
            <w:tcMar>
              <w:top w:type="dxa" w:w="50"/>
              <w:left w:type="dxa" w:w="90"/>
              <w:bottom w:type="dxa" w:w="50"/>
              <w:right w:type="dxa" w:w="90"/>
            </w:tcMar>
          </w:tcPr>
          <w:p>
            <w:pPr>
              <w:spacing w:after="20"/>
            </w:pPr>
            <w:r>
              <w:rPr>
                <w:sz w:val="18"/>
                <w:szCs w:val="18"/>
              </w:rPr>
              <w:t xml:space="preserve">Creación del pedido, en la misma transacción. Código, total, líneas, envío y cupón.</w:t>
            </w:r>
          </w:p>
        </w:tc>
      </w:tr>
      <w:tr>
        <w:trPr>
          <w:tblHeader w:val="false"/>
        </w:trPr>
        <w:tc>
          <w:tcPr>
            <w:tcW w:type="dxa" w:w="2200"/>
            <w:tcBorders>
              <w:top w:val="single" w:color="B8BCC6" w:sz="4"/>
              <w:left w:val="single" w:color="B8BCC6" w:sz="4"/>
              <w:bottom w:val="single" w:color="B8BCC6" w:sz="4"/>
              <w:right w:val="single" w:color="B8BCC6" w:sz="4"/>
            </w:tcBorders>
            <w:shd w:fill="F3F5F8" w:color="auto" w:val="clear"/>
            <w:tcMar>
              <w:top w:type="dxa" w:w="50"/>
              <w:left w:type="dxa" w:w="90"/>
              <w:bottom w:type="dxa" w:w="50"/>
              <w:right w:type="dxa" w:w="90"/>
            </w:tcMar>
          </w:tcPr>
          <w:p>
            <w:pPr>
              <w:spacing w:after="20"/>
            </w:pPr>
            <w:r>
              <w:rPr>
                <w:rFonts w:ascii="Consolas" w:cs="Consolas" w:eastAsia="Consolas" w:hAnsi="Consolas"/>
                <w:sz w:val="19"/>
                <w:szCs w:val="19"/>
              </w:rPr>
              <w:t xml:space="preserve">payment.simulated</w:t>
            </w:r>
          </w:p>
        </w:tc>
        <w:tc>
          <w:tcPr>
            <w:tcW w:type="dxa" w:w="1200"/>
            <w:tcBorders>
              <w:top w:val="single" w:color="B8BCC6" w:sz="4"/>
              <w:left w:val="single" w:color="B8BCC6" w:sz="4"/>
              <w:bottom w:val="single" w:color="B8BCC6" w:sz="4"/>
              <w:right w:val="single" w:color="B8BCC6" w:sz="4"/>
            </w:tcBorders>
            <w:shd w:fill="F3F5F8" w:color="auto" w:val="clear"/>
            <w:tcMar>
              <w:top w:type="dxa" w:w="50"/>
              <w:left w:type="dxa" w:w="90"/>
              <w:bottom w:type="dxa" w:w="50"/>
              <w:right w:type="dxa" w:w="90"/>
            </w:tcMar>
          </w:tcPr>
          <w:p>
            <w:pPr>
              <w:spacing w:after="20"/>
            </w:pPr>
            <w:r>
              <w:rPr>
                <w:sz w:val="18"/>
                <w:szCs w:val="18"/>
              </w:rPr>
              <w:t xml:space="preserve">Servidor</w:t>
            </w:r>
          </w:p>
        </w:tc>
        <w:tc>
          <w:tcPr>
            <w:tcW w:type="dxa" w:w="5672"/>
            <w:tcBorders>
              <w:top w:val="single" w:color="B8BCC6" w:sz="4"/>
              <w:left w:val="single" w:color="B8BCC6" w:sz="4"/>
              <w:bottom w:val="single" w:color="B8BCC6" w:sz="4"/>
              <w:right w:val="single" w:color="B8BCC6" w:sz="4"/>
            </w:tcBorders>
            <w:shd w:fill="F3F5F8" w:color="auto" w:val="clear"/>
            <w:tcMar>
              <w:top w:type="dxa" w:w="50"/>
              <w:left w:type="dxa" w:w="90"/>
              <w:bottom w:type="dxa" w:w="50"/>
              <w:right w:type="dxa" w:w="90"/>
            </w:tcMar>
          </w:tcPr>
          <w:p>
            <w:pPr>
              <w:spacing w:after="20"/>
            </w:pPr>
            <w:r>
              <w:rPr>
                <w:sz w:val="18"/>
                <w:szCs w:val="18"/>
              </w:rPr>
              <w:t xml:space="preserve">Cada intento de pago. Resultado (aprobado/rechazado), importe y referencia.</w:t>
            </w:r>
          </w:p>
        </w:tc>
      </w:tr>
      <w:tr>
        <w:trPr>
          <w:tblHeader w:val="false"/>
        </w:trPr>
        <w:tc>
          <w:tcPr>
            <w:tcW w:type="dxa" w:w="2200"/>
            <w:tcBorders>
              <w:top w:val="single" w:color="B8BCC6" w:sz="4"/>
              <w:left w:val="single" w:color="B8BCC6" w:sz="4"/>
              <w:bottom w:val="single" w:color="B8BCC6" w:sz="4"/>
              <w:right w:val="single" w:color="B8BCC6" w:sz="4"/>
            </w:tcBorders>
            <w:tcMar>
              <w:top w:type="dxa" w:w="50"/>
              <w:left w:type="dxa" w:w="90"/>
              <w:bottom w:type="dxa" w:w="50"/>
              <w:right w:type="dxa" w:w="90"/>
            </w:tcMar>
          </w:tcPr>
          <w:p>
            <w:pPr>
              <w:spacing w:after="20"/>
            </w:pPr>
            <w:r>
              <w:rPr>
                <w:rFonts w:ascii="Consolas" w:cs="Consolas" w:eastAsia="Consolas" w:hAnsi="Consolas"/>
                <w:sz w:val="19"/>
                <w:szCs w:val="19"/>
              </w:rPr>
              <w:t xml:space="preserve">order.status_changed</w:t>
            </w:r>
          </w:p>
        </w:tc>
        <w:tc>
          <w:tcPr>
            <w:tcW w:type="dxa" w:w="1200"/>
            <w:tcBorders>
              <w:top w:val="single" w:color="B8BCC6" w:sz="4"/>
              <w:left w:val="single" w:color="B8BCC6" w:sz="4"/>
              <w:bottom w:val="single" w:color="B8BCC6" w:sz="4"/>
              <w:right w:val="single" w:color="B8BCC6" w:sz="4"/>
            </w:tcBorders>
            <w:tcMar>
              <w:top w:type="dxa" w:w="50"/>
              <w:left w:type="dxa" w:w="90"/>
              <w:bottom w:type="dxa" w:w="50"/>
              <w:right w:type="dxa" w:w="90"/>
            </w:tcMar>
          </w:tcPr>
          <w:p>
            <w:pPr>
              <w:spacing w:after="20"/>
            </w:pPr>
            <w:r>
              <w:rPr>
                <w:sz w:val="18"/>
                <w:szCs w:val="18"/>
              </w:rPr>
              <w:t xml:space="preserve">Servidor</w:t>
            </w:r>
          </w:p>
        </w:tc>
        <w:tc>
          <w:tcPr>
            <w:tcW w:type="dxa" w:w="5672"/>
            <w:tcBorders>
              <w:top w:val="single" w:color="B8BCC6" w:sz="4"/>
              <w:left w:val="single" w:color="B8BCC6" w:sz="4"/>
              <w:bottom w:val="single" w:color="B8BCC6" w:sz="4"/>
              <w:right w:val="single" w:color="B8BCC6" w:sz="4"/>
            </w:tcBorders>
            <w:tcMar>
              <w:top w:type="dxa" w:w="50"/>
              <w:left w:type="dxa" w:w="90"/>
              <w:bottom w:type="dxa" w:w="50"/>
              <w:right w:type="dxa" w:w="90"/>
            </w:tcMar>
          </w:tcPr>
          <w:p>
            <w:pPr>
              <w:spacing w:after="20"/>
            </w:pPr>
            <w:r>
              <w:rPr>
                <w:sz w:val="18"/>
                <w:szCs w:val="18"/>
              </w:rPr>
              <w:t xml:space="preserve">Cada transición de estado. Estado anterior y nuevo, actor y motivo.</w:t>
            </w:r>
          </w:p>
        </w:tc>
      </w:tr>
      <w:tr>
        <w:trPr>
          <w:tblHeader w:val="false"/>
        </w:trPr>
        <w:tc>
          <w:tcPr>
            <w:tcW w:type="dxa" w:w="2200"/>
            <w:tcBorders>
              <w:top w:val="single" w:color="B8BCC6" w:sz="4"/>
              <w:left w:val="single" w:color="B8BCC6" w:sz="4"/>
              <w:bottom w:val="single" w:color="B8BCC6" w:sz="4"/>
              <w:right w:val="single" w:color="B8BCC6" w:sz="4"/>
            </w:tcBorders>
            <w:shd w:fill="F3F5F8" w:color="auto" w:val="clear"/>
            <w:tcMar>
              <w:top w:type="dxa" w:w="50"/>
              <w:left w:type="dxa" w:w="90"/>
              <w:bottom w:type="dxa" w:w="50"/>
              <w:right w:type="dxa" w:w="90"/>
            </w:tcMar>
          </w:tcPr>
          <w:p>
            <w:pPr>
              <w:spacing w:after="20"/>
            </w:pPr>
            <w:r>
              <w:rPr>
                <w:rFonts w:ascii="Consolas" w:cs="Consolas" w:eastAsia="Consolas" w:hAnsi="Consolas"/>
                <w:sz w:val="19"/>
                <w:szCs w:val="19"/>
              </w:rPr>
              <w:t xml:space="preserve">support.requested</w:t>
            </w:r>
          </w:p>
        </w:tc>
        <w:tc>
          <w:tcPr>
            <w:tcW w:type="dxa" w:w="1200"/>
            <w:tcBorders>
              <w:top w:val="single" w:color="B8BCC6" w:sz="4"/>
              <w:left w:val="single" w:color="B8BCC6" w:sz="4"/>
              <w:bottom w:val="single" w:color="B8BCC6" w:sz="4"/>
              <w:right w:val="single" w:color="B8BCC6" w:sz="4"/>
            </w:tcBorders>
            <w:shd w:fill="F3F5F8" w:color="auto" w:val="clear"/>
            <w:tcMar>
              <w:top w:type="dxa" w:w="50"/>
              <w:left w:type="dxa" w:w="90"/>
              <w:bottom w:type="dxa" w:w="50"/>
              <w:right w:type="dxa" w:w="90"/>
            </w:tcMar>
          </w:tcPr>
          <w:p>
            <w:pPr>
              <w:spacing w:after="20"/>
            </w:pPr>
            <w:r>
              <w:rPr>
                <w:sz w:val="18"/>
                <w:szCs w:val="18"/>
              </w:rPr>
              <w:t xml:space="preserve">Servidor</w:t>
            </w:r>
          </w:p>
        </w:tc>
        <w:tc>
          <w:tcPr>
            <w:tcW w:type="dxa" w:w="5672"/>
            <w:tcBorders>
              <w:top w:val="single" w:color="B8BCC6" w:sz="4"/>
              <w:left w:val="single" w:color="B8BCC6" w:sz="4"/>
              <w:bottom w:val="single" w:color="B8BCC6" w:sz="4"/>
              <w:right w:val="single" w:color="B8BCC6" w:sz="4"/>
            </w:tcBorders>
            <w:shd w:fill="F3F5F8" w:color="auto" w:val="clear"/>
            <w:tcMar>
              <w:top w:type="dxa" w:w="50"/>
              <w:left w:type="dxa" w:w="90"/>
              <w:bottom w:type="dxa" w:w="50"/>
              <w:right w:type="dxa" w:w="90"/>
            </w:tcMar>
          </w:tcPr>
          <w:p>
            <w:pPr>
              <w:spacing w:after="20"/>
            </w:pPr>
            <w:r>
              <w:rPr>
                <w:sz w:val="18"/>
                <w:szCs w:val="18"/>
              </w:rPr>
              <w:t xml:space="preserve">Solicitud de soporte o incidencia. Código, motivo y pedido asociado.</w:t>
            </w:r>
          </w:p>
        </w:tc>
      </w:tr>
    </w:tbl>
    <w:p>
      <w:pPr>
        <w:spacing w:after="80"/>
      </w:pPr>
    </w:p>
    <w:p>
      <w:pPr>
        <w:spacing w:after="120" w:line="276"/>
        <w:jc w:val="both"/>
      </w:pPr>
      <w:r>
        <w:rPr>
          <w:b/>
          <w:bCs/>
        </w:rPr>
        <w:t xml:space="preserve">Cómo se generan.</w:t>
      </w:r>
      <w:r>
        <w:t xml:space="preserve"> Los eventos que solo ocurren en la interfaz los envía el módulo </w:t>
      </w:r>
      <w:r>
        <w:rPr>
          <w:rFonts w:ascii="Consolas" w:cs="Consolas" w:eastAsia="Consolas" w:hAnsi="Consolas"/>
          <w:sz w:val="19"/>
          <w:szCs w:val="19"/>
        </w:rPr>
        <w:t xml:space="preserve">eventos.js</w:t>
      </w:r>
      <w:r>
        <w:t xml:space="preserve"> a </w:t>
      </w:r>
      <w:r>
        <w:rPr>
          <w:rFonts w:ascii="Consolas" w:cs="Consolas" w:eastAsia="Consolas" w:hAnsi="Consolas"/>
          <w:sz w:val="19"/>
          <w:szCs w:val="19"/>
        </w:rPr>
        <w:t xml:space="preserve">POST api/eventos.php</w:t>
      </w:r>
      <w:r>
        <w:t xml:space="preserve">; el servidor admite únicamente una lista cerrada de tipos, valida el identificador de sesión y limita el tamaño y el formato de los datos. Los eventos con consecuencias de negocio los genera exclusivamente el servidor dentro de la misma transacción que el cambio de datos, de modo que no puede existir un pedido sin su </w:t>
      </w:r>
      <w:r>
        <w:rPr>
          <w:rFonts w:ascii="Consolas" w:cs="Consolas" w:eastAsia="Consolas" w:hAnsi="Consolas"/>
          <w:sz w:val="19"/>
          <w:szCs w:val="19"/>
        </w:rPr>
        <w:t xml:space="preserve">order.created</w:t>
      </w:r>
      <w:r>
        <w:t xml:space="preserve"> ni al revés.</w:t>
      </w:r>
    </w:p>
    <w:p>
      <w:pPr>
        <w:spacing w:after="120" w:line="276"/>
        <w:jc w:val="both"/>
      </w:pPr>
      <w:r>
        <w:rPr>
          <w:b/>
          <w:bCs/>
        </w:rPr>
        <w:t xml:space="preserve">Dónde se almacenan.</w:t>
      </w:r>
      <w:r>
        <w:t xml:space="preserve"> En la tabla </w:t>
      </w:r>
      <w:r>
        <w:rPr>
          <w:rFonts w:ascii="Consolas" w:cs="Consolas" w:eastAsia="Consolas" w:hAnsi="Consolas"/>
          <w:sz w:val="19"/>
          <w:szCs w:val="19"/>
        </w:rPr>
        <w:t xml:space="preserve">eventos</w:t>
      </w:r>
      <w:r>
        <w:t xml:space="preserve">, con un formato de sobre común: </w:t>
      </w:r>
      <w:r>
        <w:rPr>
          <w:rFonts w:ascii="Consolas" w:cs="Consolas" w:eastAsia="Consolas" w:hAnsi="Consolas"/>
          <w:sz w:val="19"/>
          <w:szCs w:val="19"/>
        </w:rPr>
        <w:t xml:space="preserve">uuid</w:t>
      </w:r>
      <w:r>
        <w:t xml:space="preserve">, </w:t>
      </w:r>
      <w:r>
        <w:rPr>
          <w:rFonts w:ascii="Consolas" w:cs="Consolas" w:eastAsia="Consolas" w:hAnsi="Consolas"/>
          <w:sz w:val="19"/>
          <w:szCs w:val="19"/>
        </w:rPr>
        <w:t xml:space="preserve">tipo</w:t>
      </w:r>
      <w:r>
        <w:t xml:space="preserve">, </w:t>
      </w:r>
      <w:r>
        <w:rPr>
          <w:rFonts w:ascii="Consolas" w:cs="Consolas" w:eastAsia="Consolas" w:hAnsi="Consolas"/>
          <w:sz w:val="19"/>
          <w:szCs w:val="19"/>
        </w:rPr>
        <w:t xml:space="preserve">origen</w:t>
      </w:r>
      <w:r>
        <w:t xml:space="preserve">, </w:t>
      </w:r>
      <w:r>
        <w:rPr>
          <w:rFonts w:ascii="Consolas" w:cs="Consolas" w:eastAsia="Consolas" w:hAnsi="Consolas"/>
          <w:sz w:val="19"/>
          <w:szCs w:val="19"/>
        </w:rPr>
        <w:t xml:space="preserve">ocurrido_en</w:t>
      </w:r>
      <w:r>
        <w:t xml:space="preserve">, </w:t>
      </w:r>
      <w:r>
        <w:rPr>
          <w:rFonts w:ascii="Consolas" w:cs="Consolas" w:eastAsia="Consolas" w:hAnsi="Consolas"/>
          <w:sz w:val="19"/>
          <w:szCs w:val="19"/>
        </w:rPr>
        <w:t xml:space="preserve">sesion_id</w:t>
      </w:r>
      <w:r>
        <w:t xml:space="preserve">, </w:t>
      </w:r>
      <w:r>
        <w:rPr>
          <w:rFonts w:ascii="Consolas" w:cs="Consolas" w:eastAsia="Consolas" w:hAnsi="Consolas"/>
          <w:sz w:val="19"/>
          <w:szCs w:val="19"/>
        </w:rPr>
        <w:t xml:space="preserve">cliente_id</w:t>
      </w:r>
      <w:r>
        <w:t xml:space="preserve">, </w:t>
      </w:r>
      <w:r>
        <w:rPr>
          <w:rFonts w:ascii="Consolas" w:cs="Consolas" w:eastAsia="Consolas" w:hAnsi="Consolas"/>
          <w:sz w:val="19"/>
          <w:szCs w:val="19"/>
        </w:rPr>
        <w:t xml:space="preserve">pedido_id</w:t>
      </w:r>
      <w:r>
        <w:t xml:space="preserve"> y </w:t>
      </w:r>
      <w:r>
        <w:rPr>
          <w:rFonts w:ascii="Consolas" w:cs="Consolas" w:eastAsia="Consolas" w:hAnsi="Consolas"/>
          <w:sz w:val="19"/>
          <w:szCs w:val="19"/>
        </w:rPr>
        <w:t xml:space="preserve">datos</w:t>
      </w:r>
      <w:r>
        <w:t xml:space="preserve"> (JSON). El identificador de sesión es un UUID aleatorio generado en el navegador, sin datos personales, que permite reconstruir el embudo de conversión que muestra el back-office.</w:t>
      </w:r>
    </w:p>
    <w:p>
      <w:pPr>
        <w:spacing w:after="120" w:line="276"/>
        <w:jc w:val="both"/>
      </w:pPr>
      <w:r>
        <w:rPr>
          <w:b/>
          <w:bCs/>
        </w:rPr>
        <w:t xml:space="preserve">Cómo podrían consumirse en la Tarea 2.</w:t>
      </w:r>
    </w:p>
    <w:p>
      <w:pPr>
        <w:pStyle w:val="ListParagraph"/>
        <w:numPr>
          <w:ilvl w:val="0"/>
          <w:numId w:val="2"/>
        </w:numPr>
        <w:spacing w:after="60" w:line="264"/>
      </w:pPr>
      <w:r>
        <w:rPr>
          <w:b/>
          <w:bCs/>
        </w:rPr>
        <w:t xml:space="preserve">Lectura incremental:</w:t>
      </w:r>
      <w:r>
        <w:t xml:space="preserve"> </w:t>
      </w:r>
      <w:r>
        <w:rPr>
          <w:rFonts w:ascii="Consolas" w:cs="Consolas" w:eastAsia="Consolas" w:hAnsi="Consolas"/>
          <w:sz w:val="19"/>
          <w:szCs w:val="19"/>
        </w:rPr>
        <w:t xml:space="preserve">GET api/admin/eventos.php?desde_id=N</w:t>
      </w:r>
      <w:r>
        <w:t xml:space="preserve"> devuelve solo los eventos posteriores al último leído. El sistema consumidor guarda el último </w:t>
      </w:r>
      <w:r>
        <w:rPr>
          <w:rFonts w:ascii="Consolas" w:cs="Consolas" w:eastAsia="Consolas" w:hAnsi="Consolas"/>
          <w:sz w:val="19"/>
          <w:szCs w:val="19"/>
        </w:rPr>
        <w:t xml:space="preserve">id</w:t>
      </w:r>
      <w:r>
        <w:t xml:space="preserve"> procesado y usa el </w:t>
      </w:r>
      <w:r>
        <w:rPr>
          <w:rFonts w:ascii="Consolas" w:cs="Consolas" w:eastAsia="Consolas" w:hAnsi="Consolas"/>
          <w:sz w:val="19"/>
          <w:szCs w:val="19"/>
        </w:rPr>
        <w:t xml:space="preserve">uuid</w:t>
      </w:r>
      <w:r>
        <w:t xml:space="preserve"> para descartar duplicados, sin necesidad de acceder a la base de datos.</w:t>
      </w:r>
    </w:p>
    <w:p>
      <w:pPr>
        <w:pStyle w:val="ListParagraph"/>
        <w:numPr>
          <w:ilvl w:val="0"/>
          <w:numId w:val="2"/>
        </w:numPr>
        <w:spacing w:after="60" w:line="264"/>
      </w:pPr>
      <w:r>
        <w:rPr>
          <w:b/>
          <w:bCs/>
        </w:rPr>
        <w:t xml:space="preserve">Exportación</w:t>
      </w:r>
      <w:r>
        <w:t xml:space="preserve"> en CSV o JSON desde el back-office para cargarla en una hoja de cálculo o una herramienta de BI.</w:t>
      </w:r>
    </w:p>
    <w:p>
      <w:pPr>
        <w:pStyle w:val="ListParagraph"/>
        <w:numPr>
          <w:ilvl w:val="0"/>
          <w:numId w:val="2"/>
        </w:numPr>
        <w:spacing w:after="60" w:line="264"/>
      </w:pPr>
      <w:r>
        <w:rPr>
          <w:b/>
          <w:bCs/>
        </w:rPr>
        <w:t xml:space="preserve">Integraciones previstas:</w:t>
      </w:r>
      <w:r>
        <w:t xml:space="preserve"> </w:t>
      </w:r>
      <w:r>
        <w:rPr>
          <w:rFonts w:ascii="Consolas" w:cs="Consolas" w:eastAsia="Consolas" w:hAnsi="Consolas"/>
          <w:sz w:val="19"/>
          <w:szCs w:val="19"/>
        </w:rPr>
        <w:t xml:space="preserve">order.created</w:t>
      </w:r>
      <w:r>
        <w:t xml:space="preserve"> y </w:t>
      </w:r>
      <w:r>
        <w:rPr>
          <w:rFonts w:ascii="Consolas" w:cs="Consolas" w:eastAsia="Consolas" w:hAnsi="Consolas"/>
          <w:sz w:val="19"/>
          <w:szCs w:val="19"/>
        </w:rPr>
        <w:t xml:space="preserve">payment.simulated</w:t>
      </w:r>
      <w:r>
        <w:t xml:space="preserve"> hacia un ERP (reserva de stock y facturación); </w:t>
      </w:r>
      <w:r>
        <w:rPr>
          <w:rFonts w:ascii="Consolas" w:cs="Consolas" w:eastAsia="Consolas" w:hAnsi="Consolas"/>
          <w:sz w:val="19"/>
          <w:szCs w:val="19"/>
        </w:rPr>
        <w:t xml:space="preserve">support.requested</w:t>
      </w:r>
      <w:r>
        <w:t xml:space="preserve"> hacia un CRM o herramienta de atención al cliente; </w:t>
      </w:r>
      <w:r>
        <w:rPr>
          <w:rFonts w:ascii="Consolas" w:cs="Consolas" w:eastAsia="Consolas" w:hAnsi="Consolas"/>
          <w:sz w:val="19"/>
          <w:szCs w:val="19"/>
        </w:rPr>
        <w:t xml:space="preserve">order.status_changed</w:t>
      </w:r>
      <w:r>
        <w:t xml:space="preserve"> para notificar al cliente; el embudo </w:t>
      </w:r>
      <w:r>
        <w:rPr>
          <w:rFonts w:ascii="Consolas" w:cs="Consolas" w:eastAsia="Consolas" w:hAnsi="Consolas"/>
          <w:sz w:val="19"/>
          <w:szCs w:val="19"/>
        </w:rPr>
        <w:t xml:space="preserve">product.viewed</w:t>
      </w:r>
      <w:r>
        <w:t xml:space="preserve"> → </w:t>
      </w:r>
      <w:r>
        <w:rPr>
          <w:rFonts w:ascii="Consolas" w:cs="Consolas" w:eastAsia="Consolas" w:hAnsi="Consolas"/>
          <w:sz w:val="19"/>
          <w:szCs w:val="19"/>
        </w:rPr>
        <w:t xml:space="preserve">payment.simulated</w:t>
      </w:r>
      <w:r>
        <w:t xml:space="preserve"> para analítica comercial.</w:t>
      </w:r>
    </w:p>
    <w:p>
      <w:pPr>
        <w:spacing w:after="80"/>
      </w:pPr>
    </w:p>
    <w:p>
      <w:pPr>
        <w:pStyle w:val="Heading1"/>
      </w:pPr>
      <w:r>
        <w:t xml:space="preserve">4. Limitaciones de la solución</w:t>
      </w:r>
    </w:p>
    <w:p>
      <w:pPr>
        <w:pStyle w:val="ListParagraph"/>
        <w:numPr>
          <w:ilvl w:val="0"/>
          <w:numId w:val="2"/>
        </w:numPr>
        <w:spacing w:after="60" w:line="264"/>
      </w:pPr>
      <w:r>
        <w:t xml:space="preserve">El pago es simulado: no hay integración con ninguna pasarela real, ni siquiera en su modo de pruebas.</w:t>
      </w:r>
    </w:p>
    <w:p>
      <w:pPr>
        <w:pStyle w:val="ListParagraph"/>
        <w:numPr>
          <w:ilvl w:val="0"/>
          <w:numId w:val="2"/>
        </w:numPr>
        <w:spacing w:after="60" w:line="264"/>
      </w:pPr>
      <w:r>
        <w:t xml:space="preserve">No hay cuentas de cliente; el pedido se consulta con código y email. El carrito solo existe en el navegador de cada visitante.</w:t>
      </w:r>
    </w:p>
    <w:p>
      <w:pPr>
        <w:pStyle w:val="ListParagraph"/>
        <w:numPr>
          <w:ilvl w:val="0"/>
          <w:numId w:val="2"/>
        </w:numPr>
        <w:spacing w:after="60" w:line="264"/>
      </w:pPr>
      <w:r>
        <w:t xml:space="preserve">Una única cuenta de back-office de prueba, sin roles ni recuperación de contraseña, cuya contraseña figura en el README.</w:t>
      </w:r>
    </w:p>
    <w:p>
      <w:pPr>
        <w:pStyle w:val="ListParagraph"/>
        <w:numPr>
          <w:ilvl w:val="0"/>
          <w:numId w:val="2"/>
        </w:numPr>
        <w:spacing w:after="60" w:line="264"/>
      </w:pPr>
      <w:r>
        <w:t xml:space="preserve">No hay límite de peticiones: los eventos del navegador podrían falsificarse o enviarse masivamente, lo que distorsionaría el embudo.</w:t>
      </w:r>
    </w:p>
    <w:p>
      <w:pPr>
        <w:pStyle w:val="ListParagraph"/>
        <w:numPr>
          <w:ilvl w:val="0"/>
          <w:numId w:val="2"/>
        </w:numPr>
        <w:spacing w:after="60" w:line="264"/>
      </w:pPr>
      <w:r>
        <w:t xml:space="preserve">La protección frente a CSRF en el back-office se basa en la cookie de sesión </w:t>
      </w:r>
      <w:r>
        <w:rPr>
          <w:rFonts w:ascii="Consolas" w:cs="Consolas" w:eastAsia="Consolas" w:hAnsi="Consolas"/>
          <w:sz w:val="19"/>
          <w:szCs w:val="19"/>
        </w:rPr>
        <w:t xml:space="preserve">SameSite=Strict</w:t>
      </w:r>
      <w:r>
        <w:t xml:space="preserve">, no en un token específico.</w:t>
      </w:r>
    </w:p>
    <w:p>
      <w:pPr>
        <w:pStyle w:val="ListParagraph"/>
        <w:numPr>
          <w:ilvl w:val="0"/>
          <w:numId w:val="2"/>
        </w:numPr>
        <w:spacing w:after="60" w:line="264"/>
      </w:pPr>
      <w:r>
        <w:t xml:space="preserve">No se envían correos ni hay integración logística: los estados posteriores al pago se cambian a mano desde el back-office.</w:t>
      </w:r>
    </w:p>
    <w:p>
      <w:pPr>
        <w:pStyle w:val="ListParagraph"/>
        <w:numPr>
          <w:ilvl w:val="0"/>
          <w:numId w:val="2"/>
        </w:numPr>
        <w:spacing w:after="60" w:line="264"/>
      </w:pPr>
      <w:r>
        <w:t xml:space="preserve">No hay pruebas automatizadas; la verificación se ha hecho manualmente (ver anexo).</w:t>
      </w:r>
    </w:p>
    <w:p>
      <w:pPr>
        <w:pStyle w:val="ListParagraph"/>
        <w:numPr>
          <w:ilvl w:val="0"/>
          <w:numId w:val="2"/>
        </w:numPr>
        <w:spacing w:after="60" w:line="264"/>
      </w:pPr>
      <w:r>
        <w:t xml:space="preserve">Las fotografías de producto son de baja resolución y 8 de las 16 variantes muestran una ilustración provisional.</w:t>
      </w:r>
    </w:p>
    <w:p>
      <w:pPr>
        <w:spacing w:after="80"/>
      </w:pPr>
    </w:p>
    <w:p>
      <w:pPr>
        <w:pStyle w:val="Heading1"/>
      </w:pPr>
      <w:r>
        <w:t xml:space="preserve">5. Uso declarado de herramientas de IA generativa</w:t>
      </w:r>
    </w:p>
    <w:p>
      <w:pPr>
        <w:spacing w:after="120" w:line="276"/>
        <w:jc w:val="both"/>
      </w:pPr>
      <w:r>
        <w:t xml:space="preserve">Se han utilizado herramientas de IA generativa en la versión inicial de la interfaz y, posteriormente, Claude Code (Anthropic) como asistente para el análisis del enunciado, el diseño de la arquitectura y del modelo de datos, la programación, la generación de datos de prueba, las pruebas y la redacción del borrador de esta memoria y del README. El grupo ha revisado, probado y modificado el resultado. El detalle exigido por el enunciado (herramientas, tareas, partes asistidas, errores detectados, cambios del grupo y validación) figura en el Anexo A.</w:t>
      </w:r>
    </w:p>
    <w:p>
      <w:pPr>
        <w:pStyle w:val="Heading1"/>
      </w:pPr>
      <w:r>
        <w:t xml:space="preserve">6. Declaración del punto de partida</w:t>
      </w:r>
    </w:p>
    <w:p>
      <w:pPr>
        <w:spacing w:after="120" w:line="276"/>
        <w:jc w:val="both"/>
      </w:pPr>
      <w:r>
        <w:t xml:space="preserve">El proyecto </w:t>
      </w:r>
      <w:r>
        <w:rPr>
          <w:b/>
          <w:bCs/>
        </w:rPr>
        <w:t xml:space="preserve">no parte de ningún repositorio ni plantilla de terceros</w:t>
      </w:r>
      <w:r>
        <w:t xml:space="preserve">. Su punto de partida es una </w:t>
      </w:r>
      <w:r>
        <w:rPr>
          <w:b/>
          <w:bCs/>
        </w:rPr>
        <w:t xml:space="preserve">versión inicial generada mediante IA</w:t>
      </w:r>
      <w:r>
        <w:t xml:space="preserve">: un único archivo HTML (</w:t>
      </w:r>
      <w:r>
        <w:rPr>
          <w:rFonts w:ascii="Consolas" w:cs="Consolas" w:eastAsia="Consolas" w:hAnsi="Consolas"/>
          <w:sz w:val="19"/>
          <w:szCs w:val="19"/>
        </w:rPr>
        <w:t xml:space="preserve">docs/version_inicial/NOCTILUZ — Tienda.html</w:t>
      </w:r>
      <w:r>
        <w:t xml:space="preserve">) con la portada, el catálogo, la ficha de producto y un carrito guardado en el navegador, sin servidor, sin persistencia y con el filtro de modo sin funcionar. </w:t>
      </w:r>
      <w:r>
        <w:rPr>
          <w:b/>
          <w:bCs/>
          <w:highlight w:val="yellow"/>
          <w:highlightCs w:val="yellow"/>
        </w:rPr>
        <w:t xml:space="preserve">[COMPLETAR: herramienta de IA con la que se generó y quién la generó]</w:t>
      </w:r>
      <w:r>
        <w:t xml:space="preserve">.</w:t>
      </w:r>
    </w:p>
    <w:p>
      <w:pPr>
        <w:spacing w:after="120" w:line="276"/>
        <w:jc w:val="both"/>
      </w:pPr>
      <w:r>
        <w:t xml:space="preserve">A partir de esa versión se reutilizó el diseño visual y, con asistencia de Claude Code, se desarrolló el resto: servidor PHP, modelo de datos, checkout, pago simulado, pedidos y estados, soporte, back-office e instrumentación de eventos. El primer commit del repositorio contiene la versión inicial sin modificar, para que la evolución posterior sea trazable en el historial.</w:t>
      </w:r>
    </w:p>
    <w:p>
      <w:r>
        <w:br w:type="page"/>
      </w:r>
    </w:p>
    <w:p>
      <w:pPr>
        <w:pStyle w:val="Heading1"/>
      </w:pPr>
      <w:r>
        <w:t xml:space="preserve">Anexo A. Uso de IA generativa</w:t>
      </w:r>
    </w:p>
    <w:p>
      <w:pPr>
        <w:pStyle w:val="Heading2"/>
      </w:pPr>
      <w:r>
        <w:t xml:space="preserve">a) Herramientas utilizadas</w:t>
      </w:r>
    </w:p>
    <w:p>
      <w:pPr>
        <w:pStyle w:val="ListParagraph"/>
        <w:numPr>
          <w:ilvl w:val="0"/>
          <w:numId w:val="2"/>
        </w:numPr>
        <w:spacing w:after="60" w:line="264"/>
      </w:pPr>
      <w:r>
        <w:rPr>
          <w:b/>
          <w:bCs/>
          <w:highlight w:val="yellow"/>
          <w:highlightCs w:val="yellow"/>
        </w:rPr>
        <w:t xml:space="preserve">[COMPLETAR: herramienta usada para generar el HTML inicial]</w:t>
      </w:r>
      <w:r>
        <w:t xml:space="preserve">.</w:t>
      </w:r>
    </w:p>
    <w:p>
      <w:pPr>
        <w:pStyle w:val="ListParagraph"/>
        <w:numPr>
          <w:ilvl w:val="0"/>
          <w:numId w:val="2"/>
        </w:numPr>
        <w:spacing w:after="60" w:line="264"/>
      </w:pPr>
      <w:r>
        <w:t xml:space="preserve">Claude Code (Anthropic), asistente de programación, usado durante el desarrollo en septiembre de 2026.</w:t>
      </w:r>
    </w:p>
    <w:p>
      <w:pPr>
        <w:pStyle w:val="Heading2"/>
      </w:pPr>
      <w:r>
        <w:t xml:space="preserve">b) Tareas para las que se han utilizado</w:t>
      </w:r>
    </w:p>
    <w:p>
      <w:pPr>
        <w:pStyle w:val="ListParagraph"/>
        <w:numPr>
          <w:ilvl w:val="0"/>
          <w:numId w:val="2"/>
        </w:numPr>
        <w:spacing w:after="60" w:line="264"/>
      </w:pPr>
      <w:r>
        <w:t xml:space="preserve">Revisión del enunciado y lista de requisitos frente a la versión inicial.</w:t>
      </w:r>
    </w:p>
    <w:p>
      <w:pPr>
        <w:pStyle w:val="ListParagraph"/>
        <w:numPr>
          <w:ilvl w:val="0"/>
          <w:numId w:val="2"/>
        </w:numPr>
        <w:spacing w:after="60" w:line="264"/>
      </w:pPr>
      <w:r>
        <w:t xml:space="preserve">Propuesta de arquitectura, modelo de datos, reglas de negocio y catálogo de eventos.</w:t>
      </w:r>
    </w:p>
    <w:p>
      <w:pPr>
        <w:pStyle w:val="ListParagraph"/>
        <w:numPr>
          <w:ilvl w:val="0"/>
          <w:numId w:val="2"/>
        </w:numPr>
        <w:spacing w:after="60" w:line="264"/>
      </w:pPr>
      <w:r>
        <w:t xml:space="preserve">Programación del servidor, ampliación de la interfaz y creación de los datos de prueba.</w:t>
      </w:r>
    </w:p>
    <w:p>
      <w:pPr>
        <w:pStyle w:val="ListParagraph"/>
        <w:numPr>
          <w:ilvl w:val="0"/>
          <w:numId w:val="2"/>
        </w:numPr>
        <w:spacing w:after="60" w:line="264"/>
      </w:pPr>
      <w:r>
        <w:t xml:space="preserve">Pruebas funcionales en local y redacción de los borradores del README y de esta memoria.</w:t>
      </w:r>
    </w:p>
    <w:p>
      <w:pPr>
        <w:pStyle w:val="Heading2"/>
      </w:pPr>
      <w:r>
        <w:t xml:space="preserve">c) Partes relevantes asistidas por IA</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3400"/>
        <w:gridCol w:w="5672"/>
      </w:tblGrid>
      <w:tr>
        <w:trPr>
          <w:tblHeader/>
        </w:trPr>
        <w:tc>
          <w:tcPr>
            <w:tcW w:type="dxa" w:w="3400"/>
            <w:tcBorders>
              <w:top w:val="single" w:color="B8BCC6" w:sz="4"/>
              <w:left w:val="single" w:color="B8BCC6" w:sz="4"/>
              <w:bottom w:val="single" w:color="B8BCC6" w:sz="4"/>
              <w:right w:val="single" w:color="B8BCC6" w:sz="4"/>
            </w:tcBorders>
            <w:shd w:fill="1F3A5F" w:color="auto" w:val="clear"/>
            <w:tcMar>
              <w:top w:type="dxa" w:w="50"/>
              <w:left w:type="dxa" w:w="90"/>
              <w:bottom w:type="dxa" w:w="50"/>
              <w:right w:type="dxa" w:w="90"/>
            </w:tcMar>
          </w:tcPr>
          <w:p>
            <w:pPr>
              <w:spacing w:after="20"/>
            </w:pPr>
            <w:r>
              <w:rPr>
                <w:b/>
                <w:bCs/>
                <w:color w:val="FFFFFF"/>
                <w:sz w:val="18"/>
                <w:szCs w:val="18"/>
              </w:rPr>
              <w:t xml:space="preserve">Parte</w:t>
            </w:r>
          </w:p>
        </w:tc>
        <w:tc>
          <w:tcPr>
            <w:tcW w:type="dxa" w:w="5672"/>
            <w:tcBorders>
              <w:top w:val="single" w:color="B8BCC6" w:sz="4"/>
              <w:left w:val="single" w:color="B8BCC6" w:sz="4"/>
              <w:bottom w:val="single" w:color="B8BCC6" w:sz="4"/>
              <w:right w:val="single" w:color="B8BCC6" w:sz="4"/>
            </w:tcBorders>
            <w:shd w:fill="1F3A5F" w:color="auto" w:val="clear"/>
            <w:tcMar>
              <w:top w:type="dxa" w:w="50"/>
              <w:left w:type="dxa" w:w="90"/>
              <w:bottom w:type="dxa" w:w="50"/>
              <w:right w:type="dxa" w:w="90"/>
            </w:tcMar>
          </w:tcPr>
          <w:p>
            <w:pPr>
              <w:spacing w:after="20"/>
            </w:pPr>
            <w:r>
              <w:rPr>
                <w:b/>
                <w:bCs/>
                <w:color w:val="FFFFFF"/>
                <w:sz w:val="18"/>
                <w:szCs w:val="18"/>
              </w:rPr>
              <w:t xml:space="preserve">Archivos</w:t>
            </w:r>
          </w:p>
        </w:tc>
      </w:tr>
      <w:tr>
        <w:trPr>
          <w:tblHeader w:val="false"/>
        </w:trPr>
        <w:tc>
          <w:tcPr>
            <w:tcW w:type="dxa" w:w="3400"/>
            <w:tcBorders>
              <w:top w:val="single" w:color="B8BCC6" w:sz="4"/>
              <w:left w:val="single" w:color="B8BCC6" w:sz="4"/>
              <w:bottom w:val="single" w:color="B8BCC6" w:sz="4"/>
              <w:right w:val="single" w:color="B8BCC6" w:sz="4"/>
            </w:tcBorders>
            <w:tcMar>
              <w:top w:type="dxa" w:w="50"/>
              <w:left w:type="dxa" w:w="90"/>
              <w:bottom w:type="dxa" w:w="50"/>
              <w:right w:type="dxa" w:w="90"/>
            </w:tcMar>
          </w:tcPr>
          <w:p>
            <w:pPr>
              <w:spacing w:after="20"/>
            </w:pPr>
            <w:r>
              <w:rPr>
                <w:sz w:val="18"/>
                <w:szCs w:val="18"/>
              </w:rPr>
              <w:t xml:space="preserve">Interfaz inicial (diseño, catálogo, carrito)</w:t>
            </w:r>
          </w:p>
        </w:tc>
        <w:tc>
          <w:tcPr>
            <w:tcW w:type="dxa" w:w="5672"/>
            <w:tcBorders>
              <w:top w:val="single" w:color="B8BCC6" w:sz="4"/>
              <w:left w:val="single" w:color="B8BCC6" w:sz="4"/>
              <w:bottom w:val="single" w:color="B8BCC6" w:sz="4"/>
              <w:right w:val="single" w:color="B8BCC6" w:sz="4"/>
            </w:tcBorders>
            <w:tcMar>
              <w:top w:type="dxa" w:w="50"/>
              <w:left w:type="dxa" w:w="90"/>
              <w:bottom w:type="dxa" w:w="50"/>
              <w:right w:type="dxa" w:w="90"/>
            </w:tcMar>
          </w:tcPr>
          <w:p>
            <w:pPr>
              <w:spacing w:after="20"/>
            </w:pPr>
            <w:r>
              <w:rPr>
                <w:rFonts w:ascii="Consolas" w:cs="Consolas" w:eastAsia="Consolas" w:hAnsi="Consolas"/>
                <w:sz w:val="19"/>
                <w:szCs w:val="19"/>
              </w:rPr>
              <w:t xml:space="preserve">docs/version_inicial/NOCTILUZ — Tienda.html</w:t>
            </w:r>
          </w:p>
        </w:tc>
      </w:tr>
      <w:tr>
        <w:trPr>
          <w:tblHeader w:val="false"/>
        </w:trPr>
        <w:tc>
          <w:tcPr>
            <w:tcW w:type="dxa" w:w="3400"/>
            <w:tcBorders>
              <w:top w:val="single" w:color="B8BCC6" w:sz="4"/>
              <w:left w:val="single" w:color="B8BCC6" w:sz="4"/>
              <w:bottom w:val="single" w:color="B8BCC6" w:sz="4"/>
              <w:right w:val="single" w:color="B8BCC6" w:sz="4"/>
            </w:tcBorders>
            <w:shd w:fill="F3F5F8" w:color="auto" w:val="clear"/>
            <w:tcMar>
              <w:top w:type="dxa" w:w="50"/>
              <w:left w:type="dxa" w:w="90"/>
              <w:bottom w:type="dxa" w:w="50"/>
              <w:right w:type="dxa" w:w="90"/>
            </w:tcMar>
          </w:tcPr>
          <w:p>
            <w:pPr>
              <w:spacing w:after="20"/>
            </w:pPr>
            <w:r>
              <w:rPr>
                <w:sz w:val="18"/>
                <w:szCs w:val="18"/>
              </w:rPr>
              <w:t xml:space="preserve">Lógica de negocio y persistencia</w:t>
            </w:r>
          </w:p>
        </w:tc>
        <w:tc>
          <w:tcPr>
            <w:tcW w:type="dxa" w:w="5672"/>
            <w:tcBorders>
              <w:top w:val="single" w:color="B8BCC6" w:sz="4"/>
              <w:left w:val="single" w:color="B8BCC6" w:sz="4"/>
              <w:bottom w:val="single" w:color="B8BCC6" w:sz="4"/>
              <w:right w:val="single" w:color="B8BCC6" w:sz="4"/>
            </w:tcBorders>
            <w:shd w:fill="F3F5F8" w:color="auto" w:val="clear"/>
            <w:tcMar>
              <w:top w:type="dxa" w:w="50"/>
              <w:left w:type="dxa" w:w="90"/>
              <w:bottom w:type="dxa" w:w="50"/>
              <w:right w:type="dxa" w:w="90"/>
            </w:tcMar>
          </w:tcPr>
          <w:p>
            <w:pPr>
              <w:spacing w:after="20"/>
            </w:pPr>
            <w:r>
              <w:rPr>
                <w:rFonts w:ascii="Consolas" w:cs="Consolas" w:eastAsia="Consolas" w:hAnsi="Consolas"/>
                <w:sz w:val="19"/>
                <w:szCs w:val="19"/>
              </w:rPr>
              <w:t xml:space="preserve">public_html/app/*.php</w:t>
            </w:r>
          </w:p>
        </w:tc>
      </w:tr>
      <w:tr>
        <w:trPr>
          <w:tblHeader w:val="false"/>
        </w:trPr>
        <w:tc>
          <w:tcPr>
            <w:tcW w:type="dxa" w:w="3400"/>
            <w:tcBorders>
              <w:top w:val="single" w:color="B8BCC6" w:sz="4"/>
              <w:left w:val="single" w:color="B8BCC6" w:sz="4"/>
              <w:bottom w:val="single" w:color="B8BCC6" w:sz="4"/>
              <w:right w:val="single" w:color="B8BCC6" w:sz="4"/>
            </w:tcBorders>
            <w:tcMar>
              <w:top w:type="dxa" w:w="50"/>
              <w:left w:type="dxa" w:w="90"/>
              <w:bottom w:type="dxa" w:w="50"/>
              <w:right w:type="dxa" w:w="90"/>
            </w:tcMar>
          </w:tcPr>
          <w:p>
            <w:pPr>
              <w:spacing w:after="20"/>
            </w:pPr>
            <w:r>
              <w:rPr>
                <w:sz w:val="18"/>
                <w:szCs w:val="18"/>
              </w:rPr>
              <w:t xml:space="preserve">API</w:t>
            </w:r>
          </w:p>
        </w:tc>
        <w:tc>
          <w:tcPr>
            <w:tcW w:type="dxa" w:w="5672"/>
            <w:tcBorders>
              <w:top w:val="single" w:color="B8BCC6" w:sz="4"/>
              <w:left w:val="single" w:color="B8BCC6" w:sz="4"/>
              <w:bottom w:val="single" w:color="B8BCC6" w:sz="4"/>
              <w:right w:val="single" w:color="B8BCC6" w:sz="4"/>
            </w:tcBorders>
            <w:tcMar>
              <w:top w:type="dxa" w:w="50"/>
              <w:left w:type="dxa" w:w="90"/>
              <w:bottom w:type="dxa" w:w="50"/>
              <w:right w:type="dxa" w:w="90"/>
            </w:tcMar>
          </w:tcPr>
          <w:p>
            <w:pPr>
              <w:spacing w:after="20"/>
            </w:pPr>
            <w:r>
              <w:rPr>
                <w:rFonts w:ascii="Consolas" w:cs="Consolas" w:eastAsia="Consolas" w:hAnsi="Consolas"/>
                <w:sz w:val="19"/>
                <w:szCs w:val="19"/>
              </w:rPr>
              <w:t xml:space="preserve">public_html/api/*.php</w:t>
            </w:r>
            <w:r>
              <w:rPr>
                <w:sz w:val="18"/>
                <w:szCs w:val="18"/>
              </w:rPr>
              <w:t xml:space="preserve"> y </w:t>
            </w:r>
            <w:r>
              <w:rPr>
                <w:rFonts w:ascii="Consolas" w:cs="Consolas" w:eastAsia="Consolas" w:hAnsi="Consolas"/>
                <w:sz w:val="19"/>
                <w:szCs w:val="19"/>
              </w:rPr>
              <w:t xml:space="preserve">api/admin/*.php</w:t>
            </w:r>
          </w:p>
        </w:tc>
      </w:tr>
      <w:tr>
        <w:trPr>
          <w:tblHeader w:val="false"/>
        </w:trPr>
        <w:tc>
          <w:tcPr>
            <w:tcW w:type="dxa" w:w="3400"/>
            <w:tcBorders>
              <w:top w:val="single" w:color="B8BCC6" w:sz="4"/>
              <w:left w:val="single" w:color="B8BCC6" w:sz="4"/>
              <w:bottom w:val="single" w:color="B8BCC6" w:sz="4"/>
              <w:right w:val="single" w:color="B8BCC6" w:sz="4"/>
            </w:tcBorders>
            <w:shd w:fill="F3F5F8" w:color="auto" w:val="clear"/>
            <w:tcMar>
              <w:top w:type="dxa" w:w="50"/>
              <w:left w:type="dxa" w:w="90"/>
              <w:bottom w:type="dxa" w:w="50"/>
              <w:right w:type="dxa" w:w="90"/>
            </w:tcMar>
          </w:tcPr>
          <w:p>
            <w:pPr>
              <w:spacing w:after="20"/>
            </w:pPr>
            <w:r>
              <w:rPr>
                <w:sz w:val="18"/>
                <w:szCs w:val="18"/>
              </w:rPr>
              <w:t xml:space="preserve">Interfaz ampliada y back-office</w:t>
            </w:r>
          </w:p>
        </w:tc>
        <w:tc>
          <w:tcPr>
            <w:tcW w:type="dxa" w:w="5672"/>
            <w:tcBorders>
              <w:top w:val="single" w:color="B8BCC6" w:sz="4"/>
              <w:left w:val="single" w:color="B8BCC6" w:sz="4"/>
              <w:bottom w:val="single" w:color="B8BCC6" w:sz="4"/>
              <w:right w:val="single" w:color="B8BCC6" w:sz="4"/>
            </w:tcBorders>
            <w:shd w:fill="F3F5F8" w:color="auto" w:val="clear"/>
            <w:tcMar>
              <w:top w:type="dxa" w:w="50"/>
              <w:left w:type="dxa" w:w="90"/>
              <w:bottom w:type="dxa" w:w="50"/>
              <w:right w:type="dxa" w:w="90"/>
            </w:tcMar>
          </w:tcPr>
          <w:p>
            <w:pPr>
              <w:spacing w:after="20"/>
            </w:pPr>
            <w:r>
              <w:rPr>
                <w:rFonts w:ascii="Consolas" w:cs="Consolas" w:eastAsia="Consolas" w:hAnsi="Consolas"/>
                <w:sz w:val="19"/>
                <w:szCs w:val="19"/>
              </w:rPr>
              <w:t xml:space="preserve">index.html</w:t>
            </w:r>
            <w:r>
              <w:rPr>
                <w:sz w:val="18"/>
                <w:szCs w:val="18"/>
              </w:rPr>
              <w:t xml:space="preserve">, </w:t>
            </w:r>
            <w:r>
              <w:rPr>
                <w:rFonts w:ascii="Consolas" w:cs="Consolas" w:eastAsia="Consolas" w:hAnsi="Consolas"/>
                <w:sz w:val="19"/>
                <w:szCs w:val="19"/>
              </w:rPr>
              <w:t xml:space="preserve">admin.html</w:t>
            </w:r>
            <w:r>
              <w:rPr>
                <w:sz w:val="18"/>
                <w:szCs w:val="18"/>
              </w:rPr>
              <w:t xml:space="preserve">, </w:t>
            </w:r>
            <w:r>
              <w:rPr>
                <w:rFonts w:ascii="Consolas" w:cs="Consolas" w:eastAsia="Consolas" w:hAnsi="Consolas"/>
                <w:sz w:val="19"/>
                <w:szCs w:val="19"/>
              </w:rPr>
              <w:t xml:space="preserve">assets/js/*.js</w:t>
            </w:r>
            <w:r>
              <w:rPr>
                <w:sz w:val="18"/>
                <w:szCs w:val="18"/>
              </w:rPr>
              <w:t xml:space="preserve">, </w:t>
            </w:r>
            <w:r>
              <w:rPr>
                <w:rFonts w:ascii="Consolas" w:cs="Consolas" w:eastAsia="Consolas" w:hAnsi="Consolas"/>
                <w:sz w:val="19"/>
                <w:szCs w:val="19"/>
              </w:rPr>
              <w:t xml:space="preserve">assets/css/*.css</w:t>
            </w:r>
          </w:p>
        </w:tc>
      </w:tr>
      <w:tr>
        <w:trPr>
          <w:tblHeader w:val="false"/>
        </w:trPr>
        <w:tc>
          <w:tcPr>
            <w:tcW w:type="dxa" w:w="3400"/>
            <w:tcBorders>
              <w:top w:val="single" w:color="B8BCC6" w:sz="4"/>
              <w:left w:val="single" w:color="B8BCC6" w:sz="4"/>
              <w:bottom w:val="single" w:color="B8BCC6" w:sz="4"/>
              <w:right w:val="single" w:color="B8BCC6" w:sz="4"/>
            </w:tcBorders>
            <w:tcMar>
              <w:top w:type="dxa" w:w="50"/>
              <w:left w:type="dxa" w:w="90"/>
              <w:bottom w:type="dxa" w:w="50"/>
              <w:right w:type="dxa" w:w="90"/>
            </w:tcMar>
          </w:tcPr>
          <w:p>
            <w:pPr>
              <w:spacing w:after="20"/>
            </w:pPr>
            <w:r>
              <w:rPr>
                <w:sz w:val="18"/>
                <w:szCs w:val="18"/>
              </w:rPr>
              <w:t xml:space="preserve">Base de datos y datos de prueba</w:t>
            </w:r>
          </w:p>
        </w:tc>
        <w:tc>
          <w:tcPr>
            <w:tcW w:type="dxa" w:w="5672"/>
            <w:tcBorders>
              <w:top w:val="single" w:color="B8BCC6" w:sz="4"/>
              <w:left w:val="single" w:color="B8BCC6" w:sz="4"/>
              <w:bottom w:val="single" w:color="B8BCC6" w:sz="4"/>
              <w:right w:val="single" w:color="B8BCC6" w:sz="4"/>
            </w:tcBorders>
            <w:tcMar>
              <w:top w:type="dxa" w:w="50"/>
              <w:left w:type="dxa" w:w="90"/>
              <w:bottom w:type="dxa" w:w="50"/>
              <w:right w:type="dxa" w:w="90"/>
            </w:tcMar>
          </w:tcPr>
          <w:p>
            <w:pPr>
              <w:spacing w:after="20"/>
            </w:pPr>
            <w:r>
              <w:rPr>
                <w:rFonts w:ascii="Consolas" w:cs="Consolas" w:eastAsia="Consolas" w:hAnsi="Consolas"/>
                <w:sz w:val="19"/>
                <w:szCs w:val="19"/>
              </w:rPr>
              <w:t xml:space="preserve">database/*.sql</w:t>
            </w:r>
            <w:r>
              <w:rPr>
                <w:sz w:val="18"/>
                <w:szCs w:val="18"/>
              </w:rPr>
              <w:t xml:space="preserve">, </w:t>
            </w:r>
            <w:r>
              <w:rPr>
                <w:rFonts w:ascii="Consolas" w:cs="Consolas" w:eastAsia="Consolas" w:hAnsi="Consolas"/>
                <w:sz w:val="19"/>
                <w:szCs w:val="19"/>
              </w:rPr>
              <w:t xml:space="preserve">database/instalar_local.php</w:t>
            </w:r>
          </w:p>
        </w:tc>
      </w:tr>
      <w:tr>
        <w:trPr>
          <w:tblHeader w:val="false"/>
        </w:trPr>
        <w:tc>
          <w:tcPr>
            <w:tcW w:type="dxa" w:w="3400"/>
            <w:tcBorders>
              <w:top w:val="single" w:color="B8BCC6" w:sz="4"/>
              <w:left w:val="single" w:color="B8BCC6" w:sz="4"/>
              <w:bottom w:val="single" w:color="B8BCC6" w:sz="4"/>
              <w:right w:val="single" w:color="B8BCC6" w:sz="4"/>
            </w:tcBorders>
            <w:shd w:fill="F3F5F8" w:color="auto" w:val="clear"/>
            <w:tcMar>
              <w:top w:type="dxa" w:w="50"/>
              <w:left w:type="dxa" w:w="90"/>
              <w:bottom w:type="dxa" w:w="50"/>
              <w:right w:type="dxa" w:w="90"/>
            </w:tcMar>
          </w:tcPr>
          <w:p>
            <w:pPr>
              <w:spacing w:after="20"/>
            </w:pPr>
            <w:r>
              <w:rPr>
                <w:sz w:val="18"/>
                <w:szCs w:val="18"/>
              </w:rPr>
              <w:t xml:space="preserve">Documentación</w:t>
            </w:r>
          </w:p>
        </w:tc>
        <w:tc>
          <w:tcPr>
            <w:tcW w:type="dxa" w:w="5672"/>
            <w:tcBorders>
              <w:top w:val="single" w:color="B8BCC6" w:sz="4"/>
              <w:left w:val="single" w:color="B8BCC6" w:sz="4"/>
              <w:bottom w:val="single" w:color="B8BCC6" w:sz="4"/>
              <w:right w:val="single" w:color="B8BCC6" w:sz="4"/>
            </w:tcBorders>
            <w:shd w:fill="F3F5F8" w:color="auto" w:val="clear"/>
            <w:tcMar>
              <w:top w:type="dxa" w:w="50"/>
              <w:left w:type="dxa" w:w="90"/>
              <w:bottom w:type="dxa" w:w="50"/>
              <w:right w:type="dxa" w:w="90"/>
            </w:tcMar>
          </w:tcPr>
          <w:p>
            <w:pPr>
              <w:spacing w:after="20"/>
            </w:pPr>
            <w:r>
              <w:rPr>
                <w:rFonts w:ascii="Consolas" w:cs="Consolas" w:eastAsia="Consolas" w:hAnsi="Consolas"/>
                <w:sz w:val="19"/>
                <w:szCs w:val="19"/>
              </w:rPr>
              <w:t xml:space="preserve">README.md</w:t>
            </w:r>
            <w:r>
              <w:rPr>
                <w:sz w:val="18"/>
                <w:szCs w:val="18"/>
              </w:rPr>
              <w:t xml:space="preserve">, borrador de esta memoria, diagrama de la Figura 1</w:t>
            </w:r>
          </w:p>
        </w:tc>
      </w:tr>
    </w:tbl>
    <w:p>
      <w:pPr>
        <w:spacing w:after="80"/>
      </w:pPr>
    </w:p>
    <w:p>
      <w:pPr>
        <w:pStyle w:val="Heading2"/>
      </w:pPr>
      <w:r>
        <w:t xml:space="preserve">d) Errores detectados en las respuestas de la IA</w:t>
      </w:r>
    </w:p>
    <w:p>
      <w:pPr>
        <w:pStyle w:val="ListParagraph"/>
        <w:numPr>
          <w:ilvl w:val="0"/>
          <w:numId w:val="2"/>
        </w:numPr>
        <w:spacing w:after="60" w:line="264"/>
      </w:pPr>
      <w:r>
        <w:t xml:space="preserve">La versión inicial no cumplía el enunciado: sin persistencia, sin pedido (el botón de compra solo mostraba un aviso) y con un filtro por modo que no filtraba, porque asumía que todas las prendas admitían los tres modos.</w:t>
      </w:r>
    </w:p>
    <w:p>
      <w:pPr>
        <w:pStyle w:val="ListParagraph"/>
        <w:numPr>
          <w:ilvl w:val="0"/>
          <w:numId w:val="2"/>
        </w:numPr>
        <w:spacing w:after="60" w:line="264"/>
      </w:pPr>
      <w:r>
        <w:t xml:space="preserve">En la ficha de producto, los manejadores de eventos se acumulaban al cambiar de color y el mismo clic se procesaba dos veces. Se corrigió anulándolos en cada cambio de vista.</w:t>
      </w:r>
    </w:p>
    <w:p>
      <w:pPr>
        <w:pStyle w:val="ListParagraph"/>
        <w:numPr>
          <w:ilvl w:val="0"/>
          <w:numId w:val="2"/>
        </w:numPr>
        <w:spacing w:after="60" w:line="264"/>
      </w:pPr>
      <w:r>
        <w:t xml:space="preserve">Animar a la vez las 16 ilustraciones del catálogo obligaba al navegador a repintar continuamente. Se limitó la animación a la imagen principal y a la tarjeta señalada.</w:t>
      </w:r>
    </w:p>
    <w:p>
      <w:pPr>
        <w:pStyle w:val="ListParagraph"/>
        <w:numPr>
          <w:ilvl w:val="0"/>
          <w:numId w:val="2"/>
        </w:numPr>
        <w:spacing w:after="60" w:line="264"/>
      </w:pPr>
      <w:r>
        <w:t xml:space="preserve">Un estilo de las páginas interiores anulaba el margen lateral y el contenido quedaba pegado al borde; en el historial del pedido aparecía un texto duplicado.</w:t>
      </w:r>
    </w:p>
    <w:p>
      <w:pPr>
        <w:pStyle w:val="ListParagraph"/>
        <w:numPr>
          <w:ilvl w:val="0"/>
          <w:numId w:val="2"/>
        </w:numPr>
        <w:spacing w:after="60" w:line="264"/>
      </w:pPr>
      <w:r>
        <w:t xml:space="preserve">Errores de entorno durante las pruebas: una ruta mal escapada en la configuración de PHP y un problema de codificación de tildes al generar el diagrama.</w:t>
      </w:r>
    </w:p>
    <w:p>
      <w:pPr>
        <w:pStyle w:val="ListParagraph"/>
        <w:numPr>
          <w:ilvl w:val="0"/>
          <w:numId w:val="2"/>
        </w:numPr>
        <w:spacing w:after="60" w:line="264"/>
      </w:pPr>
      <w:r>
        <w:rPr>
          <w:b/>
          <w:bCs/>
          <w:highlight w:val="yellow"/>
          <w:highlightCs w:val="yellow"/>
        </w:rPr>
        <w:t xml:space="preserve">[COMPLETAR: errores que el grupo haya detectado al revisar el código o al desplegar]</w:t>
      </w:r>
      <w:r>
        <w:t xml:space="preserve">.</w:t>
      </w:r>
    </w:p>
    <w:p>
      <w:pPr>
        <w:pStyle w:val="Heading2"/>
      </w:pPr>
      <w:r>
        <w:t xml:space="preserve">e) Cambios realizados por el grupo</w:t>
      </w:r>
    </w:p>
    <w:p>
      <w:pPr>
        <w:pStyle w:val="ListParagraph"/>
        <w:numPr>
          <w:ilvl w:val="0"/>
          <w:numId w:val="2"/>
        </w:numPr>
        <w:spacing w:after="60" w:line="264"/>
      </w:pPr>
      <w:r>
        <w:rPr>
          <w:b/>
          <w:bCs/>
          <w:highlight w:val="yellow"/>
          <w:highlightCs w:val="yellow"/>
        </w:rPr>
        <w:t xml:space="preserve">[COMPLETAR: qué ha revisado, modificado o añadido cada integrante, en coherencia con el historial de commits]</w:t>
      </w:r>
      <w:r>
        <w:t xml:space="preserve">.</w:t>
      </w:r>
    </w:p>
    <w:p>
      <w:pPr>
        <w:pStyle w:val="Heading2"/>
      </w:pPr>
      <w:r>
        <w:t xml:space="preserve">f) Validación del resultado final</w:t>
      </w:r>
    </w:p>
    <w:p>
      <w:pPr>
        <w:pStyle w:val="ListParagraph"/>
        <w:numPr>
          <w:ilvl w:val="0"/>
          <w:numId w:val="2"/>
        </w:numPr>
        <w:spacing w:after="60" w:line="264"/>
      </w:pPr>
      <w:r>
        <w:t xml:space="preserve">Pruebas manuales del flujo completo en local: filtros combinados, ficha, carrito, checkout, cupones, envío exprés, pago rechazado y aprobado, seguimiento, soporte y back-office.</w:t>
      </w:r>
    </w:p>
    <w:p>
      <w:pPr>
        <w:pStyle w:val="ListParagraph"/>
        <w:numPr>
          <w:ilvl w:val="0"/>
          <w:numId w:val="2"/>
        </w:numPr>
        <w:spacing w:after="60" w:line="264"/>
      </w:pPr>
      <w:r>
        <w:t xml:space="preserve">Comprobación a mano de los importes: por ejemplo, 247,00 € con NOCHE10 da un descuento de 24,70 €, envío gratuito, total de 222,30 €, base imponible de 183,72 € e IVA de 38,58 €.</w:t>
      </w:r>
    </w:p>
    <w:p>
      <w:pPr>
        <w:pStyle w:val="ListParagraph"/>
        <w:numPr>
          <w:ilvl w:val="0"/>
          <w:numId w:val="2"/>
        </w:numPr>
        <w:spacing w:after="60" w:line="264"/>
      </w:pPr>
      <w:r>
        <w:t xml:space="preserve">Peticiones directas a la API saltándose la interfaz: datos inválidos, modos no admitidos, productos agotados, precios manipulados (se ignoran), transiciones de estado prohibidas y acceso al back-office sin sesión.</w:t>
      </w:r>
    </w:p>
    <w:p>
      <w:pPr>
        <w:pStyle w:val="ListParagraph"/>
        <w:numPr>
          <w:ilvl w:val="0"/>
          <w:numId w:val="2"/>
        </w:numPr>
        <w:spacing w:after="60" w:line="264"/>
      </w:pPr>
      <w:r>
        <w:t xml:space="preserve">Comprobación de que cancelar un pedido devuelve el stock y de que la vista en móvil no se desborda horizontalmente.</w:t>
      </w:r>
    </w:p>
    <w:p>
      <w:pPr>
        <w:pStyle w:val="ListParagraph"/>
        <w:numPr>
          <w:ilvl w:val="0"/>
          <w:numId w:val="2"/>
        </w:numPr>
        <w:spacing w:after="60" w:line="264"/>
      </w:pPr>
      <w:r>
        <w:rPr>
          <w:b/>
          <w:bCs/>
          <w:highlight w:val="yellow"/>
          <w:highlightCs w:val="yellow"/>
        </w:rPr>
        <w:t xml:space="preserve">[COMPLETAR: pruebas realizadas por el grupo en el hosting de DonDominio y su resultado]</w:t>
      </w:r>
      <w:r>
        <w:t xml:space="preserve">.</w:t>
      </w:r>
    </w:p>
    <w:sectPr>
      <w:footerReference w:type="default" r:id="rId7"/>
      <w:footerReference w:type="first" r:id="rId8"/>
      <w:pgSz w:w="11906" w:h="16838" w:orient="portrait"/>
      <w:pgMar w:top="1417" w:right="1417" w:bottom="1417" w:left="1417"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777777"/>
        <w:sz w:val="16"/>
        <w:szCs w:val="16"/>
      </w:rPr>
      <w:t xml:space="preserve">NOCTILUZ · Memoria Tarea 1 · Prototipo académico — página </w:t>
    </w:r>
    <w:r>
      <w:rPr>
        <w:color w:val="777777"/>
        <w:sz w:val="16"/>
        <w:szCs w:val="16"/>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15:tentative="1">
      <w:start w:val="1"/>
      <w:numFmt w:val="bullet"/>
      <w:lvlText w:val="–"/>
      <w:lvlJc w:val="left"/>
      <w:pPr>
        <w:ind w:left="108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40" w:before="280"/>
      <w:outlineLvl w:val="0"/>
    </w:pPr>
    <w:rPr>
      <w:rFonts w:ascii="Calibri" w:cs="Calibri" w:eastAsia="Calibri" w:hAnsi="Calibri"/>
      <w:b/>
      <w:bCs/>
      <w:color w:val="1F3A5F"/>
      <w:sz w:val="30"/>
      <w:szCs w:val="30"/>
    </w:rPr>
  </w:style>
  <w:style w:type="paragraph" w:styleId="Heading2">
    <w:name w:val="Heading 2"/>
    <w:basedOn w:val="Normal"/>
    <w:next w:val="Normal"/>
    <w:qFormat/>
    <w:pPr>
      <w:spacing w:after="100" w:before="200"/>
      <w:outlineLvl w:val="1"/>
    </w:pPr>
    <w:rPr>
      <w:rFonts w:ascii="Calibri" w:cs="Calibri" w:eastAsia="Calibri" w:hAnsi="Calibri"/>
      <w:b/>
      <w:bCs/>
      <w:color w:val="333333"/>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image" Target="media/8249c9bc4b1869012a3552c6cf7b922a2d5f276a.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NOCTILUZ · Memoria Tarea 1</dc:title>
  <dc:creator>Grupo NOCTILUZ</dc:creator>
  <cp:lastModifiedBy>Un-named</cp:lastModifiedBy>
  <cp:revision>1</cp:revision>
  <dcterms:created xsi:type="dcterms:W3CDTF">2026-09-24T09:41:02.502Z</dcterms:created>
  <dcterms:modified xsi:type="dcterms:W3CDTF">2026-09-24T09:41:02.503Z</dcterms:modified>
</cp:coreProperties>
</file>

<file path=docProps/custom.xml><?xml version="1.0" encoding="utf-8"?>
<Properties xmlns="http://schemas.openxmlformats.org/officeDocument/2006/custom-properties" xmlns:vt="http://schemas.openxmlformats.org/officeDocument/2006/docPropsVTypes"/>
</file>