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0F" w:rsidRDefault="00492E0F" w:rsidP="00492E0F">
      <w:pPr>
        <w:jc w:val="center"/>
        <w:rPr>
          <w:lang w:val="en-US"/>
        </w:rPr>
      </w:pPr>
      <w:r>
        <w:rPr>
          <w:sz w:val="50"/>
          <w:szCs w:val="50"/>
          <w:lang w:val="en-US"/>
        </w:rPr>
        <w:t>Notes on LES Modeling and Numerical Method in LES3D-MP</w:t>
      </w:r>
      <w:r>
        <w:rPr>
          <w:lang w:val="en-US"/>
        </w:rPr>
        <w:br/>
      </w:r>
      <w:r>
        <w:rPr>
          <w:sz w:val="32"/>
          <w:szCs w:val="32"/>
          <w:lang w:val="en-US"/>
        </w:rPr>
        <w:t>Luis Bravo</w:t>
      </w:r>
      <w:r>
        <w:rPr>
          <w:lang w:val="en-US"/>
        </w:rPr>
        <w:br/>
      </w:r>
      <w:r>
        <w:rPr>
          <w:sz w:val="32"/>
          <w:szCs w:val="32"/>
          <w:lang w:val="en-US"/>
        </w:rPr>
        <w:t>January, 2010</w:t>
      </w:r>
    </w:p>
    <w:p w:rsidR="00492E0F" w:rsidRDefault="00492E0F" w:rsidP="00492E0F">
      <w:pPr>
        <w:pStyle w:val="Heading2"/>
        <w:rPr>
          <w:i w:val="0"/>
          <w:iCs w:val="0"/>
          <w:sz w:val="24"/>
          <w:szCs w:val="24"/>
          <w:lang w:val="en-US"/>
        </w:rPr>
      </w:pPr>
      <w:r>
        <w:rPr>
          <w:lang w:val="en-US"/>
        </w:rPr>
        <w:t>1. SGS scalar flux</w:t>
      </w:r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t>A similar solution is obtained through the use of the eddy diffusivity concept to model the SGS heat flux</w:t>
      </w:r>
      <w:proofErr w:type="gramStart"/>
      <w:r>
        <w:rPr>
          <w:lang w:val="en-US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q</m:t>
            </m:r>
          </m:e>
          <m:sub>
            <m:r>
              <w:rPr>
                <w:rFonts w:ascii="Cambria Math" w:hAnsi="Cambria Math" w:cs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=-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ρ</m:t>
                    </m:r>
                  </m:e>
                </m:bar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α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T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ρ</m:t>
                        </m:r>
                      </m:e>
                    </m:ba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△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s</m:t>
                        </m:r>
                      </m:sub>
                    </m:s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|S|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T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(1)</w:t>
            </w:r>
          </w:p>
        </w:tc>
      </w:tr>
    </w:tbl>
    <w:p w:rsidR="00492E0F" w:rsidRDefault="00492E0F" w:rsidP="00492E0F">
      <w:pPr>
        <w:rPr>
          <w:lang w:val="en-US"/>
        </w:rPr>
      </w:pPr>
    </w:p>
    <w:p w:rsidR="00492E0F" w:rsidRDefault="00492E0F" w:rsidP="00492E0F">
      <w:pPr>
        <w:jc w:val="both"/>
        <w:rPr>
          <w:lang w:val="en-US"/>
        </w:rPr>
      </w:pPr>
      <w:proofErr w:type="gramStart"/>
      <w:r>
        <w:rPr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C</m:t>
            </m:r>
          </m:e>
          <m:sub>
            <m:r>
              <w:rPr>
                <w:rFonts w:ascii="Cambria Math" w:hAnsi="Cambria Math" w:cs="Cambria Math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lang w:val="en-US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C</m:t>
            </m:r>
          </m:e>
          <m:sub>
            <m:r>
              <w:rPr>
                <w:rFonts w:ascii="Cambria Math" w:hAnsi="Cambria Math" w:cs="Cambria Math"/>
                <w:lang w:val="en-US"/>
              </w:rPr>
              <m:t>s</m:t>
            </m:r>
          </m:sub>
        </m:sSub>
        <m:r>
          <w:rPr>
            <w:rFonts w:ascii="Cambria Math" w:hAnsi="Cambria Math" w:cs="Cambria Math"/>
            <w:lang w:val="en-US"/>
          </w:rPr>
          <m:t>/P</m:t>
        </m:r>
        <m:sSub>
          <m:sSub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r</m:t>
            </m:r>
          </m:e>
          <m:sub>
            <m:r>
              <w:rPr>
                <w:rFonts w:ascii="Cambria Math" w:hAnsi="Cambria Math" w:cs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. Reynolds and Favre averaging yields the following model terms: </w:t>
      </w:r>
    </w:p>
    <w:p w:rsidR="00492E0F" w:rsidRDefault="00492E0F" w:rsidP="00492E0F">
      <w:pPr>
        <w:rPr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 w:cs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barPr>
            <m:e>
              <m:r>
                <w:rPr>
                  <w:rFonts w:ascii="Cambria Math" w:hAnsi="Cambria Math" w:cs="Cambria Math"/>
                  <w:lang w:val="en-US"/>
                </w:rPr>
                <m:t>ρ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ϕ</m:t>
              </m:r>
            </m:e>
          </m:bar>
          <m:r>
            <w:rPr>
              <w:rFonts w:ascii="Cambria Math" w:hAnsi="Cambria Math" w:cs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</m:e>
              </m:ba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lang w:val="en-US"/>
                    </w:rPr>
                    <m:t>ρϕ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lang w:val="en-US"/>
                    </w:rPr>
                    <m:t>ρ</m:t>
                  </m:r>
                </m:e>
              </m:bar>
            </m:den>
          </m:f>
        </m:oMath>
      </m:oMathPara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(2)</w:t>
            </w:r>
          </w:p>
        </w:tc>
      </w:tr>
    </w:tbl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t xml:space="preserve">The subtest scalar flux now takes the following form: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ϕ</m:t>
                        </m:r>
                      </m:e>
                    </m:bar>
                  </m:e>
                </m:acc>
                <m:r>
                  <w:rPr>
                    <w:rFonts w:ascii="Cambria Math" w:hAnsi="Cambria Math" w:cs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bar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ρϕ</m:t>
                            </m:r>
                          </m:e>
                        </m:bar>
                      </m:e>
                    </m:acc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ρ</m:t>
                            </m:r>
                          </m:e>
                        </m:bar>
                      </m:e>
                    </m:acc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(3)</w:t>
            </w:r>
          </w:p>
        </w:tc>
      </w:tr>
    </w:tbl>
    <w:p w:rsidR="00492E0F" w:rsidRDefault="00492E0F" w:rsidP="00492E0F">
      <w:pPr>
        <w:rPr>
          <w:lang w:val="en-US"/>
        </w:rPr>
      </w:pPr>
    </w:p>
    <w:p w:rsidR="00492E0F" w:rsidRDefault="00492E0F" w:rsidP="00492E0F">
      <w:pPr>
        <w:jc w:val="both"/>
        <w:rPr>
          <w:lang w:val="en-US"/>
        </w:rPr>
      </w:pPr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t xml:space="preserve">Through the use of </w:t>
      </w:r>
      <w:proofErr w:type="spellStart"/>
      <w:r>
        <w:rPr>
          <w:lang w:val="en-US"/>
        </w:rPr>
        <w:t>Germano’s</w:t>
      </w:r>
      <w:proofErr w:type="spellEnd"/>
      <w:r>
        <w:rPr>
          <w:lang w:val="en-US"/>
        </w:rPr>
        <w:t xml:space="preserve"> identity we obtain the scalar </w:t>
      </w:r>
      <w:proofErr w:type="spellStart"/>
      <w:r>
        <w:rPr>
          <w:lang w:val="en-US"/>
        </w:rPr>
        <w:t>Leonards</w:t>
      </w:r>
      <w:proofErr w:type="spellEnd"/>
      <w:r>
        <w:rPr>
          <w:lang w:val="en-US"/>
        </w:rPr>
        <w:t xml:space="preserve"> tensor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lang w:val="en-US"/>
              </w:rPr>
              <m:t>ij</m:t>
            </m:r>
          </m:sub>
        </m:sSub>
      </m:oMath>
      <w:r>
        <w:rPr>
          <w:lang w:val="en-US"/>
        </w:rPr>
        <w:t xml:space="preserve"> and the Modeling tensor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T</m:t>
            </m:r>
          </m:e>
          <m:sub>
            <m:r>
              <w:rPr>
                <w:rFonts w:ascii="Cambria Math" w:hAnsi="Cambria Math" w:cs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as: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ρ</m:t>
                        </m:r>
                      </m:e>
                    </m:ba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acc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ϕ</m:t>
                        </m:r>
                      </m:e>
                    </m:acc>
                  </m:e>
                </m:acc>
                <m:r>
                  <w:rPr>
                    <w:rFonts w:ascii="Cambria Math" w:hAnsi="Cambria Math" w:cs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ρ</m:t>
                            </m:r>
                          </m:e>
                        </m:ba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ρ</m:t>
                            </m:r>
                          </m:e>
                        </m:ba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ϕ</m:t>
                            </m:r>
                          </m:e>
                        </m:acc>
                      </m:e>
                    </m:acc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ρ</m:t>
                            </m:r>
                          </m:e>
                        </m:bar>
                      </m:e>
                    </m:acc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(4)</w:t>
            </w:r>
          </w:p>
        </w:tc>
      </w:tr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ρ</m:t>
                            </m:r>
                          </m:e>
                        </m:bar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|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S</m:t>
                            </m:r>
                          </m:e>
                        </m:acc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|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T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acc>
                    <m:r>
                      <w:rPr>
                        <w:rFonts w:ascii="Cambria Math" w:hAnsi="Cambria Math" w:cs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△</m:t>
                                        </m:r>
                                      </m:e>
                                    </m:bar>
                                  </m:e>
                                </m:acc>
                              </m:num>
                              <m:den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△</m:t>
                                    </m:r>
                                  </m:e>
                                </m:ba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ρ</m:t>
                            </m:r>
                          </m:e>
                        </m:bar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|S|</m:t>
                            </m:r>
                          </m:e>
                        </m:acc>
                      </m:e>
                    </m:acc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∂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T</m:t>
                                </m:r>
                              </m:e>
                            </m:acc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△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(5)</w:t>
            </w:r>
          </w:p>
        </w:tc>
      </w:tr>
    </w:tbl>
    <w:p w:rsidR="00492E0F" w:rsidRDefault="00492E0F" w:rsidP="00492E0F">
      <w:pPr>
        <w:rPr>
          <w:lang w:val="en-US"/>
        </w:rPr>
      </w:pPr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t xml:space="preserve">Similarly, to the incompressible version we can solve this </w:t>
      </w:r>
      <w:proofErr w:type="spellStart"/>
      <w:r>
        <w:rPr>
          <w:lang w:val="en-US"/>
        </w:rPr>
        <w:t>overdefined</w:t>
      </w:r>
      <w:proofErr w:type="spellEnd"/>
      <w:r>
        <w:rPr>
          <w:lang w:val="en-US"/>
        </w:rPr>
        <w:t xml:space="preserve"> system through the least-squares method for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C</m:t>
            </m:r>
          </m:e>
          <m:sub>
            <m:r>
              <w:rPr>
                <w:rFonts w:ascii="Cambria Math" w:hAnsi="Cambria Math" w:cs="Cambria Math"/>
                <w:lang w:val="en-US"/>
              </w:rPr>
              <m:t>α</m:t>
            </m:r>
          </m:sub>
        </m:sSub>
      </m:oMath>
      <w:r>
        <w:rPr>
          <w:lang w:val="en-US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α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  <w:lang w:val="en-US"/>
                  </w:rPr>
                  <m:t>,t)=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lang w:val="en-US"/>
                      </w:rPr>
                      <m:t>&gt;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lang w:val="en-US"/>
                      </w:rPr>
                      <m:t>&gt;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(6)</w:t>
            </w:r>
          </w:p>
        </w:tc>
      </w:tr>
    </w:tbl>
    <w:p w:rsidR="00492E0F" w:rsidRDefault="00492E0F" w:rsidP="00492E0F">
      <w:pPr>
        <w:jc w:val="both"/>
        <w:rPr>
          <w:lang w:val="en-US"/>
        </w:rPr>
      </w:pPr>
    </w:p>
    <w:p w:rsidR="00492E0F" w:rsidRDefault="00492E0F" w:rsidP="00492E0F">
      <w:pPr>
        <w:pStyle w:val="Heading1"/>
        <w:rPr>
          <w:b w:val="0"/>
          <w:bCs w:val="0"/>
          <w:sz w:val="24"/>
          <w:szCs w:val="24"/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1. Numerical Method</w:t>
      </w:r>
    </w:p>
    <w:p w:rsidR="00492E0F" w:rsidRDefault="00492E0F" w:rsidP="00492E0F">
      <w:pPr>
        <w:pStyle w:val="Heading2"/>
        <w:rPr>
          <w:i w:val="0"/>
          <w:iCs w:val="0"/>
          <w:sz w:val="24"/>
          <w:szCs w:val="24"/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Runge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Kutta</w:t>
      </w:r>
      <w:proofErr w:type="spellEnd"/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t xml:space="preserve">The three </w:t>
      </w:r>
      <w:proofErr w:type="gramStart"/>
      <w:r>
        <w:rPr>
          <w:lang w:val="en-US"/>
        </w:rPr>
        <w:t>stage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Runge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Kutta</w:t>
      </w:r>
      <w:proofErr w:type="spellEnd"/>
      <w:r>
        <w:rPr>
          <w:lang w:val="en-US"/>
        </w:rPr>
        <w:t xml:space="preserve"> algorithm is now presented as applied to a fractional step method. An implicit second-order Crank-Nicholson method is used for wall normal diffusion while the other terms are advanced with the </w:t>
      </w:r>
      <w:proofErr w:type="spellStart"/>
      <w:r>
        <w:rPr>
          <w:lang w:val="en-US"/>
        </w:rPr>
        <w:t>Runge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Kutta</w:t>
      </w:r>
      <w:proofErr w:type="spellEnd"/>
      <w:r>
        <w:rPr>
          <w:lang w:val="en-US"/>
        </w:rPr>
        <w:t xml:space="preserve"> method. The three steps (k=1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 xml:space="preserve">) fractional step, time advancement is therefore: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△tM(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mbria Math"/>
                    <w:lang w:val="en-US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k-1</m:t>
                    </m:r>
                  </m:sup>
                </m:sSubSup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(7)</w:t>
            </w:r>
          </w:p>
        </w:tc>
      </w:tr>
    </w:tbl>
    <w:p w:rsidR="00492E0F" w:rsidRDefault="00492E0F" w:rsidP="00492E0F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lang w:val="en-US"/>
                      </w:rPr>
                      <m:t>(δp)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lang w:val="en-US"/>
                      </w:rPr>
                      <m:t>△t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(8)</w:t>
            </w:r>
          </w:p>
        </w:tc>
      </w:tr>
    </w:tbl>
    <w:p w:rsidR="00492E0F" w:rsidRDefault="00492E0F" w:rsidP="00492E0F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△t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∂δp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(9)</w:t>
            </w:r>
          </w:p>
        </w:tc>
      </w:tr>
    </w:tbl>
    <w:p w:rsidR="00492E0F" w:rsidRDefault="00492E0F" w:rsidP="00492E0F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k-1</m:t>
                    </m:r>
                  </m:sup>
                </m:sSup>
                <m:r>
                  <w:rPr>
                    <w:rFonts w:ascii="Cambria Math" w:hAnsi="Cambria Math" w:cs="Cambria Math"/>
                    <w:lang w:val="en-US"/>
                  </w:rPr>
                  <m:t>+δp</m:t>
                </m:r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(10)</w:t>
            </w:r>
          </w:p>
        </w:tc>
      </w:tr>
    </w:tbl>
    <w:p w:rsidR="00492E0F" w:rsidRDefault="00492E0F" w:rsidP="00492E0F">
      <w:pPr>
        <w:jc w:val="both"/>
        <w:rPr>
          <w:lang w:val="en-US"/>
        </w:rPr>
      </w:pPr>
    </w:p>
    <w:p w:rsidR="00492E0F" w:rsidRDefault="00492E0F" w:rsidP="00492E0F">
      <w:pPr>
        <w:jc w:val="both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the explicit terms, </w:t>
      </w:r>
      <m:oMath>
        <m:sSubSup>
          <m:sSubSup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r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  <w:lang w:val="en-US"/>
              </w:rPr>
              <m:t>k-1</m:t>
            </m:r>
          </m:sup>
        </m:sSubSup>
      </m:oMath>
      <w:r>
        <w:rPr>
          <w:lang w:val="en-US"/>
        </w:rPr>
        <w:t xml:space="preserve">, are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k-1</m:t>
                    </m:r>
                  </m:sup>
                </m:sSubSup>
                <m:r>
                  <w:rPr>
                    <w:rFonts w:ascii="Cambria Math" w:hAnsi="Cambria Math" w:cs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k-1</m:t>
                    </m:r>
                  </m:sup>
                </m:sSubSup>
                <m:r>
                  <w:rPr>
                    <w:rFonts w:ascii="Cambria Math" w:hAnsi="Cambria Math" w:cs="Cambria Math"/>
                    <w:lang w:val="en-US"/>
                  </w:rPr>
                  <m:t>+△t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lang w:val="en-US"/>
                      </w:rPr>
                      <m:t>M(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k-1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lang w:val="en-US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lang w:val="en-US"/>
                      </w:rPr>
                      <m:t>A(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k-1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lang w:val="en-US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lang w:val="en-US"/>
                      </w:rPr>
                      <m:t>A(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k-2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lang w:val="en-US"/>
                      </w:rPr>
                      <m:t>)-2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k-1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(11)</w:t>
            </w:r>
          </w:p>
        </w:tc>
      </w:tr>
    </w:tbl>
    <w:p w:rsidR="00492E0F" w:rsidRDefault="00492E0F" w:rsidP="00492E0F">
      <w:pPr>
        <w:jc w:val="both"/>
        <w:rPr>
          <w:lang w:val="en-US"/>
        </w:rPr>
      </w:pPr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t xml:space="preserve">At the first </w:t>
      </w:r>
      <w:proofErr w:type="spellStart"/>
      <w:r>
        <w:rPr>
          <w:lang w:val="en-US"/>
        </w:rPr>
        <w:t>substep</w:t>
      </w:r>
      <w:proofErr w:type="spellEnd"/>
      <w:r>
        <w:rPr>
          <w:lang w:val="en-US"/>
        </w:rPr>
        <w:t>, when k=1</w:t>
      </w:r>
      <w:proofErr w:type="gramStart"/>
      <w:r>
        <w:rPr>
          <w:lang w:val="en-US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u</m:t>
            </m:r>
          </m:e>
          <m:sup>
            <m:r>
              <w:rPr>
                <w:rFonts w:ascii="Cambria Math" w:hAnsi="Cambria Math" w:cs="Cambria Math"/>
                <w:lang w:val="en-US"/>
              </w:rPr>
              <m:t>k-1</m:t>
            </m:r>
          </m:sup>
        </m:sSup>
        <m:r>
          <w:rPr>
            <w:rFonts w:ascii="Cambria Math" w:hAnsi="Cambria Math" w:cs="Cambria Math"/>
            <w:lang w:val="en-US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u</m:t>
            </m:r>
          </m:e>
          <m:sup>
            <m:r>
              <w:rPr>
                <w:rFonts w:ascii="Cambria Math" w:hAnsi="Cambria Math" w:cs="Cambria Math"/>
                <w:lang w:val="en-US"/>
              </w:rPr>
              <m:t>n</m:t>
            </m:r>
          </m:sup>
        </m:sSup>
      </m:oMath>
      <w:r>
        <w:rPr>
          <w:lang w:val="en-US"/>
        </w:rPr>
        <w:t xml:space="preserve">, and at the end of the third substep, the solution is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u</m:t>
            </m:r>
          </m:e>
          <m:sup>
            <m:r>
              <w:rPr>
                <w:rFonts w:ascii="Cambria Math" w:hAnsi="Cambria Math" w:cs="Cambria Math"/>
                <w:lang w:val="en-US"/>
              </w:rPr>
              <m:t>n+1</m:t>
            </m:r>
          </m:sup>
        </m:sSup>
        <m:r>
          <w:rPr>
            <w:rFonts w:ascii="Cambria Math" w:hAnsi="Cambria Math" w:cs="Cambria Math"/>
            <w:lang w:val="en-US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u</m:t>
            </m:r>
          </m:e>
          <m:sup>
            <m:r>
              <w:rPr>
                <w:rFonts w:ascii="Cambria Math" w:hAnsi="Cambria Math" w:cs="Cambria Math"/>
                <w:lang w:val="en-US"/>
              </w:rPr>
              <m:t>k</m:t>
            </m:r>
          </m:sup>
        </m:sSup>
      </m:oMath>
      <w:r>
        <w:rPr>
          <w:lang w:val="en-US"/>
        </w:rPr>
        <w:t xml:space="preserve">. The coefficients of the time advancement scheme are </w:t>
      </w:r>
    </w:p>
    <w:p w:rsidR="00492E0F" w:rsidRDefault="00492E0F" w:rsidP="00492E0F">
      <w:pPr>
        <w:rPr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lang w:val="en-US"/>
            </w:rPr>
            <m:t xml:space="preserve">=4/15    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lang w:val="en-US"/>
            </w:rPr>
            <m:t xml:space="preserve">=1/15    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 w:cs="Cambria Math"/>
              <w:lang w:val="en-US"/>
            </w:rPr>
            <m:t>=1/6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sty m:val="p"/>
            </m:rPr>
            <w:rPr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lang w:val="en-US"/>
            </w:rPr>
            <m:t xml:space="preserve">=8/15    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lang w:val="en-US"/>
            </w:rPr>
            <m:t xml:space="preserve">=5/12    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 w:cs="Cambria Math"/>
              <w:lang w:val="en-US"/>
            </w:rPr>
            <m:t>=3/4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sty m:val="p"/>
            </m:rPr>
            <w:rPr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ζ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lang w:val="en-US"/>
            </w:rPr>
            <m:t xml:space="preserve">=0      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ζ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lang w:val="en-US"/>
            </w:rPr>
            <m:t xml:space="preserve">=-17/60    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ζ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 w:cs="Cambria Math"/>
              <w:lang w:val="en-US"/>
            </w:rPr>
            <m:t>=-5/12</m:t>
          </m:r>
        </m:oMath>
      </m:oMathPara>
    </w:p>
    <w:p w:rsidR="00492E0F" w:rsidRDefault="00492E0F" w:rsidP="00492E0F">
      <w:pPr>
        <w:jc w:val="both"/>
        <w:rPr>
          <w:lang w:val="en-US"/>
        </w:rPr>
      </w:pPr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t>This time advancement scheme (</w:t>
      </w:r>
      <w:proofErr w:type="spellStart"/>
      <w:r>
        <w:rPr>
          <w:lang w:val="en-US"/>
        </w:rPr>
        <w:t>withouth</w:t>
      </w:r>
      <w:proofErr w:type="spellEnd"/>
      <w:r>
        <w:rPr>
          <w:lang w:val="en-US"/>
        </w:rPr>
        <w:t xml:space="preserve"> the additional LES cross-terms) is stable under the following conditions: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/>
                    <w:lang w:val="en-US"/>
                  </w:rPr>
                  <m:t>α=△t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△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&lt;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(</m:t>
                    </m:r>
                  </m:e>
                </m:rad>
                <m:r>
                  <w:rPr>
                    <w:rFonts w:ascii="Cambria Math" w:hAnsi="Cambria Math" w:cs="Cambria Math"/>
                    <w:lang w:val="en-US"/>
                  </w:rPr>
                  <m:t>3)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(12)</w:t>
            </w:r>
          </w:p>
        </w:tc>
      </w:tr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/>
                    <w:lang w:val="en-US"/>
                  </w:rPr>
                  <m:t>β=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Re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△t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△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&lt;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(</m:t>
                    </m:r>
                  </m:e>
                </m:rad>
                <m:r>
                  <w:rPr>
                    <w:rFonts w:ascii="Cambria Math" w:hAnsi="Cambria Math" w:cs="Cambria Math"/>
                    <w:lang w:val="en-US"/>
                  </w:rPr>
                  <m:t>3)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(13)</w:t>
            </w:r>
          </w:p>
        </w:tc>
      </w:tr>
    </w:tbl>
    <w:p w:rsidR="00492E0F" w:rsidRDefault="00492E0F" w:rsidP="00492E0F">
      <w:pPr>
        <w:jc w:val="both"/>
        <w:rPr>
          <w:lang w:val="en-US"/>
        </w:rPr>
      </w:pPr>
    </w:p>
    <w:p w:rsidR="00492E0F" w:rsidRDefault="00492E0F" w:rsidP="00492E0F">
      <w:pPr>
        <w:jc w:val="both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for </w:t>
      </w:r>
      <m:oMath>
        <m:r>
          <w:rPr>
            <w:rFonts w:ascii="Cambria Math" w:hAnsi="Cambria Math" w:cs="Cambria Math"/>
            <w:lang w:val="en-US"/>
          </w:rPr>
          <m:t>α,i=1,2,3</m:t>
        </m:r>
      </m:oMath>
      <w:r>
        <w:rPr>
          <w:lang w:val="en-US"/>
        </w:rPr>
        <w:t xml:space="preserve"> and for </w:t>
      </w:r>
      <m:oMath>
        <m:r>
          <w:rPr>
            <w:rFonts w:ascii="Cambria Math" w:hAnsi="Cambria Math" w:cs="Cambria Math"/>
            <w:lang w:val="en-US"/>
          </w:rPr>
          <m:t>β,i=1,3</m:t>
        </m:r>
      </m:oMath>
      <w:r>
        <w:rPr>
          <w:lang w:val="en-US"/>
        </w:rPr>
        <w:t xml:space="preserve">. When the LES cross terms are included, the limit on the timestep is lower.  </w:t>
      </w:r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br/>
        <w:t xml:space="preserve">Spatial derivatives are approximated </w:t>
      </w:r>
      <w:proofErr w:type="gramStart"/>
      <w:r>
        <w:rPr>
          <w:lang w:val="en-US"/>
        </w:rPr>
        <w:t>by a second order central differences</w:t>
      </w:r>
      <w:proofErr w:type="gramEnd"/>
      <w:r>
        <w:rPr>
          <w:lang w:val="en-US"/>
        </w:rPr>
        <w:t xml:space="preserve"> on a staggered grid. The choice of the staggered grid has the advantage of being conservative. On the other hand, the use of a staggered grid induces additional complications when defining boundaries. </w:t>
      </w:r>
    </w:p>
    <w:p w:rsidR="00492E0F" w:rsidRDefault="00492E0F" w:rsidP="00492E0F">
      <w:pPr>
        <w:pStyle w:val="Heading2"/>
        <w:rPr>
          <w:i w:val="0"/>
          <w:iCs w:val="0"/>
          <w:sz w:val="24"/>
          <w:szCs w:val="24"/>
          <w:lang w:val="en-US"/>
        </w:rPr>
      </w:pPr>
      <w:r>
        <w:rPr>
          <w:lang w:val="en-US"/>
        </w:rPr>
        <w:lastRenderedPageBreak/>
        <w:t>2. Discrete Equation</w:t>
      </w:r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t xml:space="preserve">The governing equations are discretized using a finite differences approach. Velocity components are staggered with respect to pressure in both space and time. The density is co-located at the pressure points. Thus, the calculation of the mass flux (momentum per unit volume) requires spatial interpolation and is given the </w:t>
      </w:r>
      <w:proofErr w:type="gramStart"/>
      <w:r>
        <w:rPr>
          <w:lang w:val="en-US"/>
        </w:rPr>
        <w:t xml:space="preserve">symbol </w:t>
      </w:r>
      <w:proofErr w:type="gramEnd"/>
      <m:oMath>
        <m:sSub>
          <m:sSub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g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</m:sSub>
      </m:oMath>
      <w:r>
        <w:rPr>
          <w:lang w:val="en-US"/>
        </w:rPr>
        <w:t>. The density is s</w:t>
      </w:r>
      <w:proofErr w:type="spellStart"/>
      <w:r>
        <w:rPr>
          <w:lang w:val="en-US"/>
        </w:rPr>
        <w:t>taggered</w:t>
      </w:r>
      <w:proofErr w:type="spellEnd"/>
      <w:r>
        <w:rPr>
          <w:lang w:val="en-US"/>
        </w:rPr>
        <w:t xml:space="preserve"> in time, so that effectively the density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ρ</m:t>
            </m:r>
          </m:e>
          <m:sup>
            <m:r>
              <w:rPr>
                <w:rFonts w:ascii="Cambria Math" w:hAnsi="Cambria Math" w:cs="Cambria Math"/>
                <w:lang w:val="en-US"/>
              </w:rPr>
              <m:t>n</m:t>
            </m:r>
          </m:sup>
        </m:sSup>
      </m:oMath>
      <w:r>
        <w:rPr>
          <w:lang w:val="en-US"/>
        </w:rPr>
        <w:t xml:space="preserve"> is calculated at </w:t>
      </w:r>
      <w:proofErr w:type="gramStart"/>
      <w:r>
        <w:rPr>
          <w:lang w:val="en-US"/>
        </w:rPr>
        <w:t xml:space="preserve">time </w:t>
      </w:r>
      <w:proofErr w:type="gramEnd"/>
      <m:oMath>
        <m:r>
          <w:rPr>
            <w:rFonts w:ascii="Cambria Math" w:hAnsi="Cambria Math" w:cs="Cambria Math"/>
            <w:lang w:val="en-US"/>
          </w:rPr>
          <m:t>(n-1/2)△t</m:t>
        </m:r>
      </m:oMath>
      <w:r>
        <w:rPr>
          <w:lang w:val="en-US"/>
        </w:rPr>
        <w:t xml:space="preserve">. Conversion between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u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g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 accomplished using the following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barPr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ρ</m:t>
                                </m:r>
                              </m:e>
                            </m:ba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bar>
                  </m:e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   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</m:ba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(14)</w:t>
            </w:r>
          </w:p>
        </w:tc>
      </w:tr>
    </w:tbl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br/>
        <w:t xml:space="preserve"> </w:t>
      </w:r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t xml:space="preserve">The fully discrete equations are now presented in the following form, </w:t>
      </w:r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br/>
        <w:t xml:space="preserve">Continuity: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(15)</w:t>
            </w:r>
          </w:p>
        </w:tc>
      </w:tr>
    </w:tbl>
    <w:p w:rsidR="00492E0F" w:rsidRDefault="00492E0F" w:rsidP="00492E0F">
      <w:pPr>
        <w:jc w:val="both"/>
        <w:rPr>
          <w:lang w:val="en-US"/>
        </w:rPr>
      </w:pPr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t xml:space="preserve">Momentum: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ba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ba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mbria Math"/>
                    <w:lang w:val="en-US"/>
                  </w:rPr>
                  <m:t>(p)+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(16)</w:t>
            </w:r>
          </w:p>
        </w:tc>
      </w:tr>
    </w:tbl>
    <w:p w:rsidR="00492E0F" w:rsidRDefault="00492E0F" w:rsidP="00492E0F">
      <w:pPr>
        <w:jc w:val="both"/>
        <w:rPr>
          <w:lang w:val="en-US"/>
        </w:rPr>
      </w:pPr>
    </w:p>
    <w:p w:rsidR="00492E0F" w:rsidRDefault="00492E0F" w:rsidP="00492E0F">
      <w:pPr>
        <w:rPr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 w:cs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</m:ba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ba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Cambria Math"/>
                        <w:lang w:val="en-US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if 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i≠j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2μ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3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Cambria Math"/>
                        <w:lang w:val="en-US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if 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i=j</m:t>
                    </m:r>
                  </m:e>
                </m:mr>
              </m:m>
            </m:e>
          </m:d>
        </m:oMath>
      </m:oMathPara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br/>
        <w:t xml:space="preserve">Scalar Transport: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Cambria Math"/>
                    <w:lang w:val="en-US"/>
                  </w:rPr>
                  <m:t>(ρZ)+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ρα</m:t>
                                    </m:r>
                                  </m:e>
                                </m:ba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lang w:val="en-US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(17)</w:t>
            </w:r>
          </w:p>
        </w:tc>
      </w:tr>
    </w:tbl>
    <w:p w:rsidR="00492E0F" w:rsidRDefault="00492E0F" w:rsidP="00492E0F">
      <w:pPr>
        <w:jc w:val="both"/>
        <w:rPr>
          <w:lang w:val="en-US"/>
        </w:rPr>
      </w:pPr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t xml:space="preserve">For clarity the above compact notation can be expanded in more conventional form. For instance, the continuity equation in two dimensions for a staggered cell in time-space would expanded as, 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△t</m:t>
                    </m:r>
                  </m:den>
                </m:f>
                <m:r>
                  <w:rPr>
                    <w:rFonts w:ascii="Cambria Math" w:hAnsi="Cambria Math" w:cs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4△x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lang w:val="en-US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lang w:val="en-US"/>
                      </w:rPr>
                      <m:t>-(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lang w:val="en-US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n+1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(18)</w:t>
            </w:r>
          </w:p>
        </w:tc>
      </w:tr>
    </w:tbl>
    <w:p w:rsidR="00492E0F" w:rsidRDefault="00492E0F" w:rsidP="00492E0F">
      <w:pPr>
        <w:rPr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 w:cs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4△y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i,j+1</m:t>
                  </m:r>
                </m:sub>
                <m:sup>
                  <m:r>
                    <w:rPr>
                      <w:rFonts w:ascii="Cambria Math" w:hAnsi="Cambria Math" w:cs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hAnsi="Cambria Math" w:cs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i,j+1</m:t>
                  </m:r>
                </m:sub>
                <m:sup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="Cambria Math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hAnsi="Cambria Math" w:cs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Cambria Math"/>
                  <w:lang w:val="en-US"/>
                </w:rPr>
                <m:t>-(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hAnsi="Cambria Math" w:cs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="Cambria Math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Cambria Math"/>
                      <w:lang w:val="en-US"/>
                    </w:rPr>
                    <m:t>n+1</m:t>
                  </m:r>
                </m:sup>
              </m:sSubSup>
            </m:e>
          </m:d>
        </m:oMath>
      </m:oMathPara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t xml:space="preserve">Generalizing the above equations for non-uniform grids (stretched), the interpolation and differencing operators are defined as,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6469"/>
        <w:gridCol w:w="1386"/>
      </w:tblGrid>
      <w:tr w:rsidR="00492E0F" w:rsidTr="008002F1">
        <w:tc>
          <w:tcPr>
            <w:tcW w:w="750" w:type="pct"/>
            <w:vAlign w:val="center"/>
          </w:tcPr>
          <w:p w:rsidR="00492E0F" w:rsidRDefault="00492E0F" w:rsidP="008002F1"/>
        </w:tc>
        <w:tc>
          <w:tcPr>
            <w:tcW w:w="3500" w:type="pct"/>
          </w:tcPr>
          <w:p w:rsidR="00492E0F" w:rsidRDefault="00492E0F" w:rsidP="008002F1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i+1/2</m:t>
                    </m:r>
                  </m:sub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sup>
                </m:sSubSup>
                <m:r>
                  <w:rPr>
                    <w:rFonts w:ascii="Cambria Math" w:hAnsi="Cambria Math" w:cs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+(1-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    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Cambria Math"/>
                    <w:lang w:val="en-US"/>
                  </w:rPr>
                  <m:t>(u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i+1/2</m:t>
                    </m:r>
                  </m:sub>
                </m:sSub>
                <m:r>
                  <w:rPr>
                    <w:rFonts w:ascii="Cambria Math" w:hAnsi="Cambria Math" w:cs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492E0F" w:rsidRDefault="00492E0F" w:rsidP="008002F1">
            <w:pPr>
              <w:widowControl/>
              <w:jc w:val="right"/>
            </w:pPr>
            <w:r>
              <w:t>(19)</w:t>
            </w:r>
          </w:p>
        </w:tc>
      </w:tr>
    </w:tbl>
    <w:p w:rsidR="00492E0F" w:rsidRDefault="00492E0F" w:rsidP="00492E0F">
      <w:pPr>
        <w:jc w:val="both"/>
        <w:rPr>
          <w:lang w:val="en-US"/>
        </w:rPr>
      </w:pPr>
    </w:p>
    <w:p w:rsidR="00492E0F" w:rsidRDefault="00492E0F" w:rsidP="00492E0F">
      <w:pPr>
        <w:jc w:val="both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c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are the interpolation weights.These defenitions maintain formal second order accuracy of the in</w:t>
      </w:r>
      <w:proofErr w:type="spellStart"/>
      <w:r>
        <w:rPr>
          <w:lang w:val="en-US"/>
        </w:rPr>
        <w:t>terpolation</w:t>
      </w:r>
      <w:proofErr w:type="spellEnd"/>
      <w:r>
        <w:rPr>
          <w:lang w:val="en-US"/>
        </w:rPr>
        <w:t xml:space="preserve"> operator, but they do not satisfy the discrete product rules exactly </w:t>
      </w:r>
      <w:r>
        <w:rPr>
          <w:lang w:val="en-US"/>
        </w:rPr>
        <w:lastRenderedPageBreak/>
        <w:t xml:space="preserve">so that the secondary conservation is only approximately satisfied. For stability, we will use equally weighted interpolation (i.e. c=1/2). </w:t>
      </w:r>
    </w:p>
    <w:p w:rsidR="00492E0F" w:rsidRDefault="00492E0F" w:rsidP="00492E0F">
      <w:pPr>
        <w:jc w:val="both"/>
        <w:rPr>
          <w:lang w:val="en-US"/>
        </w:rPr>
      </w:pPr>
      <w:r>
        <w:rPr>
          <w:lang w:val="en-US"/>
        </w:rPr>
        <w:br/>
      </w:r>
    </w:p>
    <w:p w:rsidR="00492E0F" w:rsidRDefault="00492E0F" w:rsidP="00492E0F">
      <w:pPr>
        <w:pStyle w:val="Heading1"/>
        <w:rPr>
          <w:b w:val="0"/>
          <w:bCs w:val="0"/>
          <w:sz w:val="24"/>
          <w:szCs w:val="24"/>
          <w:lang w:val="en-US"/>
        </w:rPr>
      </w:pPr>
      <w:r>
        <w:rPr>
          <w:lang w:val="en-US"/>
        </w:rPr>
        <w:t>2. Summary</w:t>
      </w:r>
    </w:p>
    <w:p w:rsidR="00492E0F" w:rsidRDefault="00492E0F" w:rsidP="00492E0F"/>
    <w:p w:rsidR="000240CF" w:rsidRPr="00492E0F" w:rsidRDefault="000240CF" w:rsidP="00492E0F">
      <w:bookmarkStart w:id="0" w:name="_GoBack"/>
      <w:bookmarkEnd w:id="0"/>
    </w:p>
    <w:sectPr w:rsidR="000240CF" w:rsidRPr="00492E0F" w:rsidSect="0005172B">
      <w:pgSz w:w="11906" w:h="1683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1995"/>
    <w:multiLevelType w:val="multilevel"/>
    <w:tmpl w:val="87D0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564A3C"/>
    <w:multiLevelType w:val="multilevel"/>
    <w:tmpl w:val="F26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CF"/>
    <w:rsid w:val="000240CF"/>
    <w:rsid w:val="00492E0F"/>
    <w:rsid w:val="008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paragraph" w:styleId="Heading1">
    <w:name w:val="heading 1"/>
    <w:aliases w:val="Section"/>
    <w:basedOn w:val="Normal"/>
    <w:next w:val="Normal"/>
    <w:link w:val="Heading1Char"/>
    <w:uiPriority w:val="99"/>
    <w:qFormat/>
    <w:pPr>
      <w:keepNext/>
      <w:spacing w:before="240" w:after="160"/>
      <w:outlineLvl w:val="0"/>
    </w:pPr>
    <w:rPr>
      <w:b/>
      <w:bCs/>
      <w:sz w:val="34"/>
      <w:szCs w:val="34"/>
    </w:rPr>
  </w:style>
  <w:style w:type="paragraph" w:styleId="Heading2">
    <w:name w:val="heading 2"/>
    <w:aliases w:val="Subsection"/>
    <w:basedOn w:val="Normal"/>
    <w:next w:val="Normal"/>
    <w:link w:val="Heading2Char"/>
    <w:uiPriority w:val="99"/>
    <w:qFormat/>
    <w:pPr>
      <w:keepNext/>
      <w:spacing w:before="240" w:after="160"/>
      <w:outlineLvl w:val="1"/>
    </w:pPr>
    <w:rPr>
      <w:i/>
      <w:iCs/>
      <w:sz w:val="32"/>
      <w:szCs w:val="32"/>
    </w:rPr>
  </w:style>
  <w:style w:type="paragraph" w:styleId="Heading3">
    <w:name w:val="heading 3"/>
    <w:aliases w:val="Subsubsection"/>
    <w:basedOn w:val="Normal"/>
    <w:next w:val="Normal"/>
    <w:link w:val="Heading3Char"/>
    <w:uiPriority w:val="99"/>
    <w:qFormat/>
    <w:pPr>
      <w:keepNext/>
      <w:spacing w:before="240" w:after="160"/>
      <w:outlineLvl w:val="2"/>
    </w:pPr>
    <w:rPr>
      <w:sz w:val="28"/>
      <w:szCs w:val="28"/>
    </w:rPr>
  </w:style>
  <w:style w:type="paragraph" w:styleId="Heading4">
    <w:name w:val="heading 4"/>
    <w:aliases w:val="Paragraph"/>
    <w:basedOn w:val="Normal"/>
    <w:next w:val="Normal"/>
    <w:link w:val="Heading4Char"/>
    <w:uiPriority w:val="99"/>
    <w:qFormat/>
    <w:pPr>
      <w:keepNext/>
      <w:spacing w:before="240" w:after="160"/>
      <w:outlineLvl w:val="3"/>
    </w:pPr>
    <w:rPr>
      <w:b/>
      <w:bCs/>
    </w:rPr>
  </w:style>
  <w:style w:type="paragraph" w:styleId="Heading5">
    <w:name w:val="heading 5"/>
    <w:aliases w:val="Subparagraph"/>
    <w:basedOn w:val="Normal"/>
    <w:next w:val="Normal"/>
    <w:link w:val="Heading5Char"/>
    <w:uiPriority w:val="99"/>
    <w:qFormat/>
    <w:pPr>
      <w:keepNext/>
      <w:spacing w:before="240" w:after="1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0240CF"/>
    <w:rPr>
      <w:rFonts w:asciiTheme="majorHAnsi" w:eastAsiaTheme="majorEastAsia" w:hAnsiTheme="majorHAnsi" w:cstheme="majorBidi"/>
      <w:b/>
      <w:bCs/>
      <w:kern w:val="32"/>
      <w:sz w:val="32"/>
      <w:szCs w:val="32"/>
      <w:lang w:val="x-none"/>
    </w:rPr>
  </w:style>
  <w:style w:type="character" w:customStyle="1" w:styleId="Heading2Char">
    <w:name w:val="Heading 2 Char"/>
    <w:aliases w:val="Subsection Char"/>
    <w:basedOn w:val="DefaultParagraphFont"/>
    <w:link w:val="Heading2"/>
    <w:uiPriority w:val="9"/>
    <w:semiHidden/>
    <w:rsid w:val="000240CF"/>
    <w:rPr>
      <w:rFonts w:asciiTheme="majorHAnsi" w:eastAsiaTheme="majorEastAsia" w:hAnsiTheme="majorHAnsi" w:cstheme="majorBidi"/>
      <w:b/>
      <w:bCs/>
      <w:i/>
      <w:iCs/>
      <w:sz w:val="28"/>
      <w:szCs w:val="28"/>
      <w:lang w:val="x-none"/>
    </w:rPr>
  </w:style>
  <w:style w:type="character" w:customStyle="1" w:styleId="Heading3Char">
    <w:name w:val="Heading 3 Char"/>
    <w:aliases w:val="Subsubsection Char"/>
    <w:basedOn w:val="DefaultParagraphFont"/>
    <w:link w:val="Heading3"/>
    <w:uiPriority w:val="9"/>
    <w:semiHidden/>
    <w:rsid w:val="000240CF"/>
    <w:rPr>
      <w:rFonts w:asciiTheme="majorHAnsi" w:eastAsiaTheme="majorEastAsia" w:hAnsiTheme="majorHAnsi" w:cstheme="majorBidi"/>
      <w:b/>
      <w:bCs/>
      <w:sz w:val="26"/>
      <w:szCs w:val="26"/>
      <w:lang w:val="x-none"/>
    </w:rPr>
  </w:style>
  <w:style w:type="character" w:customStyle="1" w:styleId="Heading4Char">
    <w:name w:val="Heading 4 Char"/>
    <w:aliases w:val="Paragraph Char"/>
    <w:basedOn w:val="DefaultParagraphFont"/>
    <w:link w:val="Heading4"/>
    <w:uiPriority w:val="9"/>
    <w:semiHidden/>
    <w:rsid w:val="000240CF"/>
    <w:rPr>
      <w:b/>
      <w:bCs/>
      <w:sz w:val="28"/>
      <w:szCs w:val="28"/>
      <w:lang w:val="x-none"/>
    </w:rPr>
  </w:style>
  <w:style w:type="character" w:customStyle="1" w:styleId="Heading5Char">
    <w:name w:val="Heading 5 Char"/>
    <w:aliases w:val="Subparagraph Char"/>
    <w:basedOn w:val="DefaultParagraphFont"/>
    <w:link w:val="Heading5"/>
    <w:uiPriority w:val="9"/>
    <w:semiHidden/>
    <w:rsid w:val="000240CF"/>
    <w:rPr>
      <w:b/>
      <w:bCs/>
      <w:i/>
      <w:iCs/>
      <w:sz w:val="26"/>
      <w:szCs w:val="26"/>
      <w:lang w:val="x-none"/>
    </w:rPr>
  </w:style>
  <w:style w:type="paragraph" w:customStyle="1" w:styleId="Quotation">
    <w:name w:val="Quotation"/>
    <w:basedOn w:val="Normal"/>
    <w:next w:val="Normal"/>
    <w:uiPriority w:val="99"/>
    <w:pPr>
      <w:keepNext/>
      <w:spacing w:before="240" w:after="160"/>
    </w:pPr>
  </w:style>
  <w:style w:type="paragraph" w:customStyle="1" w:styleId="Verse">
    <w:name w:val="Verse"/>
    <w:basedOn w:val="Normal"/>
    <w:next w:val="Normal"/>
    <w:uiPriority w:val="99"/>
    <w:pPr>
      <w:keepNext/>
      <w:spacing w:before="240" w:after="160"/>
    </w:pPr>
  </w:style>
  <w:style w:type="paragraph" w:styleId="Caption">
    <w:name w:val="caption"/>
    <w:basedOn w:val="Normal"/>
    <w:next w:val="Normal"/>
    <w:uiPriority w:val="99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Footnote">
    <w:name w:val="Footnote"/>
    <w:basedOn w:val="Normal"/>
    <w:next w:val="Normal"/>
    <w:uiPriority w:val="99"/>
  </w:style>
  <w:style w:type="paragraph" w:customStyle="1" w:styleId="MTDisplayEquation">
    <w:name w:val="MTDisplayEquation"/>
    <w:basedOn w:val="Normal"/>
    <w:next w:val="Normal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8D2B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4C"/>
    <w:rPr>
      <w:rFonts w:ascii="Tahoma" w:hAnsi="Tahoma" w:cs="Tahoma"/>
      <w:sz w:val="16"/>
      <w:szCs w:val="16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paragraph" w:styleId="Heading1">
    <w:name w:val="heading 1"/>
    <w:aliases w:val="Section"/>
    <w:basedOn w:val="Normal"/>
    <w:next w:val="Normal"/>
    <w:link w:val="Heading1Char"/>
    <w:uiPriority w:val="99"/>
    <w:qFormat/>
    <w:pPr>
      <w:keepNext/>
      <w:spacing w:before="240" w:after="160"/>
      <w:outlineLvl w:val="0"/>
    </w:pPr>
    <w:rPr>
      <w:b/>
      <w:bCs/>
      <w:sz w:val="34"/>
      <w:szCs w:val="34"/>
    </w:rPr>
  </w:style>
  <w:style w:type="paragraph" w:styleId="Heading2">
    <w:name w:val="heading 2"/>
    <w:aliases w:val="Subsection"/>
    <w:basedOn w:val="Normal"/>
    <w:next w:val="Normal"/>
    <w:link w:val="Heading2Char"/>
    <w:uiPriority w:val="99"/>
    <w:qFormat/>
    <w:pPr>
      <w:keepNext/>
      <w:spacing w:before="240" w:after="160"/>
      <w:outlineLvl w:val="1"/>
    </w:pPr>
    <w:rPr>
      <w:i/>
      <w:iCs/>
      <w:sz w:val="32"/>
      <w:szCs w:val="32"/>
    </w:rPr>
  </w:style>
  <w:style w:type="paragraph" w:styleId="Heading3">
    <w:name w:val="heading 3"/>
    <w:aliases w:val="Subsubsection"/>
    <w:basedOn w:val="Normal"/>
    <w:next w:val="Normal"/>
    <w:link w:val="Heading3Char"/>
    <w:uiPriority w:val="99"/>
    <w:qFormat/>
    <w:pPr>
      <w:keepNext/>
      <w:spacing w:before="240" w:after="160"/>
      <w:outlineLvl w:val="2"/>
    </w:pPr>
    <w:rPr>
      <w:sz w:val="28"/>
      <w:szCs w:val="28"/>
    </w:rPr>
  </w:style>
  <w:style w:type="paragraph" w:styleId="Heading4">
    <w:name w:val="heading 4"/>
    <w:aliases w:val="Paragraph"/>
    <w:basedOn w:val="Normal"/>
    <w:next w:val="Normal"/>
    <w:link w:val="Heading4Char"/>
    <w:uiPriority w:val="99"/>
    <w:qFormat/>
    <w:pPr>
      <w:keepNext/>
      <w:spacing w:before="240" w:after="160"/>
      <w:outlineLvl w:val="3"/>
    </w:pPr>
    <w:rPr>
      <w:b/>
      <w:bCs/>
    </w:rPr>
  </w:style>
  <w:style w:type="paragraph" w:styleId="Heading5">
    <w:name w:val="heading 5"/>
    <w:aliases w:val="Subparagraph"/>
    <w:basedOn w:val="Normal"/>
    <w:next w:val="Normal"/>
    <w:link w:val="Heading5Char"/>
    <w:uiPriority w:val="99"/>
    <w:qFormat/>
    <w:pPr>
      <w:keepNext/>
      <w:spacing w:before="240" w:after="1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0240CF"/>
    <w:rPr>
      <w:rFonts w:asciiTheme="majorHAnsi" w:eastAsiaTheme="majorEastAsia" w:hAnsiTheme="majorHAnsi" w:cstheme="majorBidi"/>
      <w:b/>
      <w:bCs/>
      <w:kern w:val="32"/>
      <w:sz w:val="32"/>
      <w:szCs w:val="32"/>
      <w:lang w:val="x-none"/>
    </w:rPr>
  </w:style>
  <w:style w:type="character" w:customStyle="1" w:styleId="Heading2Char">
    <w:name w:val="Heading 2 Char"/>
    <w:aliases w:val="Subsection Char"/>
    <w:basedOn w:val="DefaultParagraphFont"/>
    <w:link w:val="Heading2"/>
    <w:uiPriority w:val="9"/>
    <w:semiHidden/>
    <w:rsid w:val="000240CF"/>
    <w:rPr>
      <w:rFonts w:asciiTheme="majorHAnsi" w:eastAsiaTheme="majorEastAsia" w:hAnsiTheme="majorHAnsi" w:cstheme="majorBidi"/>
      <w:b/>
      <w:bCs/>
      <w:i/>
      <w:iCs/>
      <w:sz w:val="28"/>
      <w:szCs w:val="28"/>
      <w:lang w:val="x-none"/>
    </w:rPr>
  </w:style>
  <w:style w:type="character" w:customStyle="1" w:styleId="Heading3Char">
    <w:name w:val="Heading 3 Char"/>
    <w:aliases w:val="Subsubsection Char"/>
    <w:basedOn w:val="DefaultParagraphFont"/>
    <w:link w:val="Heading3"/>
    <w:uiPriority w:val="9"/>
    <w:semiHidden/>
    <w:rsid w:val="000240CF"/>
    <w:rPr>
      <w:rFonts w:asciiTheme="majorHAnsi" w:eastAsiaTheme="majorEastAsia" w:hAnsiTheme="majorHAnsi" w:cstheme="majorBidi"/>
      <w:b/>
      <w:bCs/>
      <w:sz w:val="26"/>
      <w:szCs w:val="26"/>
      <w:lang w:val="x-none"/>
    </w:rPr>
  </w:style>
  <w:style w:type="character" w:customStyle="1" w:styleId="Heading4Char">
    <w:name w:val="Heading 4 Char"/>
    <w:aliases w:val="Paragraph Char"/>
    <w:basedOn w:val="DefaultParagraphFont"/>
    <w:link w:val="Heading4"/>
    <w:uiPriority w:val="9"/>
    <w:semiHidden/>
    <w:rsid w:val="000240CF"/>
    <w:rPr>
      <w:b/>
      <w:bCs/>
      <w:sz w:val="28"/>
      <w:szCs w:val="28"/>
      <w:lang w:val="x-none"/>
    </w:rPr>
  </w:style>
  <w:style w:type="character" w:customStyle="1" w:styleId="Heading5Char">
    <w:name w:val="Heading 5 Char"/>
    <w:aliases w:val="Subparagraph Char"/>
    <w:basedOn w:val="DefaultParagraphFont"/>
    <w:link w:val="Heading5"/>
    <w:uiPriority w:val="9"/>
    <w:semiHidden/>
    <w:rsid w:val="000240CF"/>
    <w:rPr>
      <w:b/>
      <w:bCs/>
      <w:i/>
      <w:iCs/>
      <w:sz w:val="26"/>
      <w:szCs w:val="26"/>
      <w:lang w:val="x-none"/>
    </w:rPr>
  </w:style>
  <w:style w:type="paragraph" w:customStyle="1" w:styleId="Quotation">
    <w:name w:val="Quotation"/>
    <w:basedOn w:val="Normal"/>
    <w:next w:val="Normal"/>
    <w:uiPriority w:val="99"/>
    <w:pPr>
      <w:keepNext/>
      <w:spacing w:before="240" w:after="160"/>
    </w:pPr>
  </w:style>
  <w:style w:type="paragraph" w:customStyle="1" w:styleId="Verse">
    <w:name w:val="Verse"/>
    <w:basedOn w:val="Normal"/>
    <w:next w:val="Normal"/>
    <w:uiPriority w:val="99"/>
    <w:pPr>
      <w:keepNext/>
      <w:spacing w:before="240" w:after="160"/>
    </w:pPr>
  </w:style>
  <w:style w:type="paragraph" w:styleId="Caption">
    <w:name w:val="caption"/>
    <w:basedOn w:val="Normal"/>
    <w:next w:val="Normal"/>
    <w:uiPriority w:val="99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Footnote">
    <w:name w:val="Footnote"/>
    <w:basedOn w:val="Normal"/>
    <w:next w:val="Normal"/>
    <w:uiPriority w:val="99"/>
  </w:style>
  <w:style w:type="paragraph" w:customStyle="1" w:styleId="MTDisplayEquation">
    <w:name w:val="MTDisplayEquation"/>
    <w:basedOn w:val="Normal"/>
    <w:next w:val="Normal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8D2B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4C"/>
    <w:rPr>
      <w:rFonts w:ascii="Tahoma" w:hAnsi="Tahoma" w:cs="Tahoma"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dcterms:created xsi:type="dcterms:W3CDTF">2011-09-23T04:18:00Z</dcterms:created>
  <dcterms:modified xsi:type="dcterms:W3CDTF">2011-09-23T04:21:00Z</dcterms:modified>
</cp:coreProperties>
</file>