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7D72" w:rsidRDefault="00517D72" w:rsidP="00517D72">
      <w:pPr>
        <w:spacing w:line="480" w:lineRule="auto"/>
        <w:rPr>
          <w:b/>
          <w:sz w:val="32"/>
          <w:szCs w:val="32"/>
          <w:lang w:val="en-US"/>
        </w:rPr>
      </w:pPr>
      <w:r>
        <w:rPr>
          <w:b/>
          <w:sz w:val="32"/>
          <w:szCs w:val="32"/>
          <w:lang w:val="en-US"/>
        </w:rPr>
        <w:t xml:space="preserve">3.2.1. Isothermal Binary Mixing </w:t>
      </w:r>
    </w:p>
    <w:p w:rsidR="00517D72" w:rsidRDefault="00517D72" w:rsidP="00517D72">
      <w:pPr>
        <w:spacing w:line="480" w:lineRule="auto"/>
        <w:ind w:firstLine="720"/>
        <w:jc w:val="both"/>
        <w:rPr>
          <w:lang w:val="en-US"/>
        </w:rPr>
      </w:pPr>
      <w:r>
        <w:rPr>
          <w:lang w:val="en-US"/>
        </w:rPr>
        <w:t xml:space="preserve">The following verification case tests the ability to handle flows with large density ratios similar to those found in fires or in combustion systems. An exact solution to the one dimensional mixing of two fluids with different molecular weights is presented. The mixing occurs at constant temperature and constant pressure conditions. Next, a measure of the global </w:t>
      </w:r>
    </w:p>
    <w:p w:rsidR="00517D72" w:rsidRDefault="00517D72" w:rsidP="00517D72">
      <w:pPr>
        <w:spacing w:line="480" w:lineRule="auto"/>
        <w:jc w:val="both"/>
        <w:rPr>
          <w:lang w:val="en-US"/>
        </w:rPr>
      </w:pPr>
      <w:r>
        <w:rPr>
          <w:lang w:val="en-US"/>
        </w:rPr>
        <w:t>Discretization error is obtained on a series of different meshes and the error is computed on each mesh. This information yields the spatial order of accuracy of the code. If the discrete solution is second order in space, then the RMS error, ||</w:t>
      </w:r>
      <w:r w:rsidRPr="00FF4464">
        <w:rPr>
          <w:i/>
          <w:lang w:val="en-US"/>
        </w:rPr>
        <w:t>L</w:t>
      </w:r>
      <w:r w:rsidRPr="00FF4464">
        <w:rPr>
          <w:i/>
          <w:vertAlign w:val="subscript"/>
          <w:lang w:val="en-US"/>
        </w:rPr>
        <w:t>2</w:t>
      </w:r>
      <w:r>
        <w:rPr>
          <w:lang w:val="en-US"/>
        </w:rPr>
        <w:t xml:space="preserve">|| will decrease by a factor of 4 for every halving of the grid cell size. In this case, the normalized global error is defined as: </w:t>
      </w:r>
    </w:p>
    <w:p w:rsidR="00517D72" w:rsidRPr="00A71210" w:rsidRDefault="00517D72" w:rsidP="00517D72">
      <w:pPr>
        <w:spacing w:line="480" w:lineRule="auto"/>
        <w:rPr>
          <w:lang w:val="en-US"/>
        </w:rPr>
      </w:pPr>
      <m:oMathPara>
        <m:oMath>
          <m:d>
            <m:dPr>
              <m:begChr m:val="|"/>
              <m:endChr m:val="|"/>
              <m:ctrlPr>
                <w:rPr>
                  <w:rFonts w:ascii="Cambria Math" w:hAnsi="Cambria Math"/>
                  <w:i/>
                  <w:lang w:val="en-US"/>
                </w:rPr>
              </m:ctrlPr>
            </m:d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2</m:t>
                      </m:r>
                    </m:sub>
                  </m:sSub>
                </m:e>
              </m:d>
            </m:e>
          </m:d>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subHide m:val="1"/>
                  <m:supHide m:val="1"/>
                  <m:ctrlPr>
                    <w:rPr>
                      <w:rFonts w:ascii="Cambria Math" w:hAnsi="Cambria Math"/>
                      <w:i/>
                      <w:lang w:val="en-US"/>
                    </w:rPr>
                  </m:ctrlPr>
                </m:naryPr>
                <m:sub/>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j</m:t>
                              </m:r>
                            </m:sub>
                          </m:sSub>
                        </m:e>
                      </m:d>
                    </m:e>
                    <m:sup>
                      <m:r>
                        <w:rPr>
                          <w:rFonts w:ascii="Cambria Math" w:hAnsi="Cambria Math"/>
                          <w:lang w:val="en-US"/>
                        </w:rPr>
                        <m:t>2</m:t>
                      </m:r>
                    </m:sup>
                  </m:sSup>
                </m:e>
              </m:nary>
            </m:e>
          </m:rad>
        </m:oMath>
      </m:oMathPara>
    </w:p>
    <w:p w:rsidR="00517D72" w:rsidRPr="00A71210" w:rsidRDefault="00517D72" w:rsidP="00517D72">
      <w:pPr>
        <w:spacing w:line="480" w:lineRule="auto"/>
        <w:rPr>
          <w:lang w:val="en-US"/>
        </w:rPr>
      </w:pPr>
      <w:r>
        <w:rPr>
          <w:lang w:val="en-US"/>
        </w:rPr>
        <w:t xml:space="preserve">where </w:t>
      </w:r>
      <w:r w:rsidRPr="00BC2806">
        <w:rPr>
          <w:i/>
          <w:lang w:val="en-US"/>
        </w:rPr>
        <w:t>u</w:t>
      </w:r>
      <w:r w:rsidRPr="00BC2806">
        <w:rPr>
          <w:i/>
          <w:vertAlign w:val="subscript"/>
          <w:lang w:val="en-US"/>
        </w:rPr>
        <w:t>j</w:t>
      </w:r>
      <w:r>
        <w:rPr>
          <w:lang w:val="en-US"/>
        </w:rPr>
        <w:t xml:space="preserve"> is the exact solution and </w:t>
      </w:r>
      <w:r w:rsidRPr="00BC2806">
        <w:rPr>
          <w:i/>
          <w:lang w:val="en-US"/>
        </w:rPr>
        <w:t>U</w:t>
      </w:r>
      <w:r w:rsidRPr="00BC2806">
        <w:rPr>
          <w:i/>
          <w:vertAlign w:val="subscript"/>
          <w:lang w:val="en-US"/>
        </w:rPr>
        <w:t>j</w:t>
      </w:r>
      <w:r>
        <w:rPr>
          <w:lang w:val="en-US"/>
        </w:rPr>
        <w:t xml:space="preserve"> the discrete solution. </w:t>
      </w:r>
      <m:oMath>
        <m:r>
          <w:rPr>
            <w:rFonts w:ascii="Cambria Math" w:hAnsi="Cambria Math"/>
            <w:vanish/>
            <w:lang w:val="en-US"/>
          </w:rPr>
          <m:t>| this case, theobal error y of the code. If the discrete solution is second order in space, then the RMS errorted. The mixing</m:t>
        </m:r>
      </m:oMath>
    </w:p>
    <w:p w:rsidR="00517D72" w:rsidRDefault="00517D72" w:rsidP="00517D72">
      <w:pPr>
        <w:spacing w:line="480" w:lineRule="auto"/>
        <w:jc w:val="both"/>
        <w:rPr>
          <w:lang w:val="en-US"/>
        </w:rPr>
      </w:pPr>
    </w:p>
    <w:p w:rsidR="00517D72" w:rsidRDefault="00517D72" w:rsidP="00517D72">
      <w:pPr>
        <w:spacing w:line="480" w:lineRule="auto"/>
        <w:rPr>
          <w:b/>
          <w:sz w:val="32"/>
          <w:szCs w:val="32"/>
          <w:lang w:val="en-US"/>
        </w:rPr>
      </w:pPr>
      <w:r>
        <w:rPr>
          <w:b/>
          <w:sz w:val="32"/>
          <w:szCs w:val="32"/>
          <w:lang w:val="en-US"/>
        </w:rPr>
        <w:t>3.2.1.1 Governing Equations</w:t>
      </w:r>
    </w:p>
    <w:p w:rsidR="00517D72" w:rsidRDefault="00517D72" w:rsidP="00517D72">
      <w:pPr>
        <w:spacing w:line="480" w:lineRule="auto"/>
        <w:ind w:firstLine="720"/>
        <w:jc w:val="both"/>
        <w:rPr>
          <w:lang w:val="en-US"/>
        </w:rPr>
      </w:pPr>
      <w:r>
        <w:rPr>
          <w:lang w:val="en-US"/>
        </w:rPr>
        <w:t>An exact solution for the binary mixing problem is found for the density field which directly couples the mixture fraction scalar and lateral component of velocity. The solution has the characterist</w:t>
      </w:r>
      <w:r w:rsidR="009A56B6">
        <w:rPr>
          <w:lang w:val="en-US"/>
        </w:rPr>
        <w:t xml:space="preserve">ic of being a transient mass-density </w:t>
      </w:r>
      <w:r>
        <w:rPr>
          <w:lang w:val="en-US"/>
        </w:rPr>
        <w:t>diffus</w:t>
      </w:r>
      <w:r w:rsidR="009A56B6">
        <w:rPr>
          <w:lang w:val="en-US"/>
        </w:rPr>
        <w:t>ion</w:t>
      </w:r>
      <w:r>
        <w:rPr>
          <w:lang w:val="en-US"/>
        </w:rPr>
        <w:t xml:space="preserve"> equation satisfying, </w:t>
      </w:r>
      <m:oMath>
        <m:f>
          <m:fPr>
            <m:ctrlPr>
              <w:rPr>
                <w:rFonts w:ascii="Cambria Math" w:hAnsi="Cambria Math"/>
                <w:i/>
                <w:lang w:val="en-US"/>
              </w:rPr>
            </m:ctrlPr>
          </m:fPr>
          <m:num>
            <m:r>
              <w:rPr>
                <w:rFonts w:ascii="Cambria Math" w:hAnsi="Cambria Math"/>
                <w:lang w:val="en-US"/>
              </w:rPr>
              <m:t>∂ρ</m:t>
            </m:r>
          </m:num>
          <m:den>
            <m:r>
              <w:rPr>
                <w:rFonts w:ascii="Cambria Math" w:hAnsi="Cambria Math"/>
                <w:lang w:val="en-US"/>
              </w:rPr>
              <m:t>∂t</m:t>
            </m:r>
          </m:den>
        </m:f>
        <m:r>
          <w:rPr>
            <w:rFonts w:ascii="Cambria Math" w:hAnsi="Cambria Math"/>
            <w:lang w:val="en-US"/>
          </w:rPr>
          <m:t>=D</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ρ</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oMath>
      <w:r>
        <w:rPr>
          <w:lang w:val="en-US"/>
        </w:rPr>
        <w:t xml:space="preserve">. The density field solution has the following form: </w:t>
      </w:r>
    </w:p>
    <w:p w:rsidR="00517D72" w:rsidRPr="008518CD" w:rsidRDefault="00517D72" w:rsidP="00517D72">
      <w:pPr>
        <w:spacing w:line="480" w:lineRule="auto"/>
        <w:jc w:val="both"/>
        <w:rPr>
          <w:lang w:val="en-US"/>
        </w:rPr>
      </w:pPr>
      <m:oMathPara>
        <m:oMath>
          <m:r>
            <w:rPr>
              <w:rFonts w:ascii="Cambria Math" w:hAnsi="Cambria Math"/>
              <w:lang w:val="en-US"/>
            </w:rPr>
            <m:t>ρ</m:t>
          </m:r>
          <m:d>
            <m:dPr>
              <m:ctrlPr>
                <w:rPr>
                  <w:rFonts w:ascii="Cambria Math" w:hAnsi="Cambria Math"/>
                  <w:i/>
                  <w:lang w:val="en-US"/>
                </w:rPr>
              </m:ctrlPr>
            </m:dPr>
            <m:e>
              <m:r>
                <w:rPr>
                  <w:rFonts w:ascii="Cambria Math" w:hAnsi="Cambria Math"/>
                  <w:lang w:val="en-US"/>
                </w:rPr>
                <m:t>y,t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 xml:space="preserve"> ρ</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 xml:space="preserve"> ρ</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 xml:space="preserve"> ρ</m:t>
              </m:r>
            </m:e>
            <m:sub>
              <m:r>
                <w:rPr>
                  <w:rFonts w:ascii="Cambria Math" w:hAnsi="Cambria Math"/>
                  <w:lang w:val="en-US"/>
                </w:rPr>
                <m:t>2</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0</m:t>
                  </m:r>
                </m:sub>
              </m:sSub>
            </m:num>
            <m:den>
              <m:rad>
                <m:radPr>
                  <m:degHide m:val="1"/>
                  <m:ctrlPr>
                    <w:rPr>
                      <w:rFonts w:ascii="Cambria Math" w:hAnsi="Cambria Math"/>
                      <w:i/>
                      <w:lang w:val="en-US"/>
                    </w:rPr>
                  </m:ctrlPr>
                </m:radPr>
                <m:deg/>
                <m:e>
                  <m:r>
                    <w:rPr>
                      <w:rFonts w:ascii="Cambria Math" w:hAnsi="Cambria Math"/>
                      <w:lang w:val="en-US"/>
                    </w:rPr>
                    <m:t>4πD(t+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r>
                    <w:rPr>
                      <w:rFonts w:ascii="Cambria Math" w:hAnsi="Cambria Math"/>
                      <w:lang w:val="en-US"/>
                    </w:rPr>
                    <m:t>)</m:t>
                  </m:r>
                </m:e>
              </m:rad>
            </m:den>
          </m:f>
          <m:sSup>
            <m:sSupPr>
              <m:ctrlPr>
                <w:rPr>
                  <w:rFonts w:ascii="Cambria Math" w:hAnsi="Cambria Math"/>
                  <w:i/>
                  <w:lang w:val="en-US"/>
                </w:rPr>
              </m:ctrlPr>
            </m:sSupPr>
            <m:e>
              <m:r>
                <w:rPr>
                  <w:rFonts w:ascii="Cambria Math" w:hAnsi="Cambria Math"/>
                </w:rPr>
                <m:t>e</m:t>
              </m:r>
            </m:e>
            <m:sup>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num>
                <m:den>
                  <m:r>
                    <w:rPr>
                      <w:rFonts w:ascii="Cambria Math" w:hAnsi="Cambria Math"/>
                      <w:lang w:val="en-US"/>
                    </w:rPr>
                    <m:t>4D(t+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r>
                    <w:rPr>
                      <w:rFonts w:ascii="Cambria Math" w:hAnsi="Cambria Math"/>
                      <w:lang w:val="en-US"/>
                    </w:rPr>
                    <m:t>)</m:t>
                  </m:r>
                </m:den>
              </m:f>
            </m:sup>
          </m:sSup>
        </m:oMath>
      </m:oMathPara>
    </w:p>
    <w:p w:rsidR="00517D72" w:rsidRPr="00D50051" w:rsidRDefault="00517D72" w:rsidP="00517D72">
      <w:pPr>
        <w:spacing w:line="480" w:lineRule="auto"/>
        <w:jc w:val="both"/>
        <w:rPr>
          <w:i/>
          <w:lang w:val="en-US"/>
        </w:rPr>
      </w:pPr>
      <w:r>
        <w:rPr>
          <w:lang w:val="en-US"/>
        </w:rPr>
        <w:t xml:space="preserve">Where the density values are assigned through molecular weights of heavy and light fluids through an equation of state (EOS) and </w:t>
      </w:r>
      <m:oMath>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0</m:t>
            </m:r>
          </m:sub>
        </m:sSub>
      </m:oMath>
      <w:r>
        <w:rPr>
          <w:lang w:val="en-US"/>
        </w:rPr>
        <w:t xml:space="preserve"> represents a characteristic mixing length scale. The mixture fraction field for the first scalar is now defined as,</w:t>
      </w:r>
    </w:p>
    <w:p w:rsidR="00517D72" w:rsidRPr="00F21178" w:rsidRDefault="00517D72" w:rsidP="00517D72">
      <w:pPr>
        <w:spacing w:line="480" w:lineRule="auto"/>
        <w:jc w:val="both"/>
        <w:rPr>
          <w:lang w:val="en-US"/>
        </w:rPr>
      </w:pPr>
      <m:oMathPara>
        <m:oMath>
          <m:r>
            <w:rPr>
              <w:rFonts w:ascii="Cambria Math" w:hAnsi="Cambria Math"/>
              <w:lang w:val="en-US"/>
            </w:rPr>
            <w:lastRenderedPageBreak/>
            <m:t>Z</m:t>
          </m:r>
          <m:d>
            <m:dPr>
              <m:ctrlPr>
                <w:rPr>
                  <w:rFonts w:ascii="Cambria Math" w:hAnsi="Cambria Math"/>
                  <w:i/>
                  <w:lang w:val="en-US"/>
                </w:rPr>
              </m:ctrlPr>
            </m:dPr>
            <m:e>
              <m:r>
                <w:rPr>
                  <w:rFonts w:ascii="Cambria Math" w:hAnsi="Cambria Math"/>
                  <w:lang w:val="en-US"/>
                </w:rPr>
                <m:t>y,t</m:t>
              </m:r>
            </m:e>
          </m:d>
          <m:r>
            <w:rPr>
              <w:rFonts w:ascii="Cambria Math" w:hAnsi="Cambria Math"/>
              <w:lang w:val="en-US"/>
            </w:rPr>
            <m:t>=</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m:t>
                  </m:r>
                </m:num>
                <m:den>
                  <m:r>
                    <w:rPr>
                      <w:rFonts w:ascii="Cambria Math" w:hAnsi="Cambria Math"/>
                      <w:lang w:val="en-US"/>
                    </w:rPr>
                    <m:t>ρ(y,t)</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2</m:t>
                      </m:r>
                    </m:sub>
                  </m:sSub>
                </m:den>
              </m:f>
            </m:num>
            <m:den>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1</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2</m:t>
                      </m:r>
                    </m:sub>
                  </m:sSub>
                </m:den>
              </m:f>
            </m:den>
          </m:f>
        </m:oMath>
      </m:oMathPara>
    </w:p>
    <w:p w:rsidR="00517D72" w:rsidRDefault="00517D72" w:rsidP="00517D72">
      <w:pPr>
        <w:spacing w:line="480" w:lineRule="auto"/>
        <w:jc w:val="both"/>
        <w:rPr>
          <w:lang w:val="en-US"/>
        </w:rPr>
      </w:pPr>
      <w:r>
        <w:rPr>
          <w:lang w:val="en-US"/>
        </w:rPr>
        <w:t xml:space="preserve">Using the one-dimensional continuity equation with transient and lateral velocity terms gives the vertical component of velocity as, </w:t>
      </w:r>
    </w:p>
    <w:p w:rsidR="00517D72" w:rsidRDefault="00517D72" w:rsidP="00517D72">
      <w:pPr>
        <w:spacing w:line="480" w:lineRule="auto"/>
        <w:jc w:val="both"/>
        <w:rPr>
          <w:lang w:val="en-US"/>
        </w:rPr>
      </w:pPr>
    </w:p>
    <w:p w:rsidR="00517D72" w:rsidRPr="00563ED6" w:rsidRDefault="00517D72" w:rsidP="00517D72">
      <w:pPr>
        <w:spacing w:line="480" w:lineRule="auto"/>
        <w:jc w:val="both"/>
        <w:rPr>
          <w:lang w:val="en-US"/>
        </w:rPr>
      </w:pPr>
      <m:oMathPara>
        <m:oMath>
          <m:r>
            <w:rPr>
              <w:rFonts w:ascii="Cambria Math" w:hAnsi="Cambria Math"/>
              <w:lang w:val="en-US"/>
            </w:rPr>
            <m:t>v</m:t>
          </m:r>
          <m:d>
            <m:dPr>
              <m:ctrlPr>
                <w:rPr>
                  <w:rFonts w:ascii="Cambria Math" w:hAnsi="Cambria Math"/>
                  <w:i/>
                  <w:lang w:val="en-US"/>
                </w:rPr>
              </m:ctrlPr>
            </m:dPr>
            <m:e>
              <m:r>
                <w:rPr>
                  <w:rFonts w:ascii="Cambria Math" w:hAnsi="Cambria Math"/>
                  <w:lang w:val="en-US"/>
                </w:rPr>
                <m:t>y,t</m:t>
              </m:r>
            </m:e>
          </m:d>
          <m:r>
            <w:rPr>
              <w:rFonts w:ascii="Cambria Math"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 xml:space="preserve"> ρ</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 xml:space="preserve"> ρ</m:t>
                  </m:r>
                </m:e>
                <m:sub>
                  <m:r>
                    <w:rPr>
                      <w:rFonts w:ascii="Cambria Math" w:hAnsi="Cambria Math"/>
                      <w:lang w:val="en-US"/>
                    </w:rPr>
                    <m:t>2</m:t>
                  </m:r>
                </m:sub>
              </m:sSub>
              <m:r>
                <w:rPr>
                  <w:rFonts w:ascii="Cambria Math" w:hAnsi="Cambria Math"/>
                  <w:lang w:val="en-US"/>
                </w:rPr>
                <m:t>)</m:t>
              </m:r>
            </m:num>
            <m:den>
              <m:r>
                <w:rPr>
                  <w:rFonts w:ascii="Cambria Math" w:hAnsi="Cambria Math"/>
                  <w:lang w:val="en-US"/>
                </w:rPr>
                <m:t>ρ(y,t)</m:t>
              </m:r>
            </m:den>
          </m:f>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0</m:t>
                  </m:r>
                </m:sub>
              </m:sSub>
            </m:num>
            <m:den>
              <m:rad>
                <m:radPr>
                  <m:degHide m:val="1"/>
                  <m:ctrlPr>
                    <w:rPr>
                      <w:rFonts w:ascii="Cambria Math" w:hAnsi="Cambria Math"/>
                      <w:i/>
                      <w:lang w:val="en-US"/>
                    </w:rPr>
                  </m:ctrlPr>
                </m:radPr>
                <m:deg/>
                <m:e>
                  <m:r>
                    <w:rPr>
                      <w:rFonts w:ascii="Cambria Math" w:hAnsi="Cambria Math"/>
                      <w:lang w:val="en-US"/>
                    </w:rPr>
                    <m:t>4πD(t+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r>
                    <w:rPr>
                      <w:rFonts w:ascii="Cambria Math" w:hAnsi="Cambria Math"/>
                      <w:lang w:val="en-US"/>
                    </w:rPr>
                    <m:t>)</m:t>
                  </m:r>
                </m:e>
              </m:rad>
            </m:den>
          </m:f>
          <m:sSup>
            <m:sSupPr>
              <m:ctrlPr>
                <w:rPr>
                  <w:rFonts w:ascii="Cambria Math" w:hAnsi="Cambria Math"/>
                  <w:i/>
                  <w:lang w:val="en-US"/>
                </w:rPr>
              </m:ctrlPr>
            </m:sSup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2</m:t>
                      </m:r>
                      <m:r>
                        <w:rPr>
                          <w:rFonts w:ascii="Cambria Math" w:hAnsi="Cambria Math"/>
                          <w:lang w:val="en-US"/>
                        </w:rPr>
                        <m:t>(t+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r>
                        <w:rPr>
                          <w:rFonts w:ascii="Cambria Math" w:hAnsi="Cambria Math"/>
                          <w:lang w:val="en-US"/>
                        </w:rPr>
                        <m:t>)</m:t>
                      </m:r>
                    </m:den>
                  </m:f>
                </m:e>
              </m:d>
              <m:r>
                <w:rPr>
                  <w:rFonts w:ascii="Cambria Math" w:hAnsi="Cambria Math"/>
                </w:rPr>
                <m:t>e</m:t>
              </m:r>
            </m:e>
            <m:sup>
              <m:f>
                <m:fPr>
                  <m:ctrlPr>
                    <w:rPr>
                      <w:rFonts w:ascii="Cambria Math" w:hAnsi="Cambria Math"/>
                      <w:i/>
                      <w:lang w:val="en-US"/>
                    </w:rPr>
                  </m:ctrlPr>
                </m:fPr>
                <m:num>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num>
                <m:den>
                  <m:r>
                    <w:rPr>
                      <w:rFonts w:ascii="Cambria Math" w:hAnsi="Cambria Math"/>
                      <w:lang w:val="en-US"/>
                    </w:rPr>
                    <m:t>4D(t+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r>
                    <w:rPr>
                      <w:rFonts w:ascii="Cambria Math" w:hAnsi="Cambria Math"/>
                      <w:lang w:val="en-US"/>
                    </w:rPr>
                    <m:t>)</m:t>
                  </m:r>
                </m:den>
              </m:f>
            </m:sup>
          </m:sSup>
        </m:oMath>
      </m:oMathPara>
    </w:p>
    <w:p w:rsidR="00517D72" w:rsidRDefault="00517D72" w:rsidP="00517D72">
      <w:pPr>
        <w:spacing w:line="480" w:lineRule="auto"/>
        <w:jc w:val="both"/>
        <w:rPr>
          <w:lang w:val="en-US"/>
        </w:rPr>
      </w:pPr>
      <w:r>
        <w:rPr>
          <w:lang w:val="en-US"/>
        </w:rPr>
        <w:t>It should be noted that all the above solutions have a singularity at time (</w:t>
      </w:r>
      <w:r w:rsidRPr="004A37DA">
        <w:rPr>
          <w:i/>
          <w:lang w:val="en-US"/>
        </w:rPr>
        <w:t>t</w:t>
      </w:r>
      <w:r>
        <w:rPr>
          <w:i/>
          <w:lang w:val="en-US"/>
        </w:rPr>
        <w:t xml:space="preserve"> </w:t>
      </w:r>
      <w:r w:rsidRPr="004A37DA">
        <w:rPr>
          <w:i/>
          <w:lang w:val="en-US"/>
        </w:rPr>
        <w:t>=0</w:t>
      </w:r>
      <w:r>
        <w:rPr>
          <w:lang w:val="en-US"/>
        </w:rPr>
        <w:t>), thus an offset time,</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oMath>
      <w:r>
        <w:rPr>
          <w:lang w:val="en-US"/>
        </w:rPr>
        <w:t xml:space="preserve">, is added based on diffusion time scales to avoid an unphysical solution. The analysis of this problem begins at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oMath>
      <w:r>
        <w:rPr>
          <w:lang w:val="en-US"/>
        </w:rPr>
        <w:t xml:space="preserve">=10. Also note that the reference density fields corresponding to isothermal light and heavy fluid mixing in air </w:t>
      </w:r>
      <m:oMath>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2</m:t>
                </m:r>
              </m:sub>
            </m:sSub>
          </m:e>
        </m:d>
      </m:oMath>
      <w:r>
        <w:rPr>
          <w:lang w:val="en-US"/>
        </w:rPr>
        <w:t xml:space="preserve"> are defined through the use of the equation of state (Table 1). The species fraction of oxygen and nitrogen in air are: </w:t>
      </w:r>
      <m:oMath>
        <m:sSub>
          <m:sSubPr>
            <m:ctrlPr>
              <w:rPr>
                <w:rFonts w:ascii="Cambria Math" w:hAnsi="Cambria Math"/>
                <w:i/>
                <w:lang w:val="en-US"/>
              </w:rPr>
            </m:ctrlPr>
          </m:sSubPr>
          <m:e>
            <m:r>
              <w:rPr>
                <w:rFonts w:ascii="Cambria Math" w:hAnsi="Cambria Math"/>
                <w:lang w:val="en-US"/>
              </w:rPr>
              <m:t>Y</m:t>
            </m:r>
          </m:e>
          <m:sub>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0</m:t>
                    </m:r>
                  </m:e>
                  <m:sub>
                    <m:r>
                      <w:rPr>
                        <w:rFonts w:ascii="Cambria Math" w:hAnsi="Cambria Math"/>
                        <w:lang w:val="en-US"/>
                      </w:rPr>
                      <m:t>2</m:t>
                    </m:r>
                  </m:sub>
                </m:sSub>
              </m:e>
              <m:sub>
                <m:r>
                  <w:rPr>
                    <w:rFonts w:ascii="Cambria Math" w:hAnsi="Cambria Math"/>
                    <w:lang w:val="en-US"/>
                  </w:rPr>
                  <m:t>air</m:t>
                </m:r>
              </m:sub>
            </m:sSub>
          </m:sub>
        </m:sSub>
        <m:r>
          <w:rPr>
            <w:rFonts w:ascii="Cambria Math" w:hAnsi="Cambria Math"/>
            <w:lang w:val="en-US"/>
          </w:rPr>
          <m:t>=02.33</m:t>
        </m:r>
      </m:oMath>
      <w:r>
        <w:rPr>
          <w:lang w:val="en-US"/>
        </w:rPr>
        <w:t xml:space="preserve"> and </w:t>
      </w:r>
      <m:oMath>
        <m:sSub>
          <m:sSubPr>
            <m:ctrlPr>
              <w:rPr>
                <w:rFonts w:ascii="Cambria Math" w:hAnsi="Cambria Math"/>
                <w:i/>
                <w:lang w:val="en-US"/>
              </w:rPr>
            </m:ctrlPr>
          </m:sSubPr>
          <m:e>
            <m:r>
              <w:rPr>
                <w:rFonts w:ascii="Cambria Math" w:hAnsi="Cambria Math"/>
                <w:lang w:val="en-US"/>
              </w:rPr>
              <m:t>Y</m:t>
            </m:r>
          </m:e>
          <m:sub>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e>
              <m:sub>
                <m:r>
                  <w:rPr>
                    <w:rFonts w:ascii="Cambria Math" w:hAnsi="Cambria Math"/>
                    <w:lang w:val="en-US"/>
                  </w:rPr>
                  <m:t>air</m:t>
                </m:r>
              </m:sub>
            </m:sSub>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e>
          <m:sub>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0</m:t>
                    </m:r>
                  </m:e>
                  <m:sub>
                    <m:r>
                      <w:rPr>
                        <w:rFonts w:ascii="Cambria Math" w:hAnsi="Cambria Math"/>
                        <w:lang w:val="en-US"/>
                      </w:rPr>
                      <m:t>2</m:t>
                    </m:r>
                  </m:sub>
                </m:sSub>
              </m:e>
              <m:sub>
                <m:r>
                  <w:rPr>
                    <w:rFonts w:ascii="Cambria Math" w:hAnsi="Cambria Math"/>
                    <w:lang w:val="en-US"/>
                  </w:rPr>
                  <m:t>air</m:t>
                </m:r>
              </m:sub>
            </m:sSub>
          </m:sub>
        </m:sSub>
      </m:oMath>
      <w:r>
        <w:rPr>
          <w:lang w:val="en-US"/>
        </w:rPr>
        <w:t xml:space="preserve">are utilized to calculate the molecular weight of the mixture (air), </w:t>
      </w:r>
    </w:p>
    <w:p w:rsidR="00517D72" w:rsidRDefault="00517D72" w:rsidP="00517D72">
      <w:pPr>
        <w:spacing w:line="480" w:lineRule="auto"/>
        <w:jc w:val="both"/>
        <w:rPr>
          <w:lang w:val="en-US"/>
        </w:rPr>
      </w:pPr>
    </w:p>
    <w:p w:rsidR="00517D72" w:rsidRPr="00C8659A" w:rsidRDefault="00517D72" w:rsidP="00517D72">
      <w:pPr>
        <w:spacing w:line="480" w:lineRule="auto"/>
        <w:ind w:firstLine="720"/>
        <w:jc w:val="both"/>
        <w:rPr>
          <w:lang w:val="en-US"/>
        </w:rPr>
      </w:pPr>
      <m:oMathPara>
        <m:oMath>
          <m:r>
            <w:rPr>
              <w:rFonts w:ascii="Cambria Math" w:hAnsi="Cambria Math"/>
              <w:lang w:val="en-US"/>
            </w:rPr>
            <m:t>M</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mix</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sSub>
                            <m:sSubPr>
                              <m:ctrlPr>
                                <w:rPr>
                                  <w:rFonts w:ascii="Cambria Math" w:hAnsi="Cambria Math"/>
                                  <w:i/>
                                  <w:lang w:val="en-US"/>
                                </w:rPr>
                              </m:ctrlPr>
                            </m:sSubPr>
                            <m:e>
                              <m:r>
                                <w:rPr>
                                  <w:rFonts w:ascii="Cambria Math" w:hAnsi="Cambria Math"/>
                                  <w:lang w:val="en-US"/>
                                </w:rPr>
                                <m:t>0</m:t>
                              </m:r>
                            </m:e>
                            <m:sub>
                              <m:r>
                                <w:rPr>
                                  <w:rFonts w:ascii="Cambria Math" w:hAnsi="Cambria Math"/>
                                  <w:lang w:val="en-US"/>
                                </w:rPr>
                                <m:t>2</m:t>
                              </m:r>
                            </m:sub>
                          </m:sSub>
                        </m:sub>
                      </m:sSub>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W</m:t>
                          </m:r>
                        </m:e>
                        <m:sub>
                          <m:sSub>
                            <m:sSubPr>
                              <m:ctrlPr>
                                <w:rPr>
                                  <w:rFonts w:ascii="Cambria Math" w:hAnsi="Cambria Math"/>
                                  <w:i/>
                                  <w:lang w:val="en-US"/>
                                </w:rPr>
                              </m:ctrlPr>
                            </m:sSubPr>
                            <m:e>
                              <m:r>
                                <w:rPr>
                                  <w:rFonts w:ascii="Cambria Math" w:hAnsi="Cambria Math"/>
                                  <w:lang w:val="en-US"/>
                                </w:rPr>
                                <m:t>0</m:t>
                              </m:r>
                            </m:e>
                            <m:sub>
                              <m:r>
                                <w:rPr>
                                  <w:rFonts w:ascii="Cambria Math" w:hAnsi="Cambria Math"/>
                                  <w:lang w:val="en-US"/>
                                </w:rPr>
                                <m:t>2</m:t>
                              </m:r>
                            </m:sub>
                          </m:sSub>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sub>
                      </m:sSub>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W</m:t>
                          </m:r>
                        </m:e>
                        <m: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r>
                            <w:rPr>
                              <w:rFonts w:ascii="Cambria Math" w:hAnsi="Cambria Math"/>
                              <w:lang w:val="en-US"/>
                            </w:rPr>
                            <m:t xml:space="preserve">  </m:t>
                          </m:r>
                        </m:sub>
                      </m:sSub>
                    </m:den>
                  </m:f>
                </m:e>
              </m:d>
            </m:den>
          </m:f>
        </m:oMath>
      </m:oMathPara>
    </w:p>
    <w:p w:rsidR="00517D72" w:rsidRPr="00553F02" w:rsidRDefault="00517D72" w:rsidP="00517D72">
      <w:pPr>
        <w:spacing w:line="480" w:lineRule="auto"/>
        <w:jc w:val="both"/>
        <w:rPr>
          <w:vertAlign w:val="subscript"/>
          <w:lang w:val="en-US"/>
        </w:rPr>
      </w:pPr>
      <m:oMathPara>
        <m:oMath>
          <m:sSub>
            <m:sSubPr>
              <m:ctrlPr>
                <w:rPr>
                  <w:rFonts w:ascii="Cambria Math" w:hAnsi="Cambria Math"/>
                  <w:i/>
                  <w:vertAlign w:val="subscript"/>
                  <w:lang w:val="en-US"/>
                </w:rPr>
              </m:ctrlPr>
            </m:sSubPr>
            <m:e>
              <m:r>
                <w:rPr>
                  <w:rFonts w:ascii="Cambria Math" w:hAnsi="Cambria Math"/>
                  <w:vertAlign w:val="subscript"/>
                  <w:lang w:val="en-US"/>
                </w:rPr>
                <m:t>ρ</m:t>
              </m:r>
            </m:e>
            <m:sub>
              <m:r>
                <w:rPr>
                  <w:rFonts w:ascii="Cambria Math" w:hAnsi="Cambria Math"/>
                  <w:vertAlign w:val="subscript"/>
                  <w:lang w:val="en-US"/>
                </w:rPr>
                <m:t>1</m:t>
              </m:r>
            </m:sub>
          </m:sSub>
          <m:r>
            <w:rPr>
              <w:rFonts w:ascii="Cambria Math" w:hAnsi="Cambria Math"/>
              <w:vertAlign w:val="subscript"/>
              <w:lang w:val="en-US"/>
            </w:rPr>
            <m:t>=</m:t>
          </m:r>
          <m:f>
            <m:fPr>
              <m:ctrlPr>
                <w:rPr>
                  <w:rFonts w:ascii="Cambria Math" w:hAnsi="Cambria Math"/>
                  <w:i/>
                  <w:vertAlign w:val="subscript"/>
                  <w:lang w:val="en-US"/>
                </w:rPr>
              </m:ctrlPr>
            </m:fPr>
            <m:num>
              <m:r>
                <w:rPr>
                  <w:rFonts w:ascii="Cambria Math" w:hAnsi="Cambria Math"/>
                  <w:vertAlign w:val="subscript"/>
                  <w:lang w:val="en-US"/>
                </w:rPr>
                <m:t>M</m:t>
              </m:r>
              <m:sSub>
                <m:sSubPr>
                  <m:ctrlPr>
                    <w:rPr>
                      <w:rFonts w:ascii="Cambria Math" w:hAnsi="Cambria Math"/>
                      <w:i/>
                      <w:vertAlign w:val="subscript"/>
                      <w:lang w:val="en-US"/>
                    </w:rPr>
                  </m:ctrlPr>
                </m:sSubPr>
                <m:e>
                  <m:r>
                    <w:rPr>
                      <w:rFonts w:ascii="Cambria Math" w:hAnsi="Cambria Math"/>
                      <w:vertAlign w:val="subscript"/>
                      <w:lang w:val="en-US"/>
                    </w:rPr>
                    <m:t>W</m:t>
                  </m:r>
                </m:e>
                <m:sub>
                  <m:r>
                    <w:rPr>
                      <w:rFonts w:ascii="Cambria Math" w:hAnsi="Cambria Math"/>
                      <w:vertAlign w:val="subscript"/>
                      <w:lang w:val="en-US"/>
                    </w:rPr>
                    <m:t>mix</m:t>
                  </m:r>
                </m:sub>
              </m:sSub>
            </m:num>
            <m:den>
              <m:r>
                <w:rPr>
                  <w:rFonts w:ascii="Cambria Math" w:hAnsi="Cambria Math"/>
                  <w:vertAlign w:val="subscript"/>
                  <w:lang w:val="en-US"/>
                </w:rPr>
                <m:t>M</m:t>
              </m:r>
              <m:sSub>
                <m:sSubPr>
                  <m:ctrlPr>
                    <w:rPr>
                      <w:rFonts w:ascii="Cambria Math" w:hAnsi="Cambria Math"/>
                      <w:i/>
                      <w:vertAlign w:val="subscript"/>
                      <w:lang w:val="en-US"/>
                    </w:rPr>
                  </m:ctrlPr>
                </m:sSubPr>
                <m:e>
                  <m:r>
                    <w:rPr>
                      <w:rFonts w:ascii="Cambria Math" w:hAnsi="Cambria Math"/>
                      <w:vertAlign w:val="subscript"/>
                      <w:lang w:val="en-US"/>
                    </w:rPr>
                    <m:t>W</m:t>
                  </m:r>
                </m:e>
                <m:sub>
                  <m:r>
                    <w:rPr>
                      <w:rFonts w:ascii="Cambria Math" w:hAnsi="Cambria Math"/>
                      <w:vertAlign w:val="subscript"/>
                      <w:lang w:val="en-US"/>
                    </w:rPr>
                    <m:t>1</m:t>
                  </m:r>
                </m:sub>
              </m:sSub>
            </m:den>
          </m:f>
          <m:r>
            <w:rPr>
              <w:rFonts w:ascii="Cambria Math" w:hAnsi="Cambria Math"/>
              <w:vertAlign w:val="subscript"/>
              <w:lang w:val="en-US"/>
            </w:rPr>
            <m:t xml:space="preserve"> </m:t>
          </m:r>
        </m:oMath>
      </m:oMathPara>
    </w:p>
    <w:p w:rsidR="00517D72" w:rsidRPr="00553F02" w:rsidRDefault="00517D72" w:rsidP="00517D72">
      <w:pPr>
        <w:spacing w:line="480" w:lineRule="auto"/>
        <w:jc w:val="both"/>
        <w:rPr>
          <w:vertAlign w:val="subscript"/>
          <w:lang w:val="en-US"/>
        </w:rPr>
      </w:pPr>
      <m:oMathPara>
        <m:oMath>
          <m:sSub>
            <m:sSubPr>
              <m:ctrlPr>
                <w:rPr>
                  <w:rFonts w:ascii="Cambria Math" w:hAnsi="Cambria Math"/>
                  <w:i/>
                  <w:vertAlign w:val="subscript"/>
                  <w:lang w:val="en-US"/>
                </w:rPr>
              </m:ctrlPr>
            </m:sSubPr>
            <m:e>
              <m:r>
                <w:rPr>
                  <w:rFonts w:ascii="Cambria Math" w:hAnsi="Cambria Math"/>
                  <w:vertAlign w:val="subscript"/>
                  <w:lang w:val="en-US"/>
                </w:rPr>
                <m:t>ρ</m:t>
              </m:r>
            </m:e>
            <m:sub>
              <m:r>
                <w:rPr>
                  <w:rFonts w:ascii="Cambria Math" w:hAnsi="Cambria Math"/>
                  <w:vertAlign w:val="subscript"/>
                  <w:lang w:val="en-US"/>
                </w:rPr>
                <m:t>2</m:t>
              </m:r>
            </m:sub>
          </m:sSub>
          <m:r>
            <w:rPr>
              <w:rFonts w:ascii="Cambria Math" w:hAnsi="Cambria Math"/>
              <w:vertAlign w:val="subscript"/>
              <w:lang w:val="en-US"/>
            </w:rPr>
            <m:t>=</m:t>
          </m:r>
          <m:f>
            <m:fPr>
              <m:ctrlPr>
                <w:rPr>
                  <w:rFonts w:ascii="Cambria Math" w:hAnsi="Cambria Math"/>
                  <w:i/>
                  <w:vertAlign w:val="subscript"/>
                  <w:lang w:val="en-US"/>
                </w:rPr>
              </m:ctrlPr>
            </m:fPr>
            <m:num>
              <m:r>
                <w:rPr>
                  <w:rFonts w:ascii="Cambria Math" w:hAnsi="Cambria Math"/>
                  <w:vertAlign w:val="subscript"/>
                  <w:lang w:val="en-US"/>
                </w:rPr>
                <m:t>M</m:t>
              </m:r>
              <m:sSub>
                <m:sSubPr>
                  <m:ctrlPr>
                    <w:rPr>
                      <w:rFonts w:ascii="Cambria Math" w:hAnsi="Cambria Math"/>
                      <w:i/>
                      <w:vertAlign w:val="subscript"/>
                      <w:lang w:val="en-US"/>
                    </w:rPr>
                  </m:ctrlPr>
                </m:sSubPr>
                <m:e>
                  <m:r>
                    <w:rPr>
                      <w:rFonts w:ascii="Cambria Math" w:hAnsi="Cambria Math"/>
                      <w:vertAlign w:val="subscript"/>
                      <w:lang w:val="en-US"/>
                    </w:rPr>
                    <m:t>W</m:t>
                  </m:r>
                </m:e>
                <m:sub>
                  <m:r>
                    <w:rPr>
                      <w:rFonts w:ascii="Cambria Math" w:hAnsi="Cambria Math"/>
                      <w:vertAlign w:val="subscript"/>
                      <w:lang w:val="en-US"/>
                    </w:rPr>
                    <m:t>mix</m:t>
                  </m:r>
                </m:sub>
              </m:sSub>
            </m:num>
            <m:den>
              <m:r>
                <w:rPr>
                  <w:rFonts w:ascii="Cambria Math" w:hAnsi="Cambria Math"/>
                  <w:vertAlign w:val="subscript"/>
                  <w:lang w:val="en-US"/>
                </w:rPr>
                <m:t>M</m:t>
              </m:r>
              <m:sSub>
                <m:sSubPr>
                  <m:ctrlPr>
                    <w:rPr>
                      <w:rFonts w:ascii="Cambria Math" w:hAnsi="Cambria Math"/>
                      <w:i/>
                      <w:vertAlign w:val="subscript"/>
                      <w:lang w:val="en-US"/>
                    </w:rPr>
                  </m:ctrlPr>
                </m:sSubPr>
                <m:e>
                  <m:r>
                    <w:rPr>
                      <w:rFonts w:ascii="Cambria Math" w:hAnsi="Cambria Math"/>
                      <w:vertAlign w:val="subscript"/>
                      <w:lang w:val="en-US"/>
                    </w:rPr>
                    <m:t>W</m:t>
                  </m:r>
                </m:e>
                <m:sub>
                  <m:r>
                    <w:rPr>
                      <w:rFonts w:ascii="Cambria Math" w:hAnsi="Cambria Math"/>
                      <w:vertAlign w:val="subscript"/>
                      <w:lang w:val="en-US"/>
                    </w:rPr>
                    <m:t>2</m:t>
                  </m:r>
                </m:sub>
              </m:sSub>
            </m:den>
          </m:f>
        </m:oMath>
      </m:oMathPara>
    </w:p>
    <w:p w:rsidR="00517D72" w:rsidRPr="00553F02" w:rsidRDefault="00517D72" w:rsidP="00517D72">
      <w:pPr>
        <w:spacing w:line="480" w:lineRule="auto"/>
        <w:jc w:val="both"/>
        <w:rPr>
          <w:vertAlign w:val="subscript"/>
          <w:lang w:val="en-US"/>
        </w:rPr>
      </w:pPr>
    </w:p>
    <w:p w:rsidR="00517D72" w:rsidRDefault="00517D72" w:rsidP="00517D72">
      <w:pPr>
        <w:spacing w:line="480" w:lineRule="auto"/>
        <w:jc w:val="both"/>
        <w:rPr>
          <w:lang w:val="en-US"/>
        </w:rPr>
      </w:pPr>
      <w:r>
        <w:rPr>
          <w:lang w:val="en-US"/>
        </w:rPr>
        <w:t>The verification task begins by initializing the code with the above equations at an offset time,</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oMath>
      <w:r>
        <w:rPr>
          <w:lang w:val="en-US"/>
        </w:rPr>
        <w:t xml:space="preserve">=10. The domain is selected as </w:t>
      </w:r>
      <w:r w:rsidRPr="00FD2D78">
        <w:rPr>
          <w:i/>
          <w:lang w:val="en-US"/>
        </w:rPr>
        <w:t>(Lx, Ly, Lz) = (10,30,5.0)</w:t>
      </w:r>
      <w:r>
        <w:rPr>
          <w:lang w:val="en-US"/>
        </w:rPr>
        <w:t xml:space="preserve"> with double periodic conditions in </w:t>
      </w:r>
      <w:r w:rsidRPr="00805054">
        <w:rPr>
          <w:i/>
          <w:lang w:val="en-US"/>
        </w:rPr>
        <w:t>Lx</w:t>
      </w:r>
      <w:r>
        <w:rPr>
          <w:lang w:val="en-US"/>
        </w:rPr>
        <w:t xml:space="preserve"> and </w:t>
      </w:r>
      <w:r w:rsidRPr="00805054">
        <w:rPr>
          <w:i/>
          <w:lang w:val="en-US"/>
        </w:rPr>
        <w:t>Lz</w:t>
      </w:r>
      <w:r>
        <w:rPr>
          <w:lang w:val="en-US"/>
        </w:rPr>
        <w:t>. Grid design procedures are followed in order to resolve the</w:t>
      </w:r>
      <w:r>
        <w:rPr>
          <w:lang w:val="en-US"/>
        </w:rPr>
        <w:t xml:space="preserve"> </w:t>
      </w:r>
      <w:r>
        <w:rPr>
          <w:lang w:val="en-US"/>
        </w:rPr>
        <w:t xml:space="preserve">characteristic mixing </w:t>
      </w:r>
      <w:r>
        <w:rPr>
          <w:lang w:val="en-US"/>
        </w:rPr>
        <w:lastRenderedPageBreak/>
        <w:t>layer, this has a minimum length-scale of 2 and increases to 20 by the end of the simulation. Adequate resolution will ensure to have at least 30-40 points inside the minimum mixing layer set by the initial conditions. The running time is selected based on a parametric study of density ratios (Figure 1) where a peak density ratio value was found at initial offset time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2</m:t>
                </m:r>
              </m:sub>
            </m:sSub>
          </m:num>
          <m:den>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1</m:t>
                </m:r>
              </m:sub>
            </m:sSub>
          </m:den>
        </m:f>
        <m:r>
          <w:rPr>
            <w:rFonts w:ascii="Cambria Math" w:hAnsi="Cambria Math"/>
            <w:lang w:val="en-US"/>
          </w:rPr>
          <m:t>=19</m:t>
        </m:r>
      </m:oMath>
      <w:r>
        <w:rPr>
          <w:lang w:val="en-US"/>
        </w:rPr>
        <w:t>) and decreased exponentially to nearly 1 at an approximate time of 400 time units. The density ratio values are graphically compared to the reference density field (</w:t>
      </w:r>
      <m:oMath>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1</m:t>
            </m:r>
          </m:sub>
        </m:sSub>
      </m:oMath>
      <w:r>
        <w:rPr>
          <w:lang w:val="en-US"/>
        </w:rPr>
        <w:t>) showing that a running time of t = 100 captures the transient dynamics of interest. This is shown by the following figures where the history of peak density ratios are evaluated at the bottom of the domain.</w:t>
      </w:r>
    </w:p>
    <w:p w:rsidR="005A6465" w:rsidRDefault="005A6465" w:rsidP="00517D72">
      <w:pPr>
        <w:spacing w:line="480" w:lineRule="auto"/>
        <w:jc w:val="both"/>
        <w:rPr>
          <w:lang w:val="en-US"/>
        </w:rPr>
      </w:pPr>
    </w:p>
    <w:p w:rsidR="005A6465" w:rsidRDefault="005A6465" w:rsidP="00517D72">
      <w:pPr>
        <w:spacing w:line="480" w:lineRule="auto"/>
        <w:jc w:val="both"/>
        <w:rPr>
          <w:lang w:val="en-US"/>
        </w:rPr>
      </w:pPr>
      <w:r>
        <w:rPr>
          <w:noProof/>
          <w:lang w:val="en-US"/>
        </w:rPr>
        <w:drawing>
          <wp:anchor distT="0" distB="0" distL="114300" distR="114300" simplePos="0" relativeHeight="251658240" behindDoc="1" locked="0" layoutInCell="1" allowOverlap="1" wp14:anchorId="248B3650" wp14:editId="0BAF6CF6">
            <wp:simplePos x="0" y="0"/>
            <wp:positionH relativeFrom="column">
              <wp:posOffset>865505</wp:posOffset>
            </wp:positionH>
            <wp:positionV relativeFrom="paragraph">
              <wp:posOffset>211455</wp:posOffset>
            </wp:positionV>
            <wp:extent cx="4196080" cy="3731260"/>
            <wp:effectExtent l="0" t="0" r="0" b="2540"/>
            <wp:wrapTight wrapText="bothSides">
              <wp:wrapPolygon edited="0">
                <wp:start x="392" y="0"/>
                <wp:lineTo x="0" y="221"/>
                <wp:lineTo x="0" y="21284"/>
                <wp:lineTo x="294" y="21504"/>
                <wp:lineTo x="392" y="21504"/>
                <wp:lineTo x="21084" y="21504"/>
                <wp:lineTo x="21182" y="21504"/>
                <wp:lineTo x="21476" y="21284"/>
                <wp:lineTo x="21476" y="221"/>
                <wp:lineTo x="21084" y="0"/>
                <wp:lineTo x="392"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rt_density_ratio_t1000.jpg"/>
                    <pic:cNvPicPr/>
                  </pic:nvPicPr>
                  <pic:blipFill>
                    <a:blip r:embed="rId6">
                      <a:extLst>
                        <a:ext uri="{28A0092B-C50C-407E-A947-70E740481C1C}">
                          <a14:useLocalDpi xmlns:a14="http://schemas.microsoft.com/office/drawing/2010/main" val="0"/>
                        </a:ext>
                      </a:extLst>
                    </a:blip>
                    <a:stretch>
                      <a:fillRect/>
                    </a:stretch>
                  </pic:blipFill>
                  <pic:spPr>
                    <a:xfrm>
                      <a:off x="0" y="0"/>
                      <a:ext cx="4196080" cy="373126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rsidR="005A6465" w:rsidRDefault="005A6465" w:rsidP="00517D72">
      <w:pPr>
        <w:spacing w:line="480" w:lineRule="auto"/>
        <w:jc w:val="both"/>
        <w:rPr>
          <w:lang w:val="en-US"/>
        </w:rPr>
      </w:pPr>
    </w:p>
    <w:p w:rsidR="005A6465" w:rsidRDefault="005A6465" w:rsidP="00517D72">
      <w:pPr>
        <w:spacing w:line="480" w:lineRule="auto"/>
        <w:jc w:val="both"/>
        <w:rPr>
          <w:lang w:val="en-US"/>
        </w:rPr>
      </w:pPr>
    </w:p>
    <w:p w:rsidR="00517D72" w:rsidRDefault="00517D72" w:rsidP="00517D72">
      <w:pPr>
        <w:spacing w:line="480" w:lineRule="auto"/>
        <w:jc w:val="both"/>
        <w:rPr>
          <w:lang w:val="en-US"/>
        </w:rPr>
      </w:pPr>
    </w:p>
    <w:p w:rsidR="005A6465" w:rsidRDefault="005A6465" w:rsidP="00517D72">
      <w:pPr>
        <w:spacing w:line="480" w:lineRule="auto"/>
        <w:jc w:val="both"/>
        <w:rPr>
          <w:lang w:val="en-US"/>
        </w:rPr>
      </w:pPr>
    </w:p>
    <w:p w:rsidR="005A6465" w:rsidRDefault="005A6465" w:rsidP="00517D72">
      <w:pPr>
        <w:spacing w:line="480" w:lineRule="auto"/>
        <w:jc w:val="both"/>
        <w:rPr>
          <w:lang w:val="en-US"/>
        </w:rPr>
      </w:pPr>
    </w:p>
    <w:p w:rsidR="005A6465" w:rsidRDefault="005A6465" w:rsidP="00517D72">
      <w:pPr>
        <w:spacing w:line="480" w:lineRule="auto"/>
        <w:jc w:val="both"/>
        <w:rPr>
          <w:lang w:val="en-US"/>
        </w:rPr>
      </w:pPr>
    </w:p>
    <w:p w:rsidR="005A6465" w:rsidRDefault="005A6465" w:rsidP="00517D72">
      <w:pPr>
        <w:spacing w:line="480" w:lineRule="auto"/>
        <w:jc w:val="both"/>
        <w:rPr>
          <w:lang w:val="en-US"/>
        </w:rPr>
      </w:pPr>
    </w:p>
    <w:p w:rsidR="005A6465" w:rsidRDefault="005A6465" w:rsidP="00517D72">
      <w:pPr>
        <w:spacing w:line="480" w:lineRule="auto"/>
        <w:jc w:val="both"/>
        <w:rPr>
          <w:lang w:val="en-US"/>
        </w:rPr>
      </w:pPr>
    </w:p>
    <w:p w:rsidR="005A6465" w:rsidRDefault="005A6465" w:rsidP="00517D72">
      <w:pPr>
        <w:spacing w:line="480" w:lineRule="auto"/>
        <w:jc w:val="both"/>
        <w:rPr>
          <w:lang w:val="en-US"/>
        </w:rPr>
      </w:pPr>
    </w:p>
    <w:p w:rsidR="005A6465" w:rsidRDefault="005A6465" w:rsidP="00517D72">
      <w:pPr>
        <w:spacing w:line="480" w:lineRule="auto"/>
        <w:jc w:val="both"/>
        <w:rPr>
          <w:lang w:val="en-US"/>
        </w:rPr>
      </w:pPr>
    </w:p>
    <w:p w:rsidR="005A6465" w:rsidRDefault="005A6465" w:rsidP="00517D72">
      <w:pPr>
        <w:spacing w:line="480" w:lineRule="auto"/>
        <w:jc w:val="both"/>
        <w:rPr>
          <w:lang w:val="en-US"/>
        </w:rPr>
      </w:pPr>
    </w:p>
    <w:p w:rsidR="005A6465" w:rsidRDefault="005A6465" w:rsidP="00517D72">
      <w:pPr>
        <w:spacing w:line="480" w:lineRule="auto"/>
        <w:jc w:val="both"/>
        <w:rPr>
          <w:lang w:val="en-US"/>
        </w:rPr>
      </w:pPr>
    </w:p>
    <w:p w:rsidR="005A6465" w:rsidRDefault="005A6465" w:rsidP="00517D72">
      <w:pPr>
        <w:spacing w:line="480" w:lineRule="auto"/>
        <w:jc w:val="both"/>
        <w:rPr>
          <w:lang w:val="en-US"/>
        </w:rPr>
      </w:pPr>
    </w:p>
    <w:tbl>
      <w:tblPr>
        <w:tblStyle w:val="TableGrid"/>
        <w:tblW w:w="9558" w:type="dxa"/>
        <w:tblLayout w:type="fixed"/>
        <w:tblLook w:val="04A0" w:firstRow="1" w:lastRow="0" w:firstColumn="1" w:lastColumn="0" w:noHBand="0" w:noVBand="1"/>
      </w:tblPr>
      <w:tblGrid>
        <w:gridCol w:w="1915"/>
        <w:gridCol w:w="1703"/>
        <w:gridCol w:w="2430"/>
        <w:gridCol w:w="1710"/>
        <w:gridCol w:w="1800"/>
      </w:tblGrid>
      <w:tr w:rsidR="00F95A1D" w:rsidRPr="006B4632" w:rsidTr="00C13B28">
        <w:tc>
          <w:tcPr>
            <w:tcW w:w="1915" w:type="dxa"/>
            <w:vAlign w:val="center"/>
          </w:tcPr>
          <w:p w:rsidR="00F95A1D" w:rsidRPr="00092FEE" w:rsidRDefault="00F95A1D" w:rsidP="00C13B28">
            <w:pPr>
              <w:jc w:val="center"/>
              <w:rPr>
                <w:b/>
                <w:i/>
                <w:lang w:val="en-US"/>
              </w:rPr>
            </w:pPr>
            <m:oMathPara>
              <m:oMath>
                <m:sSub>
                  <m:sSubPr>
                    <m:ctrlPr>
                      <w:rPr>
                        <w:rFonts w:ascii="Cambria Math" w:hAnsi="Cambria Math"/>
                        <w:b/>
                        <w:i/>
                      </w:rPr>
                    </m:ctrlPr>
                  </m:sSubPr>
                  <m:e>
                    <m:r>
                      <m:rPr>
                        <m:sty m:val="bi"/>
                      </m:rPr>
                      <w:rPr>
                        <w:rFonts w:ascii="Cambria Math" w:hAnsi="Cambria Math"/>
                      </w:rPr>
                      <m:t>ν</m:t>
                    </m:r>
                  </m:e>
                  <m:sub>
                    <m:r>
                      <m:rPr>
                        <m:sty m:val="bi"/>
                      </m:rPr>
                      <w:rPr>
                        <w:rFonts w:ascii="Cambria Math" w:hAnsi="Cambria Math"/>
                      </w:rPr>
                      <m:t>inf</m:t>
                    </m:r>
                  </m:sub>
                </m:sSub>
                <m:r>
                  <m:rPr>
                    <m:sty m:val="bi"/>
                  </m:rPr>
                  <w:rPr>
                    <w:rFonts w:ascii="Cambria Math" w:hAnsi="Cambria Math"/>
                  </w:rPr>
                  <m:t>*</m:t>
                </m:r>
              </m:oMath>
            </m:oMathPara>
          </w:p>
        </w:tc>
        <w:tc>
          <w:tcPr>
            <w:tcW w:w="1703" w:type="dxa"/>
            <w:vAlign w:val="center"/>
          </w:tcPr>
          <w:p w:rsidR="00F95A1D" w:rsidRDefault="00F95A1D" w:rsidP="00C13B28">
            <w:pPr>
              <w:jc w:val="center"/>
            </w:pPr>
            <m:oMathPara>
              <m:oMath>
                <m:r>
                  <m:rPr>
                    <m:sty m:val="bi"/>
                  </m:rPr>
                  <w:rPr>
                    <w:rFonts w:ascii="Cambria Math" w:hAnsi="Cambria Math"/>
                  </w:rPr>
                  <m:t>Pr=</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p</m:t>
                        </m:r>
                      </m:sub>
                    </m:sSub>
                    <m:r>
                      <m:rPr>
                        <m:sty m:val="bi"/>
                      </m:rPr>
                      <w:rPr>
                        <w:rFonts w:ascii="Cambria Math" w:hAnsi="Cambria Math"/>
                      </w:rPr>
                      <m:t>μ</m:t>
                    </m:r>
                  </m:num>
                  <m:den>
                    <m:r>
                      <m:rPr>
                        <m:sty m:val="bi"/>
                      </m:rPr>
                      <w:rPr>
                        <w:rFonts w:ascii="Cambria Math" w:hAnsi="Cambria Math"/>
                      </w:rPr>
                      <m:t>k</m:t>
                    </m:r>
                  </m:den>
                </m:f>
              </m:oMath>
            </m:oMathPara>
          </w:p>
          <w:p w:rsidR="00F95A1D" w:rsidRPr="006B4632" w:rsidRDefault="00F95A1D" w:rsidP="00C13B28">
            <w:pPr>
              <w:jc w:val="center"/>
              <w:rPr>
                <w:b/>
              </w:rPr>
            </w:pPr>
          </w:p>
        </w:tc>
        <w:tc>
          <w:tcPr>
            <w:tcW w:w="2430" w:type="dxa"/>
            <w:vAlign w:val="center"/>
          </w:tcPr>
          <w:p w:rsidR="00F95A1D" w:rsidRPr="006B4632" w:rsidRDefault="00092FEE" w:rsidP="00C13B28">
            <w:pPr>
              <w:jc w:val="center"/>
              <w:rPr>
                <w:b/>
              </w:rPr>
            </w:pPr>
            <m:oMathPara>
              <m:oMath>
                <m:sSubSup>
                  <m:sSubSupPr>
                    <m:ctrlPr>
                      <w:rPr>
                        <w:rFonts w:ascii="Cambria Math" w:hAnsi="Cambria Math"/>
                        <w:b/>
                        <w:i/>
                        <w:sz w:val="22"/>
                        <w:szCs w:val="22"/>
                        <w:lang w:val="en-US"/>
                      </w:rPr>
                    </m:ctrlPr>
                  </m:sSubSupPr>
                  <m:e>
                    <m:r>
                      <m:rPr>
                        <m:sty m:val="bi"/>
                      </m:rPr>
                      <w:rPr>
                        <w:rFonts w:ascii="Cambria Math" w:hAnsi="Cambria Math"/>
                        <w:sz w:val="22"/>
                        <w:szCs w:val="22"/>
                        <w:lang w:val="en-US"/>
                      </w:rPr>
                      <m:t>ρ</m:t>
                    </m:r>
                  </m:e>
                  <m:sub>
                    <m:r>
                      <m:rPr>
                        <m:sty m:val="bi"/>
                      </m:rPr>
                      <w:rPr>
                        <w:rFonts w:ascii="Cambria Math" w:hAnsi="Cambria Math"/>
                        <w:sz w:val="22"/>
                        <w:szCs w:val="22"/>
                        <w:lang w:val="en-US"/>
                      </w:rPr>
                      <m:t>1</m:t>
                    </m:r>
                  </m:sub>
                  <m:sup>
                    <m:r>
                      <m:rPr>
                        <m:sty m:val="bi"/>
                      </m:rPr>
                      <w:rPr>
                        <w:rFonts w:ascii="Cambria Math" w:hAnsi="Cambria Math"/>
                        <w:sz w:val="22"/>
                        <w:szCs w:val="22"/>
                        <w:lang w:val="en-US"/>
                      </w:rPr>
                      <m:t>*</m:t>
                    </m:r>
                  </m:sup>
                </m:sSubSup>
              </m:oMath>
            </m:oMathPara>
          </w:p>
        </w:tc>
        <w:tc>
          <w:tcPr>
            <w:tcW w:w="1710" w:type="dxa"/>
            <w:vAlign w:val="center"/>
          </w:tcPr>
          <w:p w:rsidR="00F95A1D" w:rsidRPr="006B4632" w:rsidRDefault="00092FEE" w:rsidP="00C13B28">
            <w:pPr>
              <w:jc w:val="center"/>
              <w:rPr>
                <w:b/>
              </w:rPr>
            </w:pPr>
            <m:oMathPara>
              <m:oMath>
                <m:sSubSup>
                  <m:sSubSupPr>
                    <m:ctrlPr>
                      <w:rPr>
                        <w:rFonts w:ascii="Cambria Math" w:hAnsi="Cambria Math"/>
                        <w:b/>
                        <w:i/>
                        <w:sz w:val="22"/>
                        <w:szCs w:val="22"/>
                        <w:lang w:val="en-US"/>
                      </w:rPr>
                    </m:ctrlPr>
                  </m:sSubSupPr>
                  <m:e>
                    <m:r>
                      <m:rPr>
                        <m:sty m:val="bi"/>
                      </m:rPr>
                      <w:rPr>
                        <w:rFonts w:ascii="Cambria Math" w:hAnsi="Cambria Math"/>
                        <w:sz w:val="22"/>
                        <w:szCs w:val="22"/>
                        <w:lang w:val="en-US"/>
                      </w:rPr>
                      <m:t>ρ</m:t>
                    </m:r>
                  </m:e>
                  <m:sub>
                    <m:r>
                      <m:rPr>
                        <m:sty m:val="bi"/>
                      </m:rPr>
                      <w:rPr>
                        <w:rFonts w:ascii="Cambria Math" w:hAnsi="Cambria Math"/>
                        <w:sz w:val="22"/>
                        <w:szCs w:val="22"/>
                        <w:lang w:val="en-US"/>
                      </w:rPr>
                      <m:t>2</m:t>
                    </m:r>
                  </m:sub>
                  <m:sup>
                    <m:r>
                      <m:rPr>
                        <m:sty m:val="bi"/>
                      </m:rPr>
                      <w:rPr>
                        <w:rFonts w:ascii="Cambria Math" w:hAnsi="Cambria Math"/>
                        <w:sz w:val="22"/>
                        <w:szCs w:val="22"/>
                        <w:lang w:val="en-US"/>
                      </w:rPr>
                      <m:t>*</m:t>
                    </m:r>
                  </m:sup>
                </m:sSubSup>
              </m:oMath>
            </m:oMathPara>
          </w:p>
        </w:tc>
        <w:tc>
          <w:tcPr>
            <w:tcW w:w="1800" w:type="dxa"/>
            <w:vAlign w:val="center"/>
          </w:tcPr>
          <w:p w:rsidR="00F95A1D" w:rsidRPr="00C13B28" w:rsidRDefault="00933DA6" w:rsidP="00C13B28">
            <w:pPr>
              <w:jc w:val="center"/>
              <w:rPr>
                <w:b/>
                <w:sz w:val="22"/>
                <w:szCs w:val="22"/>
                <w:lang w:val="en-US"/>
              </w:rPr>
            </w:pPr>
            <m:oMathPara>
              <m:oMath>
                <m:sSub>
                  <m:sSubPr>
                    <m:ctrlPr>
                      <w:rPr>
                        <w:rFonts w:ascii="Cambria Math" w:hAnsi="Cambria Math"/>
                        <w:b/>
                        <w:i/>
                        <w:sz w:val="22"/>
                        <w:szCs w:val="22"/>
                        <w:lang w:val="en-US"/>
                      </w:rPr>
                    </m:ctrlPr>
                  </m:sSubPr>
                  <m:e>
                    <m:r>
                      <m:rPr>
                        <m:sty m:val="bi"/>
                      </m:rPr>
                      <w:rPr>
                        <w:rFonts w:ascii="Cambria Math" w:hAnsi="Cambria Math"/>
                        <w:sz w:val="22"/>
                        <w:szCs w:val="22"/>
                        <w:lang w:val="en-US"/>
                      </w:rPr>
                      <m:t>t</m:t>
                    </m:r>
                  </m:e>
                  <m:sub>
                    <m:r>
                      <m:rPr>
                        <m:sty m:val="bi"/>
                      </m:rPr>
                      <w:rPr>
                        <w:rFonts w:ascii="Cambria Math" w:hAnsi="Cambria Math"/>
                        <w:sz w:val="22"/>
                        <w:szCs w:val="22"/>
                        <w:lang w:val="en-US"/>
                      </w:rPr>
                      <m:t>0</m:t>
                    </m:r>
                  </m:sub>
                </m:sSub>
              </m:oMath>
            </m:oMathPara>
          </w:p>
          <w:p w:rsidR="00C13B28" w:rsidRPr="006B4632" w:rsidRDefault="00C13B28" w:rsidP="00C13B28">
            <w:pPr>
              <w:jc w:val="center"/>
              <w:rPr>
                <w:b/>
              </w:rPr>
            </w:pPr>
            <w:r>
              <w:rPr>
                <w:b/>
                <w:sz w:val="22"/>
                <w:szCs w:val="22"/>
                <w:lang w:val="en-US"/>
              </w:rPr>
              <w:t>(off-set time)</w:t>
            </w:r>
          </w:p>
        </w:tc>
      </w:tr>
      <w:tr w:rsidR="00F95A1D" w:rsidTr="00092FEE">
        <w:trPr>
          <w:trHeight w:val="899"/>
        </w:trPr>
        <w:tc>
          <w:tcPr>
            <w:tcW w:w="1915" w:type="dxa"/>
            <w:vAlign w:val="center"/>
          </w:tcPr>
          <w:p w:rsidR="00F95A1D" w:rsidRDefault="00F95A1D" w:rsidP="00250F4C">
            <w:pPr>
              <w:jc w:val="center"/>
            </w:pPr>
            <m:oMathPara>
              <m:oMath>
                <m:r>
                  <w:rPr>
                    <w:rFonts w:ascii="Cambria Math" w:hAnsi="Cambria Math"/>
                  </w:rPr>
                  <m:t>0.02</m:t>
                </m:r>
              </m:oMath>
            </m:oMathPara>
          </w:p>
        </w:tc>
        <w:tc>
          <w:tcPr>
            <w:tcW w:w="1703" w:type="dxa"/>
            <w:vAlign w:val="center"/>
          </w:tcPr>
          <w:p w:rsidR="00F95A1D" w:rsidRDefault="00F95A1D" w:rsidP="00F95A1D">
            <w:pPr>
              <w:jc w:val="center"/>
            </w:pPr>
            <m:oMathPara>
              <m:oMath>
                <m:r>
                  <w:rPr>
                    <w:rFonts w:ascii="Cambria Math" w:hAnsi="Cambria Math"/>
                  </w:rPr>
                  <m:t>0.7</m:t>
                </m:r>
                <m:r>
                  <w:rPr>
                    <w:rFonts w:ascii="Cambria Math" w:hAnsi="Cambria Math"/>
                  </w:rPr>
                  <m:t>5</m:t>
                </m:r>
              </m:oMath>
            </m:oMathPara>
          </w:p>
        </w:tc>
        <w:tc>
          <w:tcPr>
            <w:tcW w:w="2430" w:type="dxa"/>
            <w:vAlign w:val="center"/>
          </w:tcPr>
          <w:p w:rsidR="00F95A1D" w:rsidRPr="00933DA6" w:rsidRDefault="00092FEE" w:rsidP="00092FEE">
            <w:pPr>
              <w:jc w:val="center"/>
              <w:rPr>
                <w:lang w:val="en-US"/>
              </w:rPr>
            </w:pPr>
            <m:oMathPara>
              <m:oMath>
                <m:f>
                  <m:fPr>
                    <m:ctrlPr>
                      <w:rPr>
                        <w:rFonts w:ascii="Cambria Math" w:hAnsi="Cambria Math"/>
                        <w:i/>
                        <w:vertAlign w:val="subscript"/>
                        <w:lang w:val="en-US"/>
                      </w:rPr>
                    </m:ctrlPr>
                  </m:fPr>
                  <m:num>
                    <m:r>
                      <w:rPr>
                        <w:rFonts w:ascii="Cambria Math" w:hAnsi="Cambria Math"/>
                        <w:vertAlign w:val="subscript"/>
                        <w:lang w:val="en-US"/>
                      </w:rPr>
                      <m:t>M</m:t>
                    </m:r>
                    <m:sSub>
                      <m:sSubPr>
                        <m:ctrlPr>
                          <w:rPr>
                            <w:rFonts w:ascii="Cambria Math" w:hAnsi="Cambria Math"/>
                            <w:i/>
                            <w:vertAlign w:val="subscript"/>
                            <w:lang w:val="en-US"/>
                          </w:rPr>
                        </m:ctrlPr>
                      </m:sSubPr>
                      <m:e>
                        <m:r>
                          <w:rPr>
                            <w:rFonts w:ascii="Cambria Math" w:hAnsi="Cambria Math"/>
                            <w:vertAlign w:val="subscript"/>
                            <w:lang w:val="en-US"/>
                          </w:rPr>
                          <m:t>W</m:t>
                        </m:r>
                      </m:e>
                      <m:sub>
                        <m:r>
                          <w:rPr>
                            <w:rFonts w:ascii="Cambria Math" w:hAnsi="Cambria Math"/>
                            <w:vertAlign w:val="subscript"/>
                            <w:lang w:val="en-US"/>
                          </w:rPr>
                          <m:t>mix</m:t>
                        </m:r>
                      </m:sub>
                    </m:sSub>
                  </m:num>
                  <m:den>
                    <m:r>
                      <w:rPr>
                        <w:rFonts w:ascii="Cambria Math" w:hAnsi="Cambria Math"/>
                        <w:vertAlign w:val="subscript"/>
                        <w:lang w:val="en-US"/>
                      </w:rPr>
                      <m:t>M</m:t>
                    </m:r>
                    <m:sSub>
                      <m:sSubPr>
                        <m:ctrlPr>
                          <w:rPr>
                            <w:rFonts w:ascii="Cambria Math" w:hAnsi="Cambria Math"/>
                            <w:i/>
                            <w:vertAlign w:val="subscript"/>
                            <w:lang w:val="en-US"/>
                          </w:rPr>
                        </m:ctrlPr>
                      </m:sSubPr>
                      <m:e>
                        <m:r>
                          <w:rPr>
                            <w:rFonts w:ascii="Cambria Math" w:hAnsi="Cambria Math"/>
                            <w:vertAlign w:val="subscript"/>
                            <w:lang w:val="en-US"/>
                          </w:rPr>
                          <m:t>W</m:t>
                        </m:r>
                      </m:e>
                      <m:sub>
                        <m:r>
                          <w:rPr>
                            <w:rFonts w:ascii="Cambria Math" w:hAnsi="Cambria Math"/>
                            <w:vertAlign w:val="subscript"/>
                            <w:lang w:val="en-US"/>
                          </w:rPr>
                          <m:t>1</m:t>
                        </m:r>
                      </m:sub>
                    </m:sSub>
                  </m:den>
                </m:f>
                <m:r>
                  <w:rPr>
                    <w:rFonts w:ascii="Cambria Math" w:hAnsi="Cambria Math"/>
                    <w:vertAlign w:val="subscript"/>
                    <w:lang w:val="en-US"/>
                  </w:rPr>
                  <m:t>=</m:t>
                </m:r>
                <m:r>
                  <m:rPr>
                    <m:sty m:val="p"/>
                  </m:rPr>
                  <w:rPr>
                    <w:rFonts w:ascii="Cambria Math" w:hAnsi="Cambria Math"/>
                    <w:lang w:val="en-US"/>
                  </w:rPr>
                  <m:t>0.0097</m:t>
                </m:r>
              </m:oMath>
            </m:oMathPara>
          </w:p>
        </w:tc>
        <w:tc>
          <w:tcPr>
            <w:tcW w:w="1710" w:type="dxa"/>
            <w:vAlign w:val="center"/>
          </w:tcPr>
          <w:p w:rsidR="00F95A1D" w:rsidRPr="00933DA6" w:rsidRDefault="00092FEE" w:rsidP="00250F4C">
            <w:pPr>
              <w:jc w:val="center"/>
              <w:rPr>
                <w:lang w:val="en-US"/>
              </w:rPr>
            </w:pPr>
            <m:oMathPara>
              <m:oMath>
                <m:f>
                  <m:fPr>
                    <m:ctrlPr>
                      <w:rPr>
                        <w:rFonts w:ascii="Cambria Math" w:hAnsi="Cambria Math"/>
                        <w:i/>
                        <w:vertAlign w:val="subscript"/>
                        <w:lang w:val="en-US"/>
                      </w:rPr>
                    </m:ctrlPr>
                  </m:fPr>
                  <m:num>
                    <m:r>
                      <w:rPr>
                        <w:rFonts w:ascii="Cambria Math" w:hAnsi="Cambria Math"/>
                        <w:vertAlign w:val="subscript"/>
                        <w:lang w:val="en-US"/>
                      </w:rPr>
                      <m:t>M</m:t>
                    </m:r>
                    <m:sSub>
                      <m:sSubPr>
                        <m:ctrlPr>
                          <w:rPr>
                            <w:rFonts w:ascii="Cambria Math" w:hAnsi="Cambria Math"/>
                            <w:i/>
                            <w:vertAlign w:val="subscript"/>
                            <w:lang w:val="en-US"/>
                          </w:rPr>
                        </m:ctrlPr>
                      </m:sSubPr>
                      <m:e>
                        <m:r>
                          <w:rPr>
                            <w:rFonts w:ascii="Cambria Math" w:hAnsi="Cambria Math"/>
                            <w:vertAlign w:val="subscript"/>
                            <w:lang w:val="en-US"/>
                          </w:rPr>
                          <m:t>W</m:t>
                        </m:r>
                      </m:e>
                      <m:sub>
                        <m:r>
                          <w:rPr>
                            <w:rFonts w:ascii="Cambria Math" w:hAnsi="Cambria Math"/>
                            <w:vertAlign w:val="subscript"/>
                            <w:lang w:val="en-US"/>
                          </w:rPr>
                          <m:t>mix</m:t>
                        </m:r>
                      </m:sub>
                    </m:sSub>
                  </m:num>
                  <m:den>
                    <m:r>
                      <w:rPr>
                        <w:rFonts w:ascii="Cambria Math" w:hAnsi="Cambria Math"/>
                        <w:vertAlign w:val="subscript"/>
                        <w:lang w:val="en-US"/>
                      </w:rPr>
                      <m:t>M</m:t>
                    </m:r>
                    <m:sSub>
                      <m:sSubPr>
                        <m:ctrlPr>
                          <w:rPr>
                            <w:rFonts w:ascii="Cambria Math" w:hAnsi="Cambria Math"/>
                            <w:i/>
                            <w:vertAlign w:val="subscript"/>
                            <w:lang w:val="en-US"/>
                          </w:rPr>
                        </m:ctrlPr>
                      </m:sSubPr>
                      <m:e>
                        <m:r>
                          <w:rPr>
                            <w:rFonts w:ascii="Cambria Math" w:hAnsi="Cambria Math"/>
                            <w:vertAlign w:val="subscript"/>
                            <w:lang w:val="en-US"/>
                          </w:rPr>
                          <m:t>W</m:t>
                        </m:r>
                      </m:e>
                      <m:sub>
                        <m:r>
                          <w:rPr>
                            <w:rFonts w:ascii="Cambria Math" w:hAnsi="Cambria Math"/>
                            <w:vertAlign w:val="subscript"/>
                            <w:lang w:val="en-US"/>
                          </w:rPr>
                          <m:t>2</m:t>
                        </m:r>
                      </m:sub>
                    </m:sSub>
                  </m:den>
                </m:f>
                <m:r>
                  <w:rPr>
                    <w:rFonts w:ascii="Cambria Math" w:hAnsi="Cambria Math"/>
                    <w:vertAlign w:val="subscript"/>
                    <w:lang w:val="en-US"/>
                  </w:rPr>
                  <m:t>=1</m:t>
                </m:r>
              </m:oMath>
            </m:oMathPara>
          </w:p>
        </w:tc>
        <w:tc>
          <w:tcPr>
            <w:tcW w:w="1800" w:type="dxa"/>
            <w:vAlign w:val="center"/>
          </w:tcPr>
          <w:p w:rsidR="00F95A1D" w:rsidRPr="00933DA6" w:rsidRDefault="00933DA6" w:rsidP="00250F4C">
            <w:pPr>
              <w:jc w:val="center"/>
              <w:rPr>
                <w:lang w:val="en-US"/>
              </w:rPr>
            </w:pPr>
            <w:r>
              <w:rPr>
                <w:lang w:val="en-US"/>
              </w:rPr>
              <w:t>10</w:t>
            </w:r>
          </w:p>
        </w:tc>
      </w:tr>
      <w:tr w:rsidR="00092FEE" w:rsidTr="00C13B28">
        <w:trPr>
          <w:trHeight w:val="512"/>
        </w:trPr>
        <w:tc>
          <w:tcPr>
            <w:tcW w:w="1915" w:type="dxa"/>
            <w:vAlign w:val="center"/>
          </w:tcPr>
          <w:p w:rsidR="00092FEE" w:rsidRPr="00C13B28" w:rsidRDefault="00092FEE" w:rsidP="00C13B28">
            <w:pPr>
              <w:jc w:val="center"/>
              <w:rPr>
                <w:b/>
                <w:sz w:val="22"/>
                <w:szCs w:val="22"/>
                <w:lang w:val="en-US"/>
              </w:rPr>
            </w:pPr>
            <m:oMathPara>
              <m:oMath>
                <m:sSub>
                  <m:sSubPr>
                    <m:ctrlPr>
                      <w:rPr>
                        <w:rFonts w:ascii="Cambria Math" w:hAnsi="Cambria Math"/>
                        <w:b/>
                        <w:i/>
                        <w:sz w:val="22"/>
                        <w:szCs w:val="22"/>
                        <w:lang w:val="en-US"/>
                      </w:rPr>
                    </m:ctrlPr>
                  </m:sSubPr>
                  <m:e>
                    <m:r>
                      <m:rPr>
                        <m:sty m:val="bi"/>
                      </m:rPr>
                      <w:rPr>
                        <w:rFonts w:ascii="Cambria Math" w:hAnsi="Cambria Math"/>
                        <w:sz w:val="22"/>
                        <w:szCs w:val="22"/>
                        <w:lang w:val="en-US"/>
                      </w:rPr>
                      <m:t>δ</m:t>
                    </m:r>
                  </m:e>
                  <m:sub>
                    <m:r>
                      <m:rPr>
                        <m:sty m:val="bi"/>
                      </m:rPr>
                      <w:rPr>
                        <w:rFonts w:ascii="Cambria Math" w:hAnsi="Cambria Math"/>
                        <w:sz w:val="22"/>
                        <w:szCs w:val="22"/>
                        <w:lang w:val="en-US"/>
                      </w:rPr>
                      <m:t>0</m:t>
                    </m:r>
                  </m:sub>
                </m:sSub>
              </m:oMath>
            </m:oMathPara>
          </w:p>
          <w:p w:rsidR="00C13B28" w:rsidRPr="006B4632" w:rsidRDefault="00C13B28" w:rsidP="00C13B28">
            <w:pPr>
              <w:jc w:val="center"/>
              <w:rPr>
                <w:b/>
              </w:rPr>
            </w:pPr>
            <w:r>
              <w:rPr>
                <w:b/>
                <w:sz w:val="22"/>
                <w:szCs w:val="22"/>
                <w:lang w:val="en-US"/>
              </w:rPr>
              <w:t>(characteristic lengthscale)</w:t>
            </w:r>
          </w:p>
        </w:tc>
        <w:tc>
          <w:tcPr>
            <w:tcW w:w="1703" w:type="dxa"/>
            <w:vAlign w:val="center"/>
          </w:tcPr>
          <w:p w:rsidR="00092FEE" w:rsidRPr="006B4632" w:rsidRDefault="00092FEE" w:rsidP="00C13B28">
            <w:pPr>
              <w:jc w:val="center"/>
              <w:rPr>
                <w:b/>
              </w:rPr>
            </w:pPr>
            <m:oMathPara>
              <m:oMath>
                <m:r>
                  <m:rPr>
                    <m:sty m:val="bi"/>
                  </m:rPr>
                  <w:rPr>
                    <w:rFonts w:ascii="Cambria Math" w:hAnsi="Cambria Math"/>
                  </w:rPr>
                  <m:t>R</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ref</m:t>
                    </m:r>
                  </m:sub>
                </m:sSub>
              </m:oMath>
            </m:oMathPara>
          </w:p>
        </w:tc>
        <w:tc>
          <w:tcPr>
            <w:tcW w:w="2430" w:type="dxa"/>
            <w:vAlign w:val="center"/>
          </w:tcPr>
          <w:p w:rsidR="00092FEE" w:rsidRDefault="00092FEE" w:rsidP="00C13B28">
            <w:pPr>
              <w:jc w:val="center"/>
            </w:pPr>
            <m:oMathPara>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inf</m:t>
                    </m:r>
                  </m:sub>
                </m:sSub>
                <m:r>
                  <m:rPr>
                    <m:sty m:val="bi"/>
                  </m:rPr>
                  <w:rPr>
                    <w:rFonts w:ascii="Cambria Math" w:hAnsi="Cambria Math"/>
                  </w:rPr>
                  <m:t>(K)</m:t>
                </m:r>
              </m:oMath>
            </m:oMathPara>
          </w:p>
          <w:p w:rsidR="00092FEE" w:rsidRPr="006B4632" w:rsidRDefault="00092FEE" w:rsidP="00C13B28">
            <w:pPr>
              <w:jc w:val="center"/>
              <w:rPr>
                <w:b/>
              </w:rPr>
            </w:pPr>
          </w:p>
        </w:tc>
        <w:tc>
          <w:tcPr>
            <w:tcW w:w="1710" w:type="dxa"/>
            <w:vAlign w:val="center"/>
          </w:tcPr>
          <w:p w:rsidR="00092FEE" w:rsidRPr="00AD0D9F" w:rsidRDefault="00092FEE" w:rsidP="00C13B28">
            <w:pPr>
              <w:jc w:val="center"/>
              <w:rPr>
                <w:i/>
                <w:lang w:val="en-US"/>
              </w:rPr>
            </w:pPr>
          </w:p>
        </w:tc>
        <w:tc>
          <w:tcPr>
            <w:tcW w:w="1800" w:type="dxa"/>
            <w:vAlign w:val="center"/>
          </w:tcPr>
          <w:p w:rsidR="00092FEE" w:rsidRPr="00AD0D9F" w:rsidRDefault="00092FEE" w:rsidP="00C13B28">
            <w:pPr>
              <w:jc w:val="center"/>
              <w:rPr>
                <w:i/>
                <w:lang w:val="en-US"/>
              </w:rPr>
            </w:pPr>
          </w:p>
        </w:tc>
      </w:tr>
      <w:tr w:rsidR="00092FEE" w:rsidTr="00092FEE">
        <w:trPr>
          <w:trHeight w:val="980"/>
        </w:trPr>
        <w:tc>
          <w:tcPr>
            <w:tcW w:w="1915" w:type="dxa"/>
            <w:vAlign w:val="center"/>
          </w:tcPr>
          <w:p w:rsidR="00092FEE" w:rsidRDefault="00092FEE" w:rsidP="00250F4C">
            <w:pPr>
              <w:jc w:val="center"/>
            </w:pPr>
            <m:oMathPara>
              <m:oMath>
                <m:r>
                  <w:rPr>
                    <w:rFonts w:ascii="Cambria Math" w:hAnsi="Cambria Math"/>
                  </w:rPr>
                  <m:t>2</m:t>
                </m:r>
              </m:oMath>
            </m:oMathPara>
          </w:p>
        </w:tc>
        <w:tc>
          <w:tcPr>
            <w:tcW w:w="1703" w:type="dxa"/>
            <w:vAlign w:val="center"/>
          </w:tcPr>
          <w:p w:rsidR="00092FEE" w:rsidRDefault="00092FEE" w:rsidP="00250F4C">
            <w:pPr>
              <w:jc w:val="center"/>
            </w:pPr>
            <w:r>
              <w:t>50</w:t>
            </w:r>
          </w:p>
        </w:tc>
        <w:tc>
          <w:tcPr>
            <w:tcW w:w="2430" w:type="dxa"/>
            <w:vAlign w:val="center"/>
          </w:tcPr>
          <w:p w:rsidR="00092FEE" w:rsidRDefault="00092FEE" w:rsidP="00250F4C">
            <w:pPr>
              <w:jc w:val="center"/>
            </w:pPr>
            <m:oMathPara>
              <m:oMath>
                <m:r>
                  <w:rPr>
                    <w:rFonts w:ascii="Cambria Math" w:hAnsi="Cambria Math"/>
                  </w:rPr>
                  <m:t>300</m:t>
                </m:r>
              </m:oMath>
            </m:oMathPara>
          </w:p>
        </w:tc>
        <w:tc>
          <w:tcPr>
            <w:tcW w:w="1710" w:type="dxa"/>
            <w:vAlign w:val="center"/>
          </w:tcPr>
          <w:p w:rsidR="00092FEE" w:rsidRDefault="00092FEE" w:rsidP="00250F4C">
            <w:pPr>
              <w:jc w:val="center"/>
            </w:pPr>
          </w:p>
        </w:tc>
        <w:tc>
          <w:tcPr>
            <w:tcW w:w="1800" w:type="dxa"/>
            <w:vAlign w:val="center"/>
          </w:tcPr>
          <w:p w:rsidR="00092FEE" w:rsidRDefault="00092FEE" w:rsidP="00250F4C">
            <w:pPr>
              <w:jc w:val="center"/>
            </w:pPr>
          </w:p>
        </w:tc>
      </w:tr>
    </w:tbl>
    <w:p w:rsidR="00517D72" w:rsidRDefault="00517D72" w:rsidP="00517D72">
      <w:pPr>
        <w:spacing w:line="480" w:lineRule="auto"/>
        <w:jc w:val="both"/>
        <w:rPr>
          <w:lang w:val="en-US"/>
        </w:rPr>
      </w:pPr>
    </w:p>
    <w:p w:rsidR="00092FEE" w:rsidRDefault="00092FEE" w:rsidP="00517D72">
      <w:pPr>
        <w:spacing w:line="480" w:lineRule="auto"/>
        <w:jc w:val="both"/>
        <w:rPr>
          <w:lang w:val="en-US"/>
        </w:rPr>
      </w:pPr>
    </w:p>
    <w:p w:rsidR="00F95A1D" w:rsidRDefault="00F95A1D" w:rsidP="00517D72">
      <w:pPr>
        <w:spacing w:line="480" w:lineRule="auto"/>
        <w:jc w:val="both"/>
        <w:rPr>
          <w:lang w:val="en-US"/>
        </w:rPr>
      </w:pPr>
    </w:p>
    <w:tbl>
      <w:tblPr>
        <w:tblStyle w:val="TableGrid"/>
        <w:tblW w:w="0" w:type="auto"/>
        <w:jc w:val="center"/>
        <w:tblInd w:w="-243" w:type="dxa"/>
        <w:tblLayout w:type="fixed"/>
        <w:tblLook w:val="04A0" w:firstRow="1" w:lastRow="0" w:firstColumn="1" w:lastColumn="0" w:noHBand="0" w:noVBand="1"/>
      </w:tblPr>
      <w:tblGrid>
        <w:gridCol w:w="2637"/>
        <w:gridCol w:w="3573"/>
        <w:gridCol w:w="3087"/>
      </w:tblGrid>
      <w:tr w:rsidR="00F95A1D" w:rsidRPr="0031445C" w:rsidTr="00290112">
        <w:trPr>
          <w:jc w:val="center"/>
        </w:trPr>
        <w:tc>
          <w:tcPr>
            <w:tcW w:w="2637" w:type="dxa"/>
            <w:vAlign w:val="center"/>
          </w:tcPr>
          <w:p w:rsidR="00F95A1D" w:rsidRPr="0031445C" w:rsidRDefault="00F95A1D" w:rsidP="00250F4C">
            <w:pPr>
              <w:jc w:val="center"/>
              <w:rPr>
                <w:b/>
              </w:rPr>
            </w:pPr>
            <m:oMath>
              <m:sSup>
                <m:sSupPr>
                  <m:ctrlPr>
                    <w:rPr>
                      <w:rFonts w:ascii="Cambria Math" w:hAnsi="Cambria Math"/>
                      <w:b/>
                      <w:i/>
                    </w:rPr>
                  </m:ctrlPr>
                </m:sSupPr>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x</m:t>
                          </m:r>
                        </m:sub>
                      </m:sSub>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y</m:t>
                          </m:r>
                        </m:sub>
                      </m:sSub>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z</m:t>
                          </m:r>
                        </m:sub>
                      </m:sSub>
                    </m:e>
                  </m:d>
                </m:e>
                <m:sup>
                  <m:r>
                    <m:rPr>
                      <m:sty m:val="bi"/>
                    </m:rPr>
                    <w:rPr>
                      <w:rFonts w:ascii="Cambria Math" w:hAnsi="Cambria Math"/>
                    </w:rPr>
                    <m:t>*</m:t>
                  </m:r>
                </m:sup>
              </m:sSup>
            </m:oMath>
            <w:r>
              <w:rPr>
                <w:b/>
              </w:rPr>
              <w:t xml:space="preserve"> </w:t>
            </w:r>
          </w:p>
        </w:tc>
        <w:tc>
          <w:tcPr>
            <w:tcW w:w="3573" w:type="dxa"/>
            <w:vAlign w:val="center"/>
          </w:tcPr>
          <w:p w:rsidR="00F95A1D" w:rsidRPr="0031445C" w:rsidRDefault="00F95A1D" w:rsidP="00250F4C">
            <w:pPr>
              <w:jc w:val="center"/>
              <w:rPr>
                <w:b/>
              </w:rPr>
            </w:pPr>
            <m:oMathPara>
              <m:oMath>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x</m:t>
                        </m:r>
                      </m:sub>
                    </m:sSub>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y</m:t>
                        </m:r>
                      </m:sub>
                    </m:sSub>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z</m:t>
                        </m:r>
                      </m:sub>
                    </m:sSub>
                  </m:e>
                </m:d>
              </m:oMath>
            </m:oMathPara>
          </w:p>
        </w:tc>
        <w:tc>
          <w:tcPr>
            <w:tcW w:w="3087" w:type="dxa"/>
            <w:vAlign w:val="center"/>
          </w:tcPr>
          <w:p w:rsidR="00F95A1D" w:rsidRPr="0031445C" w:rsidRDefault="00F95A1D" w:rsidP="00250F4C">
            <w:pPr>
              <w:jc w:val="center"/>
              <w:rPr>
                <w:b/>
              </w:rPr>
            </w:pPr>
            <m:oMathPara>
              <m:oMath>
                <m:r>
                  <m:rPr>
                    <m:sty m:val="bi"/>
                  </m:rPr>
                  <w:rPr>
                    <w:rFonts w:ascii="Cambria Math" w:hAnsi="Cambria Math"/>
                  </w:rPr>
                  <m:t>grid stretching</m:t>
                </m:r>
              </m:oMath>
            </m:oMathPara>
          </w:p>
        </w:tc>
      </w:tr>
      <w:tr w:rsidR="00F95A1D" w:rsidTr="009A56B6">
        <w:trPr>
          <w:jc w:val="center"/>
        </w:trPr>
        <w:tc>
          <w:tcPr>
            <w:tcW w:w="2637" w:type="dxa"/>
            <w:vAlign w:val="center"/>
          </w:tcPr>
          <w:p w:rsidR="00F95A1D" w:rsidRDefault="00F95A1D" w:rsidP="009A56B6">
            <w:pPr>
              <w:jc w:val="center"/>
            </w:pPr>
            <w:r>
              <w:t>(</w:t>
            </w:r>
            <w:r w:rsidR="00FE7C0E">
              <w:rPr>
                <w:lang w:val="en-US"/>
              </w:rPr>
              <w:t>10,30,5</w:t>
            </w:r>
            <w:r>
              <w:t>)</w:t>
            </w:r>
          </w:p>
        </w:tc>
        <w:tc>
          <w:tcPr>
            <w:tcW w:w="3573" w:type="dxa"/>
            <w:vAlign w:val="center"/>
          </w:tcPr>
          <w:p w:rsidR="00F95A1D" w:rsidRDefault="00F95A1D" w:rsidP="009A56B6">
            <w:pPr>
              <w:jc w:val="center"/>
            </w:pPr>
            <w:r>
              <w:t>(</w:t>
            </w:r>
            <w:r w:rsidR="00FE7C0E">
              <w:rPr>
                <w:lang w:val="en-US"/>
              </w:rPr>
              <w:t>10,2400,4</w:t>
            </w:r>
            <w:r>
              <w:t>)</w:t>
            </w:r>
          </w:p>
        </w:tc>
        <w:tc>
          <w:tcPr>
            <w:tcW w:w="3087" w:type="dxa"/>
            <w:vAlign w:val="bottom"/>
          </w:tcPr>
          <w:p w:rsidR="009A56B6" w:rsidRDefault="009A56B6" w:rsidP="009A56B6">
            <w:pPr>
              <w:rPr>
                <w:lang w:val="en-US"/>
              </w:rPr>
            </w:pPr>
          </w:p>
          <w:p w:rsidR="00F95A1D" w:rsidRDefault="00F95A1D" w:rsidP="009A56B6">
            <w:pPr>
              <w:jc w:val="center"/>
            </w:pPr>
            <w:r>
              <w:t>Uniform grid in x, z</w:t>
            </w:r>
            <w:r w:rsidR="00D930FC">
              <w:t>, y</w:t>
            </w:r>
          </w:p>
          <w:p w:rsidR="00F95A1D" w:rsidRDefault="00F95A1D" w:rsidP="009A56B6">
            <w:pPr>
              <w:jc w:val="center"/>
            </w:pPr>
          </w:p>
        </w:tc>
      </w:tr>
      <w:tr w:rsidR="00F95A1D" w:rsidRPr="0031445C" w:rsidTr="00290112">
        <w:trPr>
          <w:jc w:val="center"/>
        </w:trPr>
        <w:tc>
          <w:tcPr>
            <w:tcW w:w="2637" w:type="dxa"/>
            <w:vAlign w:val="center"/>
          </w:tcPr>
          <w:p w:rsidR="00F95A1D" w:rsidRPr="00092FEE" w:rsidRDefault="00717522" w:rsidP="00250F4C">
            <w:pPr>
              <w:jc w:val="center"/>
              <w:rPr>
                <w:b/>
                <w:lang w:val="en-US"/>
              </w:rPr>
            </w:pPr>
            <w:r>
              <w:rPr>
                <w:b/>
                <w:lang w:val="en-US"/>
              </w:rPr>
              <w:t>Initial Conditions</w:t>
            </w:r>
          </w:p>
        </w:tc>
        <w:tc>
          <w:tcPr>
            <w:tcW w:w="3573" w:type="dxa"/>
            <w:vAlign w:val="center"/>
          </w:tcPr>
          <w:p w:rsidR="00F95A1D" w:rsidRPr="00092FEE" w:rsidRDefault="00092FEE" w:rsidP="00250F4C">
            <w:pPr>
              <w:jc w:val="center"/>
              <w:rPr>
                <w:b/>
                <w:lang w:val="en-US"/>
              </w:rPr>
            </w:pPr>
            <w:r>
              <w:rPr>
                <w:b/>
                <w:lang w:val="en-US"/>
              </w:rPr>
              <w:t>Specific Enthalpy model</w:t>
            </w:r>
          </w:p>
        </w:tc>
        <w:tc>
          <w:tcPr>
            <w:tcW w:w="3087" w:type="dxa"/>
            <w:vAlign w:val="center"/>
          </w:tcPr>
          <w:p w:rsidR="00F95A1D" w:rsidRPr="000A7BE9" w:rsidRDefault="000A7BE9" w:rsidP="000A7BE9">
            <w:pPr>
              <w:jc w:val="center"/>
              <w:rPr>
                <w:b/>
                <w:i/>
                <w:lang w:val="en-US"/>
              </w:rPr>
            </w:pPr>
            <m:oMathPara>
              <m:oMath>
                <m:r>
                  <m:rPr>
                    <m:sty m:val="bi"/>
                  </m:rPr>
                  <w:rPr>
                    <w:rFonts w:ascii="Cambria Math" w:hAnsi="Cambria Math"/>
                  </w:rPr>
                  <m:t xml:space="preserve">farfield </m:t>
                </m:r>
                <m:r>
                  <m:rPr>
                    <m:sty m:val="bi"/>
                  </m:rPr>
                  <w:rPr>
                    <w:rFonts w:ascii="Cambria Math" w:hAnsi="Cambria Math"/>
                  </w:rPr>
                  <m:t>boundar</m:t>
                </m:r>
                <m:r>
                  <m:rPr>
                    <m:sty m:val="bi"/>
                  </m:rPr>
                  <w:rPr>
                    <w:rFonts w:ascii="Cambria Math" w:hAnsi="Cambria Math"/>
                  </w:rPr>
                  <m:t>y</m:t>
                </m:r>
              </m:oMath>
            </m:oMathPara>
          </w:p>
        </w:tc>
      </w:tr>
      <w:tr w:rsidR="007D1595" w:rsidRPr="009636AA" w:rsidTr="00290112">
        <w:trPr>
          <w:jc w:val="center"/>
        </w:trPr>
        <w:tc>
          <w:tcPr>
            <w:tcW w:w="2637" w:type="dxa"/>
            <w:vAlign w:val="center"/>
          </w:tcPr>
          <w:p w:rsidR="00092FEE" w:rsidRPr="000B7DC2" w:rsidRDefault="00290112" w:rsidP="00290112">
            <w:pPr>
              <w:jc w:val="center"/>
              <w:rPr>
                <w:lang w:val="en-US"/>
              </w:rPr>
            </w:pPr>
            <m:oMathPara>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init</m:t>
                    </m:r>
                  </m:sub>
                </m:sSub>
                <m:r>
                  <w:rPr>
                    <w:rFonts w:ascii="Cambria Math" w:hAnsi="Cambria Math"/>
                    <w:lang w:val="en-US"/>
                  </w:rPr>
                  <m:t xml:space="preserve">=0,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init</m:t>
                    </m:r>
                  </m:sub>
                </m:sSub>
                <m:r>
                  <w:rPr>
                    <w:rFonts w:ascii="Cambria Math" w:hAnsi="Cambria Math"/>
                    <w:lang w:val="en-US"/>
                  </w:rPr>
                  <m:t>=0</m:t>
                </m:r>
              </m:oMath>
            </m:oMathPara>
          </w:p>
          <w:p w:rsidR="000B7DC2" w:rsidRPr="00290112" w:rsidRDefault="000B7DC2" w:rsidP="00290112">
            <w:pPr>
              <w:jc w:val="center"/>
              <w:rPr>
                <w:lang w:val="en-US"/>
              </w:rPr>
            </w:pPr>
          </w:p>
          <w:p w:rsidR="00290112" w:rsidRPr="00290112" w:rsidRDefault="00290112" w:rsidP="00290112">
            <w:pPr>
              <w:spacing w:line="480" w:lineRule="auto"/>
              <w:jc w:val="both"/>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init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exact</m:t>
                    </m:r>
                  </m:sub>
                </m:sSub>
                <m:d>
                  <m:dPr>
                    <m:ctrlPr>
                      <w:rPr>
                        <w:rFonts w:ascii="Cambria Math" w:hAnsi="Cambria Math"/>
                        <w:i/>
                        <w:lang w:val="en-US"/>
                      </w:rPr>
                    </m:ctrlPr>
                  </m:dPr>
                  <m:e>
                    <m:r>
                      <w:rPr>
                        <w:rFonts w:ascii="Cambria Math" w:hAnsi="Cambria Math"/>
                        <w:lang w:val="en-US"/>
                      </w:rPr>
                      <m:t>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e>
                </m:d>
              </m:oMath>
            </m:oMathPara>
          </w:p>
          <w:p w:rsidR="00290112" w:rsidRPr="00290112" w:rsidRDefault="00290112" w:rsidP="00290112">
            <w:pPr>
              <w:spacing w:line="480" w:lineRule="auto"/>
              <w:jc w:val="both"/>
              <w:rPr>
                <w:lang w:val="en-US"/>
              </w:rPr>
            </w:pPr>
            <m:oMathPara>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init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exact</m:t>
                    </m:r>
                  </m:sub>
                </m:sSub>
                <m:d>
                  <m:dPr>
                    <m:ctrlPr>
                      <w:rPr>
                        <w:rFonts w:ascii="Cambria Math" w:hAnsi="Cambria Math"/>
                        <w:i/>
                        <w:lang w:val="en-US"/>
                      </w:rPr>
                    </m:ctrlPr>
                  </m:dPr>
                  <m:e>
                    <m:r>
                      <w:rPr>
                        <w:rFonts w:ascii="Cambria Math" w:hAnsi="Cambria Math"/>
                        <w:lang w:val="en-US"/>
                      </w:rPr>
                      <m:t>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e>
                </m:d>
              </m:oMath>
            </m:oMathPara>
          </w:p>
          <w:p w:rsidR="00290112" w:rsidRPr="00290112" w:rsidRDefault="00290112" w:rsidP="00290112">
            <w:pPr>
              <w:spacing w:line="480" w:lineRule="auto"/>
              <w:jc w:val="both"/>
              <w:rPr>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init</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init</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amb</m:t>
                    </m:r>
                  </m:sub>
                </m:sSub>
                <m:r>
                  <w:rPr>
                    <w:rFonts w:ascii="Cambria Math" w:hAnsi="Cambria Math"/>
                    <w:lang w:val="en-US"/>
                  </w:rPr>
                  <m:t>)</m:t>
                </m:r>
              </m:oMath>
            </m:oMathPara>
          </w:p>
          <w:p w:rsidR="00290112" w:rsidRPr="00290112" w:rsidRDefault="00290112" w:rsidP="00290112">
            <w:pPr>
              <w:jc w:val="center"/>
              <w:rPr>
                <w:lang w:val="en-US"/>
              </w:rPr>
            </w:pPr>
          </w:p>
        </w:tc>
        <w:tc>
          <w:tcPr>
            <w:tcW w:w="3573" w:type="dxa"/>
            <w:vAlign w:val="center"/>
          </w:tcPr>
          <w:p w:rsidR="007D1595" w:rsidRDefault="000941E0" w:rsidP="00250F4C">
            <w:pPr>
              <w:jc w:val="center"/>
              <w:rPr>
                <w:lang w:val="en-US"/>
              </w:rPr>
            </w:pPr>
            <w:r>
              <w:rPr>
                <w:lang w:val="en-US"/>
              </w:rPr>
              <w:t>CHEMKIN</w:t>
            </w:r>
            <w:bookmarkStart w:id="0" w:name="_GoBack"/>
            <w:bookmarkEnd w:id="0"/>
            <w:r w:rsidR="00C13B28">
              <w:rPr>
                <w:lang w:val="en-US"/>
              </w:rPr>
              <w:t xml:space="preserve"> coefficient </w:t>
            </w:r>
            <w:r w:rsidR="00092FEE">
              <w:rPr>
                <w:lang w:val="en-US"/>
              </w:rPr>
              <w:t>data base w/</w:t>
            </w:r>
          </w:p>
          <w:p w:rsidR="00092FEE" w:rsidRDefault="001C31FA" w:rsidP="00250F4C">
            <w:pPr>
              <w:jc w:val="center"/>
              <w:rPr>
                <w:lang w:val="en-US"/>
              </w:rPr>
            </w:pPr>
            <w:r>
              <w:rPr>
                <w:lang w:val="en-US"/>
              </w:rPr>
              <w:t>enthalpy</w:t>
            </w:r>
            <w:r w:rsidR="00092FEE">
              <w:rPr>
                <w:lang w:val="en-US"/>
              </w:rPr>
              <w:t xml:space="preserve"> polynomial:</w:t>
            </w:r>
          </w:p>
          <w:p w:rsidR="00092FEE" w:rsidRDefault="00092FEE" w:rsidP="00250F4C">
            <w:pPr>
              <w:jc w:val="center"/>
              <w:rPr>
                <w:lang w:val="en-US"/>
              </w:rPr>
            </w:pPr>
          </w:p>
          <w:p w:rsidR="00092FEE" w:rsidRPr="00092FEE" w:rsidRDefault="003F5A77" w:rsidP="003F5A77">
            <w:pPr>
              <w:rPr>
                <w:lang w:val="en-US"/>
              </w:rPr>
            </w:pPr>
            <m:oMathPara>
              <m:oMath>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6</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3</m:t>
                        </m:r>
                      </m:sup>
                    </m:sSup>
                  </m:num>
                  <m:den>
                    <m:r>
                      <w:rPr>
                        <w:rFonts w:ascii="Cambria Math" w:hAnsi="Cambria Math"/>
                        <w:lang w:val="en-US"/>
                      </w:rPr>
                      <m:t>3</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4</m:t>
                        </m:r>
                      </m:sub>
                    </m:sSub>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4</m:t>
                        </m:r>
                      </m:sup>
                    </m:sSup>
                  </m:num>
                  <m:den>
                    <m:r>
                      <w:rPr>
                        <w:rFonts w:ascii="Cambria Math" w:hAnsi="Cambria Math"/>
                        <w:lang w:val="en-US"/>
                      </w:rPr>
                      <m:t>4</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5</m:t>
                        </m:r>
                      </m:sub>
                    </m:sSub>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5</m:t>
                        </m:r>
                      </m:sup>
                    </m:sSup>
                  </m:num>
                  <m:den>
                    <m:r>
                      <w:rPr>
                        <w:rFonts w:ascii="Cambria Math" w:hAnsi="Cambria Math"/>
                        <w:lang w:val="en-US"/>
                      </w:rPr>
                      <m:t>5</m:t>
                    </m:r>
                  </m:den>
                </m:f>
              </m:oMath>
            </m:oMathPara>
          </w:p>
        </w:tc>
        <w:tc>
          <w:tcPr>
            <w:tcW w:w="3087" w:type="dxa"/>
            <w:vAlign w:val="center"/>
          </w:tcPr>
          <w:p w:rsidR="000A7BE9" w:rsidRPr="00721AEC" w:rsidRDefault="000A7BE9" w:rsidP="00250F4C">
            <w:pPr>
              <w:jc w:val="center"/>
              <w:rPr>
                <w:lang w:val="en-US"/>
              </w:rPr>
            </w:pPr>
            <m:oMathPara>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farfield</m:t>
                    </m:r>
                  </m:sub>
                </m:sSub>
                <m:r>
                  <w:rPr>
                    <w:rFonts w:ascii="Cambria Math" w:hAnsi="Cambria Math"/>
                    <w:lang w:val="en-US"/>
                  </w:rPr>
                  <m:t>=</m:t>
                </m:r>
                <m:r>
                  <w:rPr>
                    <w:rFonts w:ascii="Cambria Math" w:hAnsi="Cambria Math"/>
                    <w:lang w:val="en-US"/>
                  </w:rPr>
                  <m:t>0</m:t>
                </m:r>
              </m:oMath>
            </m:oMathPara>
          </w:p>
          <w:p w:rsidR="00721AEC" w:rsidRPr="000A7BE9" w:rsidRDefault="00721AEC" w:rsidP="00250F4C">
            <w:pPr>
              <w:jc w:val="center"/>
              <w:rPr>
                <w:lang w:val="en-US"/>
              </w:rPr>
            </w:pPr>
          </w:p>
          <w:p w:rsidR="007D1595" w:rsidRPr="00721AEC" w:rsidRDefault="007D1595" w:rsidP="00250F4C">
            <w:pPr>
              <w:jc w:val="center"/>
              <w:rPr>
                <w:lang w:val="en-US"/>
              </w:rPr>
            </w:pPr>
            <m:oMathPara>
              <m:oMath>
                <m:f>
                  <m:fPr>
                    <m:ctrlPr>
                      <w:rPr>
                        <w:rFonts w:ascii="Cambria Math" w:hAnsi="Cambria Math"/>
                        <w:i/>
                      </w:rPr>
                    </m:ctrlPr>
                  </m:fPr>
                  <m:num>
                    <m:r>
                      <w:rPr>
                        <w:rFonts w:ascii="Cambria Math" w:hAnsi="Cambria Math"/>
                      </w:rPr>
                      <m:t>d</m:t>
                    </m:r>
                    <m:r>
                      <w:rPr>
                        <w:rFonts w:ascii="Cambria Math" w:hAnsi="Cambria Math"/>
                      </w:rPr>
                      <m:t>v</m:t>
                    </m:r>
                  </m:num>
                  <m:den>
                    <m:r>
                      <w:rPr>
                        <w:rFonts w:ascii="Cambria Math" w:hAnsi="Cambria Math"/>
                      </w:rPr>
                      <m:t>dy</m:t>
                    </m:r>
                  </m:den>
                </m:f>
                <m:r>
                  <w:rPr>
                    <w:rFonts w:ascii="Cambria Math" w:hAnsi="Cambria Math"/>
                  </w:rPr>
                  <m:t>= 0</m:t>
                </m:r>
                <m:r>
                  <w:rPr>
                    <w:rFonts w:ascii="Cambria Math" w:hAnsi="Cambria Math"/>
                  </w:rPr>
                  <m:t>,</m:t>
                </m:r>
                <m:f>
                  <m:fPr>
                    <m:ctrlPr>
                      <w:rPr>
                        <w:rFonts w:ascii="Cambria Math" w:hAnsi="Cambria Math"/>
                        <w:i/>
                      </w:rPr>
                    </m:ctrlPr>
                  </m:fPr>
                  <m:num>
                    <m:r>
                      <w:rPr>
                        <w:rFonts w:ascii="Cambria Math" w:hAnsi="Cambria Math"/>
                      </w:rPr>
                      <m:t>dw</m:t>
                    </m:r>
                  </m:num>
                  <m:den>
                    <m:r>
                      <w:rPr>
                        <w:rFonts w:ascii="Cambria Math" w:hAnsi="Cambria Math"/>
                      </w:rPr>
                      <m:t>dy</m:t>
                    </m:r>
                  </m:den>
                </m:f>
                <m:r>
                  <w:rPr>
                    <w:rFonts w:ascii="Cambria Math" w:hAnsi="Cambria Math"/>
                  </w:rPr>
                  <m:t>=0</m:t>
                </m:r>
              </m:oMath>
            </m:oMathPara>
          </w:p>
          <w:p w:rsidR="00721AEC" w:rsidRPr="00721AEC" w:rsidRDefault="00721AEC" w:rsidP="00250F4C">
            <w:pPr>
              <w:jc w:val="center"/>
              <w:rPr>
                <w:lang w:val="en-US"/>
              </w:rPr>
            </w:pPr>
          </w:p>
          <w:p w:rsidR="007D1595" w:rsidRPr="00DE5557" w:rsidRDefault="007D1595" w:rsidP="00250F4C">
            <w:pPr>
              <w:jc w:val="center"/>
              <w:rPr>
                <w:lang w:val="en-US"/>
              </w:rPr>
            </w:pPr>
            <m:oMathPara>
              <m:oMath>
                <m:f>
                  <m:fPr>
                    <m:ctrlPr>
                      <w:rPr>
                        <w:rFonts w:ascii="Cambria Math" w:hAnsi="Cambria Math"/>
                        <w:i/>
                      </w:rPr>
                    </m:ctrlPr>
                  </m:fPr>
                  <m:num>
                    <m:r>
                      <w:rPr>
                        <w:rFonts w:ascii="Cambria Math" w:hAnsi="Cambria Math"/>
                      </w:rPr>
                      <m:t>dh</m:t>
                    </m:r>
                  </m:num>
                  <m:den>
                    <m:r>
                      <w:rPr>
                        <w:rFonts w:ascii="Cambria Math" w:hAnsi="Cambria Math"/>
                      </w:rPr>
                      <m:t>dy</m:t>
                    </m:r>
                  </m:den>
                </m:f>
                <m:r>
                  <w:rPr>
                    <w:rFonts w:ascii="Cambria Math" w:hAnsi="Cambria Math"/>
                  </w:rPr>
                  <m:t>= 0</m:t>
                </m:r>
                <m:r>
                  <w:rPr>
                    <w:rFonts w:ascii="Cambria Math" w:hAnsi="Cambria Math"/>
                  </w:rPr>
                  <m:t>,</m:t>
                </m:r>
                <m:f>
                  <m:fPr>
                    <m:ctrlPr>
                      <w:rPr>
                        <w:rFonts w:ascii="Cambria Math" w:hAnsi="Cambria Math"/>
                        <w:i/>
                      </w:rPr>
                    </m:ctrlPr>
                  </m:fPr>
                  <m:num>
                    <m:r>
                      <w:rPr>
                        <w:rFonts w:ascii="Cambria Math" w:hAnsi="Cambria Math"/>
                      </w:rPr>
                      <m:t>dZ</m:t>
                    </m:r>
                  </m:num>
                  <m:den>
                    <m:r>
                      <w:rPr>
                        <w:rFonts w:ascii="Cambria Math" w:hAnsi="Cambria Math"/>
                      </w:rPr>
                      <m:t>dy</m:t>
                    </m:r>
                  </m:den>
                </m:f>
                <m:r>
                  <w:rPr>
                    <w:rFonts w:ascii="Cambria Math" w:hAnsi="Cambria Math"/>
                  </w:rPr>
                  <m:t>=0</m:t>
                </m:r>
              </m:oMath>
            </m:oMathPara>
          </w:p>
          <w:p w:rsidR="007D1595" w:rsidRDefault="007D1595" w:rsidP="00250F4C">
            <w:pPr>
              <w:jc w:val="center"/>
            </w:pPr>
          </w:p>
          <w:p w:rsidR="007D1595" w:rsidRPr="009636AA" w:rsidRDefault="007D1595" w:rsidP="00250F4C">
            <w:pPr>
              <w:jc w:val="center"/>
              <w:rPr>
                <w:i/>
              </w:rPr>
            </w:pPr>
          </w:p>
        </w:tc>
      </w:tr>
      <w:tr w:rsidR="00F95A1D" w:rsidRPr="0031445C" w:rsidTr="00290112">
        <w:trPr>
          <w:jc w:val="center"/>
        </w:trPr>
        <w:tc>
          <w:tcPr>
            <w:tcW w:w="2637" w:type="dxa"/>
            <w:vAlign w:val="center"/>
          </w:tcPr>
          <w:p w:rsidR="00F95A1D" w:rsidRPr="0031445C" w:rsidRDefault="00F95A1D" w:rsidP="00250F4C">
            <w:pPr>
              <w:jc w:val="center"/>
              <w:rPr>
                <w:b/>
              </w:rPr>
            </w:pPr>
            <m:oMathPara>
              <m:oMath>
                <m:r>
                  <m:rPr>
                    <m:sty m:val="bi"/>
                  </m:rPr>
                  <w:rPr>
                    <w:rFonts w:ascii="Cambria Math" w:hAnsi="Cambria Math"/>
                  </w:rPr>
                  <m:t>wall boundary</m:t>
                </m:r>
              </m:oMath>
            </m:oMathPara>
          </w:p>
        </w:tc>
        <w:tc>
          <w:tcPr>
            <w:tcW w:w="3573" w:type="dxa"/>
            <w:vAlign w:val="center"/>
          </w:tcPr>
          <w:p w:rsidR="00F95A1D" w:rsidRPr="0031445C" w:rsidRDefault="00F95A1D" w:rsidP="00250F4C">
            <w:pPr>
              <w:jc w:val="center"/>
              <w:rPr>
                <w:b/>
              </w:rPr>
            </w:pPr>
            <m:oMathPara>
              <m:oMath>
                <m:r>
                  <m:rPr>
                    <m:sty m:val="bi"/>
                  </m:rPr>
                  <w:rPr>
                    <w:rFonts w:ascii="Cambria Math" w:hAnsi="Cambria Math"/>
                  </w:rPr>
                  <m:t>Scalar Discretization Option</m:t>
                </m:r>
              </m:oMath>
            </m:oMathPara>
          </w:p>
        </w:tc>
        <w:tc>
          <w:tcPr>
            <w:tcW w:w="3087" w:type="dxa"/>
            <w:vAlign w:val="center"/>
          </w:tcPr>
          <w:p w:rsidR="00F95A1D" w:rsidRPr="0031445C" w:rsidRDefault="00F95A1D" w:rsidP="00250F4C">
            <w:pPr>
              <w:jc w:val="center"/>
              <w:rPr>
                <w:b/>
              </w:rPr>
            </w:pPr>
            <m:oMathPara>
              <m:oMath>
                <m:r>
                  <m:rPr>
                    <m:sty m:val="bi"/>
                  </m:rPr>
                  <w:rPr>
                    <w:rFonts w:ascii="Cambria Math" w:hAnsi="Cambria Math"/>
                  </w:rPr>
                  <m:t>Periodicity</m:t>
                </m:r>
              </m:oMath>
            </m:oMathPara>
          </w:p>
        </w:tc>
      </w:tr>
      <w:tr w:rsidR="00F95A1D" w:rsidTr="00290112">
        <w:trPr>
          <w:trHeight w:val="1097"/>
          <w:jc w:val="center"/>
        </w:trPr>
        <w:tc>
          <w:tcPr>
            <w:tcW w:w="2637" w:type="dxa"/>
            <w:vAlign w:val="center"/>
          </w:tcPr>
          <w:p w:rsidR="00DE5557" w:rsidRDefault="00DE5557" w:rsidP="00250F4C">
            <w:pPr>
              <w:jc w:val="center"/>
              <w:rPr>
                <w:lang w:val="en-US"/>
              </w:rPr>
            </w:pPr>
          </w:p>
          <w:p w:rsidR="00F95A1D" w:rsidRPr="00DE5557" w:rsidRDefault="00F95A1D" w:rsidP="00250F4C">
            <w:pPr>
              <w:jc w:val="center"/>
              <w:rPr>
                <w:rFonts w:ascii="Calibri" w:eastAsia="Calibri" w:hAnsi="Calibri"/>
                <w:lang w:val="en-US"/>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u</m:t>
                        </m:r>
                      </m:e>
                      <m:sub>
                        <m:r>
                          <w:rPr>
                            <w:rFonts w:ascii="Cambria Math" w:hAnsi="Cambria Math"/>
                          </w:rPr>
                          <m:t>i</m:t>
                        </m:r>
                      </m:sub>
                    </m:sSub>
                  </m:e>
                  <m:sub>
                    <m:r>
                      <w:rPr>
                        <w:rFonts w:ascii="Cambria Math" w:hAnsi="Cambria Math"/>
                      </w:rPr>
                      <m:t>wall</m:t>
                    </m:r>
                  </m:sub>
                </m:sSub>
                <m:r>
                  <w:rPr>
                    <w:rFonts w:ascii="Cambria Math" w:hAnsi="Cambria Math"/>
                  </w:rPr>
                  <m:t>=No slip</m:t>
                </m:r>
              </m:oMath>
            </m:oMathPara>
          </w:p>
          <w:p w:rsidR="00DE5557" w:rsidRDefault="00DE5557" w:rsidP="00250F4C">
            <w:pPr>
              <w:jc w:val="center"/>
              <w:rPr>
                <w:rFonts w:ascii="Calibri" w:eastAsia="Calibri" w:hAnsi="Calibri"/>
                <w:lang w:val="en-US"/>
              </w:rPr>
            </w:pPr>
          </w:p>
          <w:p w:rsidR="00F95A1D" w:rsidRPr="00681E02" w:rsidRDefault="00F95A1D" w:rsidP="00250F4C">
            <w:pPr>
              <w:jc w:val="center"/>
              <w:rPr>
                <w:rFonts w:ascii="Calibri" w:eastAsia="Calibri" w:hAnsi="Calibri"/>
              </w:rPr>
            </w:pPr>
            <m:oMathPara>
              <m:oMath>
                <m:sSub>
                  <m:sSubPr>
                    <m:ctrlPr>
                      <w:rPr>
                        <w:rFonts w:ascii="Cambria Math" w:hAnsi="Cambria Math"/>
                        <w:i/>
                      </w:rPr>
                    </m:ctrlPr>
                  </m:sSubPr>
                  <m:e>
                    <m:r>
                      <w:rPr>
                        <w:rFonts w:ascii="Cambria Math" w:hAnsi="Cambria Math"/>
                      </w:rPr>
                      <m:t>T</m:t>
                    </m:r>
                  </m:e>
                  <m:sub>
                    <m:r>
                      <w:rPr>
                        <w:rFonts w:ascii="Cambria Math" w:hAnsi="Cambria Math"/>
                      </w:rPr>
                      <m:t>wall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inf</m:t>
                    </m:r>
                  </m:sub>
                </m:sSub>
              </m:oMath>
            </m:oMathPara>
          </w:p>
          <w:p w:rsidR="00F95A1D" w:rsidRDefault="00F95A1D" w:rsidP="00250F4C">
            <w:pPr>
              <w:jc w:val="center"/>
              <w:rPr>
                <w:rFonts w:ascii="Calibri" w:eastAsia="Calibri" w:hAnsi="Calibri"/>
              </w:rPr>
            </w:pPr>
          </w:p>
        </w:tc>
        <w:tc>
          <w:tcPr>
            <w:tcW w:w="3573" w:type="dxa"/>
            <w:vAlign w:val="center"/>
          </w:tcPr>
          <w:p w:rsidR="00F95A1D" w:rsidRDefault="00F95A1D" w:rsidP="00250F4C">
            <w:pPr>
              <w:jc w:val="center"/>
            </w:pPr>
            <w:r>
              <w:t>QUICK</w:t>
            </w:r>
          </w:p>
        </w:tc>
        <w:tc>
          <w:tcPr>
            <w:tcW w:w="3087" w:type="dxa"/>
            <w:vAlign w:val="center"/>
          </w:tcPr>
          <w:p w:rsidR="00F95A1D" w:rsidRPr="00FE7C0E" w:rsidRDefault="00F95A1D" w:rsidP="00250F4C">
            <w:pPr>
              <w:jc w:val="center"/>
              <w:rPr>
                <w:lang w:val="en-US"/>
              </w:rPr>
            </w:pPr>
            <w:r>
              <w:t>Spanwise</w:t>
            </w:r>
            <w:r w:rsidR="00FE7C0E">
              <w:rPr>
                <w:lang w:val="en-US"/>
              </w:rPr>
              <w:t>, Streamwise</w:t>
            </w:r>
          </w:p>
        </w:tc>
      </w:tr>
    </w:tbl>
    <w:p w:rsidR="00F95A1D" w:rsidRDefault="00F95A1D" w:rsidP="00517D72">
      <w:pPr>
        <w:spacing w:line="480" w:lineRule="auto"/>
        <w:jc w:val="both"/>
        <w:rPr>
          <w:lang w:val="en-US"/>
        </w:rPr>
      </w:pPr>
    </w:p>
    <w:p w:rsidR="005A6465" w:rsidRDefault="005A6465" w:rsidP="00517D72">
      <w:pPr>
        <w:spacing w:line="480" w:lineRule="auto"/>
        <w:jc w:val="both"/>
        <w:rPr>
          <w:lang w:val="en-US"/>
        </w:rPr>
      </w:pPr>
    </w:p>
    <w:p w:rsidR="005A6465" w:rsidRDefault="005A6465" w:rsidP="00517D72">
      <w:pPr>
        <w:spacing w:line="480" w:lineRule="auto"/>
        <w:jc w:val="both"/>
        <w:rPr>
          <w:lang w:val="en-US"/>
        </w:rPr>
      </w:pPr>
    </w:p>
    <w:p w:rsidR="00440A28" w:rsidRDefault="00440A28" w:rsidP="00517D72">
      <w:pPr>
        <w:spacing w:line="480" w:lineRule="auto"/>
        <w:jc w:val="both"/>
        <w:rPr>
          <w:lang w:val="en-US"/>
        </w:rPr>
        <w:sectPr w:rsidR="00440A28">
          <w:pgSz w:w="12240" w:h="15840"/>
          <w:pgMar w:top="1440" w:right="1440" w:bottom="1440" w:left="1440" w:header="720" w:footer="720" w:gutter="0"/>
          <w:cols w:space="720"/>
          <w:docGrid w:linePitch="360"/>
        </w:sectPr>
      </w:pPr>
    </w:p>
    <w:p w:rsidR="005A6465" w:rsidRDefault="00440A28" w:rsidP="00517D72">
      <w:pPr>
        <w:spacing w:line="480" w:lineRule="auto"/>
        <w:jc w:val="both"/>
        <w:rPr>
          <w:lang w:val="en-US"/>
        </w:rPr>
      </w:pPr>
      <w:r>
        <w:rPr>
          <w:noProof/>
          <w:lang w:val="en-US"/>
        </w:rPr>
        <w:lastRenderedPageBreak/>
        <w:drawing>
          <wp:anchor distT="0" distB="0" distL="114300" distR="114300" simplePos="0" relativeHeight="251659264" behindDoc="1" locked="0" layoutInCell="1" allowOverlap="1" wp14:anchorId="6A2C7F15" wp14:editId="481438F2">
            <wp:simplePos x="0" y="0"/>
            <wp:positionH relativeFrom="column">
              <wp:posOffset>229235</wp:posOffset>
            </wp:positionH>
            <wp:positionV relativeFrom="paragraph">
              <wp:posOffset>-560070</wp:posOffset>
            </wp:positionV>
            <wp:extent cx="3609340" cy="3210560"/>
            <wp:effectExtent l="0" t="0" r="0" b="8890"/>
            <wp:wrapTight wrapText="bothSides">
              <wp:wrapPolygon edited="0">
                <wp:start x="0" y="0"/>
                <wp:lineTo x="0" y="21532"/>
                <wp:lineTo x="21433" y="21532"/>
                <wp:lineTo x="21433" y="0"/>
                <wp:lineTo x="0" y="0"/>
              </wp:wrapPolygon>
            </wp:wrapTight>
            <wp:docPr id="5" name="Picture 5" descr="C:\Users\Luis\Desktop\Proposal\Chapter3\1DMixing\export_rhoprofile_t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is\Desktop\Proposal\Chapter3\1DMixing\export_rhoprofile_t1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9340" cy="32105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0288" behindDoc="1" locked="0" layoutInCell="1" allowOverlap="1" wp14:anchorId="562CC432" wp14:editId="0E6F9825">
            <wp:simplePos x="0" y="0"/>
            <wp:positionH relativeFrom="column">
              <wp:posOffset>4070350</wp:posOffset>
            </wp:positionH>
            <wp:positionV relativeFrom="paragraph">
              <wp:posOffset>-560070</wp:posOffset>
            </wp:positionV>
            <wp:extent cx="3580130" cy="3184525"/>
            <wp:effectExtent l="0" t="0" r="1270" b="0"/>
            <wp:wrapTight wrapText="bothSides">
              <wp:wrapPolygon edited="0">
                <wp:start x="0" y="0"/>
                <wp:lineTo x="0" y="21449"/>
                <wp:lineTo x="21493" y="21449"/>
                <wp:lineTo x="21493" y="0"/>
                <wp:lineTo x="0" y="0"/>
              </wp:wrapPolygon>
            </wp:wrapTight>
            <wp:docPr id="6" name="Picture 6" descr="C:\Users\Luis\Desktop\Proposal\Chapter3\1DMixing\export_vprofile_t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is\Desktop\Proposal\Chapter3\1DMixing\export_vprofile_t1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0130" cy="3184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33DA6" w:rsidRDefault="00933DA6" w:rsidP="00517D72">
      <w:pPr>
        <w:spacing w:line="480" w:lineRule="auto"/>
        <w:jc w:val="both"/>
        <w:rPr>
          <w:lang w:val="en-US"/>
        </w:rPr>
      </w:pPr>
    </w:p>
    <w:p w:rsidR="00933DA6" w:rsidRDefault="00933DA6" w:rsidP="00517D72">
      <w:pPr>
        <w:spacing w:line="480" w:lineRule="auto"/>
        <w:jc w:val="both"/>
        <w:rPr>
          <w:lang w:val="en-US"/>
        </w:rPr>
      </w:pPr>
    </w:p>
    <w:p w:rsidR="00780DB7" w:rsidRDefault="00780DB7" w:rsidP="00517D72">
      <w:pPr>
        <w:spacing w:line="480" w:lineRule="auto"/>
        <w:jc w:val="both"/>
        <w:rPr>
          <w:lang w:val="en-US"/>
        </w:rPr>
      </w:pPr>
    </w:p>
    <w:p w:rsidR="00780DB7" w:rsidRDefault="00780DB7" w:rsidP="00517D72">
      <w:pPr>
        <w:spacing w:line="480" w:lineRule="auto"/>
        <w:jc w:val="both"/>
        <w:rPr>
          <w:lang w:val="en-US"/>
        </w:rPr>
      </w:pPr>
    </w:p>
    <w:p w:rsidR="00780DB7" w:rsidRDefault="00780DB7" w:rsidP="00517D72">
      <w:pPr>
        <w:spacing w:line="480" w:lineRule="auto"/>
        <w:jc w:val="both"/>
        <w:rPr>
          <w:lang w:val="en-US"/>
        </w:rPr>
      </w:pPr>
    </w:p>
    <w:p w:rsidR="00780DB7" w:rsidRDefault="00780DB7" w:rsidP="00517D72">
      <w:pPr>
        <w:spacing w:line="480" w:lineRule="auto"/>
        <w:jc w:val="both"/>
        <w:rPr>
          <w:lang w:val="en-US"/>
        </w:rPr>
      </w:pPr>
    </w:p>
    <w:p w:rsidR="00780DB7" w:rsidRDefault="00780DB7" w:rsidP="00517D72">
      <w:pPr>
        <w:spacing w:line="480" w:lineRule="auto"/>
        <w:jc w:val="both"/>
        <w:rPr>
          <w:lang w:val="en-US"/>
        </w:rPr>
      </w:pPr>
    </w:p>
    <w:p w:rsidR="00780DB7" w:rsidRDefault="00440A28" w:rsidP="00517D72">
      <w:pPr>
        <w:spacing w:line="480" w:lineRule="auto"/>
        <w:jc w:val="both"/>
        <w:rPr>
          <w:lang w:val="en-US"/>
        </w:rPr>
      </w:pPr>
      <w:r>
        <w:rPr>
          <w:noProof/>
          <w:lang w:val="en-US"/>
        </w:rPr>
        <w:drawing>
          <wp:anchor distT="0" distB="0" distL="114300" distR="114300" simplePos="0" relativeHeight="251661312" behindDoc="1" locked="0" layoutInCell="1" allowOverlap="1" wp14:anchorId="669B7225" wp14:editId="7476DAF7">
            <wp:simplePos x="0" y="0"/>
            <wp:positionH relativeFrom="column">
              <wp:posOffset>2107565</wp:posOffset>
            </wp:positionH>
            <wp:positionV relativeFrom="paragraph">
              <wp:posOffset>15240</wp:posOffset>
            </wp:positionV>
            <wp:extent cx="3895090" cy="3464560"/>
            <wp:effectExtent l="0" t="0" r="0" b="2540"/>
            <wp:wrapTight wrapText="bothSides">
              <wp:wrapPolygon edited="0">
                <wp:start x="0" y="0"/>
                <wp:lineTo x="0" y="21497"/>
                <wp:lineTo x="21445" y="21497"/>
                <wp:lineTo x="21445" y="0"/>
                <wp:lineTo x="0" y="0"/>
              </wp:wrapPolygon>
            </wp:wrapTight>
            <wp:docPr id="7" name="Picture 7" descr="C:\Users\Luis\Desktop\Proposal\Chapter3\1DMixing\export_zprofile_t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uis\Desktop\Proposal\Chapter3\1DMixing\export_zprofile_t1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5090" cy="34645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80DB7" w:rsidRDefault="00780DB7" w:rsidP="00517D72">
      <w:pPr>
        <w:spacing w:line="480" w:lineRule="auto"/>
        <w:jc w:val="both"/>
        <w:rPr>
          <w:lang w:val="en-US"/>
        </w:rPr>
      </w:pPr>
    </w:p>
    <w:p w:rsidR="00780DB7" w:rsidRDefault="00780DB7" w:rsidP="00517D72">
      <w:pPr>
        <w:spacing w:line="480" w:lineRule="auto"/>
        <w:jc w:val="both"/>
        <w:rPr>
          <w:lang w:val="en-US"/>
        </w:rPr>
      </w:pPr>
    </w:p>
    <w:p w:rsidR="00780DB7" w:rsidRDefault="00780DB7" w:rsidP="00517D72">
      <w:pPr>
        <w:spacing w:line="480" w:lineRule="auto"/>
        <w:jc w:val="both"/>
        <w:rPr>
          <w:lang w:val="en-US"/>
        </w:rPr>
      </w:pPr>
    </w:p>
    <w:p w:rsidR="00780DB7" w:rsidRDefault="00780DB7" w:rsidP="00517D72">
      <w:pPr>
        <w:spacing w:line="480" w:lineRule="auto"/>
        <w:jc w:val="both"/>
        <w:rPr>
          <w:lang w:val="en-US"/>
        </w:rPr>
      </w:pPr>
    </w:p>
    <w:p w:rsidR="00780DB7" w:rsidRDefault="00780DB7" w:rsidP="00517D72">
      <w:pPr>
        <w:spacing w:line="480" w:lineRule="auto"/>
        <w:jc w:val="both"/>
        <w:rPr>
          <w:lang w:val="en-US"/>
        </w:rPr>
      </w:pPr>
    </w:p>
    <w:sectPr w:rsidR="00780DB7" w:rsidSect="00440A2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333DBF"/>
    <w:multiLevelType w:val="hybridMultilevel"/>
    <w:tmpl w:val="2F7C0168"/>
    <w:lvl w:ilvl="0" w:tplc="15EEA256">
      <w:start w:val="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D72"/>
    <w:rsid w:val="00092FEE"/>
    <w:rsid w:val="000941E0"/>
    <w:rsid w:val="000A7BE9"/>
    <w:rsid w:val="000B24B0"/>
    <w:rsid w:val="000B7DC2"/>
    <w:rsid w:val="001C31FA"/>
    <w:rsid w:val="00290112"/>
    <w:rsid w:val="003F5A77"/>
    <w:rsid w:val="00440A28"/>
    <w:rsid w:val="00517D72"/>
    <w:rsid w:val="005855D1"/>
    <w:rsid w:val="00587900"/>
    <w:rsid w:val="005A6465"/>
    <w:rsid w:val="00717522"/>
    <w:rsid w:val="00721AEC"/>
    <w:rsid w:val="00780DB7"/>
    <w:rsid w:val="007D1595"/>
    <w:rsid w:val="00933DA6"/>
    <w:rsid w:val="009A56B6"/>
    <w:rsid w:val="00AA4B33"/>
    <w:rsid w:val="00BE485D"/>
    <w:rsid w:val="00C13B28"/>
    <w:rsid w:val="00CA1224"/>
    <w:rsid w:val="00D930FC"/>
    <w:rsid w:val="00DB6D66"/>
    <w:rsid w:val="00DE5557"/>
    <w:rsid w:val="00F22358"/>
    <w:rsid w:val="00F95A1D"/>
    <w:rsid w:val="00FE7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D72"/>
    <w:pPr>
      <w:widowControl w:val="0"/>
      <w:autoSpaceDE w:val="0"/>
      <w:autoSpaceDN w:val="0"/>
      <w:adjustRightInd w:val="0"/>
      <w:spacing w:after="0" w:line="240" w:lineRule="auto"/>
    </w:pPr>
    <w:rPr>
      <w:rFonts w:ascii="Times New Roman" w:eastAsiaTheme="minorEastAsia" w:hAnsi="Times New Roman" w:cs="Times New Roman"/>
      <w:sz w:val="24"/>
      <w:szCs w:val="24"/>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7D72"/>
    <w:rPr>
      <w:rFonts w:ascii="Tahoma" w:hAnsi="Tahoma" w:cs="Tahoma"/>
      <w:sz w:val="16"/>
      <w:szCs w:val="16"/>
    </w:rPr>
  </w:style>
  <w:style w:type="character" w:customStyle="1" w:styleId="BalloonTextChar">
    <w:name w:val="Balloon Text Char"/>
    <w:basedOn w:val="DefaultParagraphFont"/>
    <w:link w:val="BalloonText"/>
    <w:uiPriority w:val="99"/>
    <w:semiHidden/>
    <w:rsid w:val="00517D72"/>
    <w:rPr>
      <w:rFonts w:ascii="Tahoma" w:eastAsiaTheme="minorEastAsia" w:hAnsi="Tahoma" w:cs="Tahoma"/>
      <w:sz w:val="16"/>
      <w:szCs w:val="16"/>
      <w:lang w:val="x-none"/>
    </w:rPr>
  </w:style>
  <w:style w:type="table" w:styleId="TableGrid">
    <w:name w:val="Table Grid"/>
    <w:basedOn w:val="TableNormal"/>
    <w:uiPriority w:val="59"/>
    <w:rsid w:val="00F95A1D"/>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95A1D"/>
    <w:pPr>
      <w:widowControl/>
      <w:autoSpaceDE/>
      <w:autoSpaceDN/>
      <w:adjustRightInd/>
      <w:spacing w:after="200" w:line="276" w:lineRule="auto"/>
      <w:ind w:left="720"/>
      <w:contextualSpacing/>
    </w:pPr>
    <w:rPr>
      <w:rFonts w:asciiTheme="minorHAnsi" w:eastAsiaTheme="minorHAnsi" w:hAnsiTheme="minorHAnsi" w:cstheme="minorBidi"/>
      <w:sz w:val="22"/>
      <w:szCs w:val="22"/>
      <w:lang w:val="en-US"/>
    </w:rPr>
  </w:style>
  <w:style w:type="character" w:styleId="PlaceholderText">
    <w:name w:val="Placeholder Text"/>
    <w:basedOn w:val="DefaultParagraphFont"/>
    <w:uiPriority w:val="99"/>
    <w:semiHidden/>
    <w:rsid w:val="000A7BE9"/>
    <w:rPr>
      <w:color w:val="808080"/>
    </w:rPr>
  </w:style>
  <w:style w:type="paragraph" w:styleId="Caption">
    <w:name w:val="caption"/>
    <w:basedOn w:val="Normal"/>
    <w:next w:val="Normal"/>
    <w:uiPriority w:val="99"/>
    <w:qFormat/>
    <w:rsid w:val="00933DA6"/>
    <w:pPr>
      <w:spacing w:before="120" w:after="120"/>
      <w:jc w:val="center"/>
    </w:pPr>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D72"/>
    <w:pPr>
      <w:widowControl w:val="0"/>
      <w:autoSpaceDE w:val="0"/>
      <w:autoSpaceDN w:val="0"/>
      <w:adjustRightInd w:val="0"/>
      <w:spacing w:after="0" w:line="240" w:lineRule="auto"/>
    </w:pPr>
    <w:rPr>
      <w:rFonts w:ascii="Times New Roman" w:eastAsiaTheme="minorEastAsia" w:hAnsi="Times New Roman" w:cs="Times New Roman"/>
      <w:sz w:val="24"/>
      <w:szCs w:val="24"/>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7D72"/>
    <w:rPr>
      <w:rFonts w:ascii="Tahoma" w:hAnsi="Tahoma" w:cs="Tahoma"/>
      <w:sz w:val="16"/>
      <w:szCs w:val="16"/>
    </w:rPr>
  </w:style>
  <w:style w:type="character" w:customStyle="1" w:styleId="BalloonTextChar">
    <w:name w:val="Balloon Text Char"/>
    <w:basedOn w:val="DefaultParagraphFont"/>
    <w:link w:val="BalloonText"/>
    <w:uiPriority w:val="99"/>
    <w:semiHidden/>
    <w:rsid w:val="00517D72"/>
    <w:rPr>
      <w:rFonts w:ascii="Tahoma" w:eastAsiaTheme="minorEastAsia" w:hAnsi="Tahoma" w:cs="Tahoma"/>
      <w:sz w:val="16"/>
      <w:szCs w:val="16"/>
      <w:lang w:val="x-none"/>
    </w:rPr>
  </w:style>
  <w:style w:type="table" w:styleId="TableGrid">
    <w:name w:val="Table Grid"/>
    <w:basedOn w:val="TableNormal"/>
    <w:uiPriority w:val="59"/>
    <w:rsid w:val="00F95A1D"/>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95A1D"/>
    <w:pPr>
      <w:widowControl/>
      <w:autoSpaceDE/>
      <w:autoSpaceDN/>
      <w:adjustRightInd/>
      <w:spacing w:after="200" w:line="276" w:lineRule="auto"/>
      <w:ind w:left="720"/>
      <w:contextualSpacing/>
    </w:pPr>
    <w:rPr>
      <w:rFonts w:asciiTheme="minorHAnsi" w:eastAsiaTheme="minorHAnsi" w:hAnsiTheme="minorHAnsi" w:cstheme="minorBidi"/>
      <w:sz w:val="22"/>
      <w:szCs w:val="22"/>
      <w:lang w:val="en-US"/>
    </w:rPr>
  </w:style>
  <w:style w:type="character" w:styleId="PlaceholderText">
    <w:name w:val="Placeholder Text"/>
    <w:basedOn w:val="DefaultParagraphFont"/>
    <w:uiPriority w:val="99"/>
    <w:semiHidden/>
    <w:rsid w:val="000A7BE9"/>
    <w:rPr>
      <w:color w:val="808080"/>
    </w:rPr>
  </w:style>
  <w:style w:type="paragraph" w:styleId="Caption">
    <w:name w:val="caption"/>
    <w:basedOn w:val="Normal"/>
    <w:next w:val="Normal"/>
    <w:uiPriority w:val="99"/>
    <w:qFormat/>
    <w:rsid w:val="00933DA6"/>
    <w:pPr>
      <w:spacing w:before="120" w:after="120"/>
      <w:jc w:val="center"/>
    </w:pPr>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5</Pages>
  <Words>752</Words>
  <Characters>4289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dc:creator>
  <cp:lastModifiedBy>Luis</cp:lastModifiedBy>
  <cp:revision>26</cp:revision>
  <dcterms:created xsi:type="dcterms:W3CDTF">2011-10-24T21:56:00Z</dcterms:created>
  <dcterms:modified xsi:type="dcterms:W3CDTF">2011-10-25T00:04:00Z</dcterms:modified>
</cp:coreProperties>
</file>