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q4veutcn0tz" w:id="0"/>
    <w:bookmarkEnd w:id="0"/>
    <w:p w:rsidR="00000000" w:rsidDel="00000000" w:rsidP="00000000" w:rsidRDefault="00000000" w:rsidRPr="00000000" w14:paraId="00000001">
      <w:pPr>
        <w:pStyle w:val="Title"/>
        <w:ind w:firstLine="23"/>
        <w:rPr/>
      </w:pPr>
      <w:r w:rsidDel="00000000" w:rsidR="00000000" w:rsidRPr="00000000">
        <w:rPr>
          <w:rtl w:val="0"/>
        </w:rPr>
        <w:t xml:space="preserve">Especificación Detallada de Requisitos No Funcionales de Software - SISCOP V2</w:t>
      </w:r>
    </w:p>
    <w:bookmarkStart w:colFirst="0" w:colLast="0" w:name="bookmark=id.a7bzpna9swe5" w:id="1"/>
    <w:bookmarkEnd w:id="1"/>
    <w:p w:rsidR="00000000" w:rsidDel="00000000" w:rsidP="00000000" w:rsidRDefault="00000000" w:rsidRPr="00000000" w14:paraId="00000002">
      <w:pPr>
        <w:spacing w:before="240" w:lineRule="auto"/>
        <w:ind w:left="23" w:right="0" w:firstLine="0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Proyecto: Sistema de Control de Peso (SISCOP)</w:t>
      </w:r>
    </w:p>
    <w:p w:rsidR="00000000" w:rsidDel="00000000" w:rsidP="00000000" w:rsidRDefault="00000000" w:rsidRPr="00000000" w14:paraId="00000003">
      <w:pPr>
        <w:spacing w:before="225" w:lineRule="auto"/>
        <w:ind w:left="23" w:right="0" w:firstLine="0"/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Destinatario: </w:t>
      </w:r>
      <w:r w:rsidDel="00000000" w:rsidR="00000000" w:rsidRPr="00000000">
        <w:rPr>
          <w:sz w:val="22"/>
          <w:szCs w:val="22"/>
          <w:rtl w:val="0"/>
        </w:rPr>
        <w:t xml:space="preserve">Ministerio de Salud (MINSA)</w:t>
      </w:r>
    </w:p>
    <w:bookmarkStart w:colFirst="0" w:colLast="0" w:name="bookmark=id.2qcmwojebhfy" w:id="2"/>
    <w:bookmarkEnd w:id="2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"/>
        </w:tabs>
        <w:spacing w:after="0" w:before="240" w:line="240" w:lineRule="auto"/>
        <w:ind w:left="332" w:right="0" w:hanging="3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3" w:right="46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documento define los lineamientos técnicos y funcionales del Sistema de Control de Peso (SISCOP). La plataforma está diseñada para combatir los índices de malnutrición y obesidad en el país mediante el monitoreo constante, la gestión de datos en tiempo real y la interoperabilidad con los sistemas de salud pública vigentes.</w:t>
      </w:r>
    </w:p>
    <w:bookmarkStart w:colFirst="0" w:colLast="0" w:name="bookmark=id.6brplpgill0o" w:id="3"/>
    <w:bookmarkEnd w:id="3"/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2"/>
        </w:tabs>
        <w:spacing w:after="0" w:before="240" w:line="240" w:lineRule="auto"/>
        <w:ind w:left="332" w:right="0" w:hanging="30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Actores del Sistema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ffe499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shd w:fill="ffe499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57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y Responsabilidades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de Salud (Nutricionista/Médico)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 principal encargado de la toma de medidas antropométricas, registro de pacientes y visualización de alertas clínicas.</w:t>
            </w:r>
          </w:p>
        </w:tc>
      </w:tr>
      <w:tr>
        <w:trPr>
          <w:cantSplit w:val="0"/>
          <w:trHeight w:val="143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de Centro de Salud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09" w:right="10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 los niveles de acceso del personal dentro de un hospital o posta específica y genera reportes locales.</w:t>
            </w:r>
          </w:p>
        </w:tc>
      </w:tr>
      <w:tr>
        <w:trPr>
          <w:cantSplit w:val="0"/>
          <w:trHeight w:val="17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Analista MINSA (Nivel Central)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300" w:lineRule="auto"/>
              <w:ind w:left="109" w:right="1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módulos de Business Intelligence (BI) para observar tendencias epidemiológicas nacionales sin acceso a datos identificables de pacientes.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Paciente (Ciudadano)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300" w:lineRule="auto"/>
              <w:ind w:left="109" w:right="118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 de consulta que puede visualizar su progreso personal y recibir recomendaciones preventivas a través de un portal ciudadano.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Administrador del Sistema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2" w:line="300" w:lineRule="auto"/>
              <w:ind w:left="109" w:right="11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Encargado del mantenimiento técnico, backups, gestión de la infraestructura en la nube y soporte de segundo nivel.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280" w:top="1620" w:left="1417" w:right="992" w:header="360" w:footer="36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kix.tfwsvsm8mk2g" w:id="4"/>
    <w:bookmarkEnd w:id="4"/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332"/>
        </w:tabs>
        <w:ind w:left="332" w:hanging="309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Requisitos No Funcionales (RNF)</w:t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5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00"/>
        <w:gridCol w:w="3000"/>
        <w:gridCol w:w="3320"/>
        <w:tblGridChange w:id="0">
          <w:tblGrid>
            <w:gridCol w:w="3000"/>
            <w:gridCol w:w="3000"/>
            <w:gridCol w:w="33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bottom w:color="1f1f1f" w:space="0" w:sz="8" w:val="single"/>
            </w:tcBorders>
            <w:shd w:fill="c8d9f7" w:val="clear"/>
          </w:tcPr>
          <w:p w:rsidR="00000000" w:rsidDel="00000000" w:rsidP="00000000" w:rsidRDefault="00000000" w:rsidRPr="00000000" w14:paraId="0000001B">
            <w:pPr>
              <w:spacing w:before="248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1f1f1f" w:space="0" w:sz="8" w:val="single"/>
            </w:tcBorders>
            <w:shd w:fill="c8d9f7" w:val="clear"/>
          </w:tcPr>
          <w:p w:rsidR="00000000" w:rsidDel="00000000" w:rsidP="00000000" w:rsidRDefault="00000000" w:rsidRPr="00000000" w14:paraId="0000001C">
            <w:pPr>
              <w:spacing w:before="248" w:lineRule="auto"/>
              <w:ind w:left="35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Requisito</w:t>
            </w:r>
          </w:p>
        </w:tc>
        <w:tc>
          <w:tcPr>
            <w:tcBorders>
              <w:bottom w:color="1f1f1f" w:space="0" w:sz="8" w:val="single"/>
            </w:tcBorders>
            <w:shd w:fill="c8d9f7" w:val="clear"/>
          </w:tcPr>
          <w:p w:rsidR="00000000" w:rsidDel="00000000" w:rsidP="00000000" w:rsidRDefault="00000000" w:rsidRPr="00000000" w14:paraId="0000001D">
            <w:pPr>
              <w:spacing w:before="248" w:lineRule="auto"/>
              <w:ind w:left="58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Técnica</w:t>
            </w:r>
          </w:p>
        </w:tc>
      </w:tr>
      <w:tr>
        <w:trPr>
          <w:cantSplit w:val="0"/>
          <w:trHeight w:val="2979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</w:tcPr>
          <w:p w:rsidR="00000000" w:rsidDel="00000000" w:rsidP="00000000" w:rsidRDefault="00000000" w:rsidRPr="00000000" w14:paraId="0000001E">
            <w:pPr>
              <w:spacing w:before="239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239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</w:tcPr>
          <w:p w:rsidR="00000000" w:rsidDel="00000000" w:rsidP="00000000" w:rsidRDefault="00000000" w:rsidRPr="00000000" w14:paraId="00000020">
            <w:pPr>
              <w:spacing w:before="239" w:line="276" w:lineRule="auto"/>
              <w:ind w:left="141.7322834645671" w:right="196.88976377952713" w:firstLine="0"/>
              <w:jc w:val="both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Implementación de cifrado AES-256 para la protección de datos en reposo y uso obligatorio de protocolos TLS 1.3 para asegurar el túnel de comunicación de los datos en tránsito.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</w:tcPr>
          <w:p w:rsidR="00000000" w:rsidDel="00000000" w:rsidP="00000000" w:rsidRDefault="00000000" w:rsidRPr="00000000" w14:paraId="00000021">
            <w:pPr>
              <w:spacing w:before="251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251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</w:tcPr>
          <w:p w:rsidR="00000000" w:rsidDel="00000000" w:rsidP="00000000" w:rsidRDefault="00000000" w:rsidRPr="00000000" w14:paraId="00000023">
            <w:pPr>
              <w:spacing w:before="251" w:line="276" w:lineRule="auto"/>
              <w:ind w:left="141.7322834645671" w:right="196.88976377952713" w:firstLine="0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Diseño de arquitectura basada en microservicios  con políticas 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20.0" w:type="dxa"/>
        <w:jc w:val="left"/>
        <w:tblInd w:w="42.0" w:type="dxa"/>
        <w:tblBorders>
          <w:top w:color="1f1f1f" w:space="0" w:sz="8" w:val="single"/>
          <w:left w:color="1f1f1f" w:space="0" w:sz="8" w:val="single"/>
          <w:bottom w:color="1f1f1f" w:space="0" w:sz="8" w:val="single"/>
          <w:right w:color="1f1f1f" w:space="0" w:sz="8" w:val="single"/>
          <w:insideH w:color="1f1f1f" w:space="0" w:sz="8" w:val="single"/>
          <w:insideV w:color="1f1f1f" w:space="0" w:sz="8" w:val="single"/>
        </w:tblBorders>
        <w:tblLayout w:type="fixed"/>
        <w:tblLook w:val="0000"/>
      </w:tblPr>
      <w:tblGrid>
        <w:gridCol w:w="3000"/>
        <w:gridCol w:w="3000"/>
        <w:gridCol w:w="3320"/>
        <w:tblGridChange w:id="0">
          <w:tblGrid>
            <w:gridCol w:w="3000"/>
            <w:gridCol w:w="3000"/>
            <w:gridCol w:w="3320"/>
          </w:tblGrid>
        </w:tblGridChange>
      </w:tblGrid>
      <w:tr>
        <w:trPr>
          <w:cantSplit w:val="0"/>
          <w:trHeight w:val="182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235" w:line="276" w:lineRule="auto"/>
              <w:ind w:left="4" w:right="196.88976377952713" w:firstLine="137.7322834645671"/>
              <w:jc w:val="both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auto-scaling (escalado horizontal) para garantizar un nivel de servicio (Uptime) del 99.9%.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before="242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242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242" w:line="276" w:lineRule="auto"/>
              <w:ind w:left="4" w:right="196.88976377952713" w:firstLine="137.7322834645671"/>
              <w:jc w:val="both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Cumplimiento estricto con el estándar internacional HL7 FHIR (Fast Healthcare Interoperability Resources) para el intercambio y consumo de datos clínicos con otros sistemas de salud.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before="243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243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Resiliencia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243" w:line="276" w:lineRule="auto"/>
              <w:ind w:left="4" w:right="196.88976377952713" w:firstLine="137.7322834645671"/>
              <w:jc w:val="both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Capacidad de funcionamiento offline mediante persistencia local. El sistema debe permitir la operación en zonas rurales y ejecutar una sincronización bidireccional automática al detectar una conexión estable.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before="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1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1" w:lineRule="auto"/>
              <w:ind w:left="4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1" w:lineRule="auto"/>
              <w:ind w:right="196.88976377952713" w:firstLine="141.732283464567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1" w:line="276" w:lineRule="auto"/>
              <w:ind w:left="4" w:right="196.88976377952713" w:firstLine="137.7322834645671"/>
              <w:jc w:val="both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Optimización de índices y consultas en la base de datos para asegurar que el tiempo de ejecución (latencia de consulta) no supere los 300ms bajo condiciones de carga nominal.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293" w:top="1360" w:left="1417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34" w:hanging="312"/>
      </w:pPr>
      <w:rPr>
        <w:rFonts w:ascii="Arial" w:cs="Arial" w:eastAsia="Arial" w:hAnsi="Arial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57" w:hanging="312"/>
      </w:pPr>
      <w:rPr/>
    </w:lvl>
    <w:lvl w:ilvl="2">
      <w:start w:val="0"/>
      <w:numFmt w:val="bullet"/>
      <w:lvlText w:val="•"/>
      <w:lvlJc w:val="left"/>
      <w:pPr>
        <w:ind w:left="2174" w:hanging="311.9999999999998"/>
      </w:pPr>
      <w:rPr/>
    </w:lvl>
    <w:lvl w:ilvl="3">
      <w:start w:val="0"/>
      <w:numFmt w:val="bullet"/>
      <w:lvlText w:val="•"/>
      <w:lvlJc w:val="left"/>
      <w:pPr>
        <w:ind w:left="3091" w:hanging="311.99999999999955"/>
      </w:pPr>
      <w:rPr/>
    </w:lvl>
    <w:lvl w:ilvl="4">
      <w:start w:val="0"/>
      <w:numFmt w:val="bullet"/>
      <w:lvlText w:val="•"/>
      <w:lvlJc w:val="left"/>
      <w:pPr>
        <w:ind w:left="4008" w:hanging="312"/>
      </w:pPr>
      <w:rPr/>
    </w:lvl>
    <w:lvl w:ilvl="5">
      <w:start w:val="0"/>
      <w:numFmt w:val="bullet"/>
      <w:lvlText w:val="•"/>
      <w:lvlJc w:val="left"/>
      <w:pPr>
        <w:ind w:left="4925" w:hanging="312"/>
      </w:pPr>
      <w:rPr/>
    </w:lvl>
    <w:lvl w:ilvl="6">
      <w:start w:val="0"/>
      <w:numFmt w:val="bullet"/>
      <w:lvlText w:val="•"/>
      <w:lvlJc w:val="left"/>
      <w:pPr>
        <w:ind w:left="5842" w:hanging="312"/>
      </w:pPr>
      <w:rPr/>
    </w:lvl>
    <w:lvl w:ilvl="7">
      <w:start w:val="0"/>
      <w:numFmt w:val="bullet"/>
      <w:lvlText w:val="•"/>
      <w:lvlJc w:val="left"/>
      <w:pPr>
        <w:ind w:left="6759" w:hanging="312.0000000000009"/>
      </w:pPr>
      <w:rPr/>
    </w:lvl>
    <w:lvl w:ilvl="8">
      <w:start w:val="0"/>
      <w:numFmt w:val="bullet"/>
      <w:lvlText w:val="•"/>
      <w:lvlJc w:val="left"/>
      <w:pPr>
        <w:ind w:left="7676" w:hanging="31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0" w:lineRule="auto"/>
      <w:ind w:left="23" w:right="576"/>
      <w:jc w:val="both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1eV8oon8qOnUBNYfMswXfwYXmg==">CgMxLjAyD2lkLm5xNHZldXRjbjB0ejIPaWQuYTdienBuYTlzd2U1Mg9pZC4ycWNtd29qZWJoZnkyD2lkLjZicnBscGdpbGwwbzIQa2l4LnRmd3N2c204bWsyZzgAciExRmo3Q1lwTG0zaDZEU21lSFp1RGVfYzZQblEwUVNfd1o=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2026-04-30T00:00:00Z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2026-04-30T00:00:00Z</vt:lpwstr>
  </property>
</Properties>
</file>